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3BA01">
      <w:pPr>
        <w:spacing w:after="400" w:line="400" w:lineRule="atLeast"/>
        <w:jc w:val="center"/>
      </w:pPr>
      <w:bookmarkStart w:id="0" w:name="_GoBack"/>
      <w:bookmarkEnd w:id="0"/>
      <w:r>
        <w:rPr>
          <w:b/>
          <w:sz w:val="39"/>
        </w:rPr>
        <w:t>Comprehensive Research Report: Liability Allocation in Accidents Involving Advanced Driver-Assistance Systems (ADAS) in Shared Human-Machine Driving Contexts</w:t>
      </w:r>
    </w:p>
    <w:p w14:paraId="219BD80B">
      <w:pPr>
        <w:spacing w:after="400" w:line="400" w:lineRule="atLeast"/>
      </w:pPr>
      <w:r>
        <w:rPr>
          <w:b/>
        </w:rPr>
        <w:t>Date:</w:t>
      </w:r>
      <w:r>
        <w:t xml:space="preserve"> December 30, 2025</w:t>
      </w:r>
    </w:p>
    <w:p w14:paraId="4F9BE42C">
      <w:pPr>
        <w:spacing w:after="400" w:line="400" w:lineRule="atLeast"/>
      </w:pPr>
      <w:r>
        <w:rPr>
          <w:b/>
        </w:rPr>
        <w:t>Author:</w:t>
      </w:r>
      <w:r>
        <w:t xml:space="preserve"> Expert Researcher in Autonomous Vehicle Policy and Liability Law</w:t>
      </w:r>
    </w:p>
    <w:p w14:paraId="7672392E">
      <w:pPr>
        <w:spacing w:after="400" w:line="400" w:lineRule="atLeast"/>
      </w:pPr>
      <w:r>
        <w:rPr>
          <w:b/>
          <w:sz w:val="33"/>
        </w:rPr>
        <w:t>Executive Summary</w:t>
      </w:r>
    </w:p>
    <w:p w14:paraId="0CF7AFED">
      <w:pPr>
        <w:spacing w:after="400" w:line="400" w:lineRule="atLeast"/>
      </w:pPr>
      <w:r>
        <w:t>The rapid integration of Advanced Driver-Assistance Systems (ADAS) into the global vehicle fleet represents one of the most significant technological and societal shifts in personal transportation since the automobile's invention. These systems, which include features like adaptive cruise control, automatic emergency braking, lane-keeping assistance, and traffic jam assist, are fundamentally altering the traditional dyad of driver-vehicle interaction, creating a complex triadic relationship between the human driver, the automated system, and the vehicle itself. This evolution has profound implications for safety, legal liability, insurance, and regulatory frameworks. This report provides a comprehensive analysis of liability allocation in accidents involving ADAS-equipped vehicles operating in shared human-machine driving contexts. It systematically examines the technical foundations of ADAS, reviews existing and evolving legal doctrines, analyzes illustrative case law, dissects the ambiguous responsibility boundaries between human and machine, and concludes with actionable regulatory and policy recommendations. The central thesis is that current legal frameworks, built upon centuries of human-centric driving paradigms, are fundamentally ill-equipped to handle the nuanced, dynamic, and often opaque allocation of responsibility in ADAS-related incidents. A new, adaptive, and technologically informed liability architecture is urgently required to ensure safety, foster innovation, and deliver justice.</w:t>
      </w:r>
    </w:p>
    <w:p w14:paraId="280038A5">
      <w:pPr>
        <w:spacing w:after="400" w:line="400" w:lineRule="atLeast"/>
      </w:pPr>
      <w:r>
        <w:rPr>
          <w:b/>
          <w:sz w:val="33"/>
        </w:rPr>
        <w:t>1. Technical Foundations of ADAS: Capabilities, Limitations, and the Human-Machine Interface</w:t>
      </w:r>
    </w:p>
    <w:p w14:paraId="145BFC8E">
      <w:pPr>
        <w:spacing w:after="400" w:line="400" w:lineRule="atLeast"/>
      </w:pPr>
      <w:r>
        <w:t>Understanding liability begins with a clear grasp of what ADAS can and cannot do. The technical architecture, sensor limitations, defined operational boundaries, and the quality of human-system interaction form the bedrock upon which all legal and ethical questions of responsibility are built.</w:t>
      </w:r>
    </w:p>
    <w:p w14:paraId="69C9DECC">
      <w:pPr>
        <w:spacing w:after="400" w:line="400" w:lineRule="atLeast"/>
      </w:pPr>
      <w:r>
        <w:rPr>
          <w:b/>
          <w:sz w:val="30"/>
        </w:rPr>
        <w:t>1.1 Sensor Suites and Their Inherent Limitations</w:t>
      </w:r>
    </w:p>
    <w:p w14:paraId="6AD2213D">
      <w:pPr>
        <w:spacing w:after="400" w:line="400" w:lineRule="atLeast"/>
      </w:pPr>
      <w:r>
        <w:t>Modern ADAS relies on a fusion of sensor data to perceive the driving environment. This typically includes cameras, radar, LiDAR (Light Detection and Ranging), ultrasonic sensors, and global navigation satellite systems (GNSS). Each sensor modality has distinct strengths and, critically, well-documented failure modes that directly influence system performance and safety.</w:t>
      </w:r>
    </w:p>
    <w:p w14:paraId="3DD3EFBD">
      <w:pPr>
        <w:numPr>
          <w:ilvl w:val="-1"/>
          <w:numId w:val="1"/>
        </w:numPr>
        <w:spacing w:after="400" w:line="400" w:lineRule="atLeast"/>
      </w:pPr>
      <w:r>
        <w:rPr>
          <w:b/>
        </w:rPr>
        <w:t>Cameras:</w:t>
      </w:r>
      <w:r>
        <w:t xml:space="preserve"> Provide rich visual data for object classification, lane detection, and traffic sign recognition. However, their performance is severely degraded by </w:t>
      </w:r>
      <w:r>
        <w:rPr>
          <w:b/>
        </w:rPr>
        <w:t>poor weather conditions like fog, heavy rain, and snow</w:t>
      </w:r>
      <w:r>
        <w:t xml:space="preserve">, as well as </w:t>
      </w:r>
      <w:r>
        <w:rPr>
          <w:b/>
        </w:rPr>
        <w:t>glare from bright light (e.g., sun low on the horizon) and low visibility</w:t>
      </w:r>
      <w:r>
        <w:t xml:space="preserve"> at night [[1]][[2]][[3]]. Camera lenses can also be obstructed by </w:t>
      </w:r>
      <w:r>
        <w:rPr>
          <w:b/>
        </w:rPr>
        <w:t>dirt, mud, or water splash</w:t>
      </w:r>
      <w:r>
        <w:t xml:space="preserve">, and systems may struggle with </w:t>
      </w:r>
      <w:r>
        <w:rPr>
          <w:b/>
        </w:rPr>
        <w:t>ambiguous or faded lane markings</w:t>
      </w:r>
      <w:r>
        <w:t xml:space="preserve"> [[4]][[5]][[6]].</w:t>
      </w:r>
    </w:p>
    <w:p w14:paraId="58173A26">
      <w:pPr>
        <w:numPr>
          <w:ilvl w:val="-1"/>
          <w:numId w:val="1"/>
        </w:numPr>
        <w:spacing w:after="400" w:line="400" w:lineRule="atLeast"/>
      </w:pPr>
      <w:r>
        <w:rPr>
          <w:b/>
        </w:rPr>
        <w:t>Radar:</w:t>
      </w:r>
      <w:r>
        <w:t xml:space="preserve"> Effective for measuring the relative speed and distance of objects, especially in adverse weather where cameras fail. However, radar can have difficulty distinguishing stationary objects from clutter (e.g., a metal guardrail versus a stopped car) and offers low resolution for precise object classification.</w:t>
      </w:r>
    </w:p>
    <w:p w14:paraId="075D21DE">
      <w:pPr>
        <w:numPr>
          <w:ilvl w:val="-1"/>
          <w:numId w:val="1"/>
        </w:numPr>
        <w:spacing w:after="400" w:line="400" w:lineRule="atLeast"/>
      </w:pPr>
      <w:r>
        <w:rPr>
          <w:b/>
        </w:rPr>
        <w:t>LiDAR:</w:t>
      </w:r>
      <w:r>
        <w:t xml:space="preserve"> Creates high-resolution 3D point cloud maps of the environment, excellent for precise localization and object detection. Yet, LiDAR signals can be scattered and absorbed by </w:t>
      </w:r>
      <w:r>
        <w:rPr>
          <w:b/>
        </w:rPr>
        <w:t>heavy rain, snow, and fog</w:t>
      </w:r>
      <w:r>
        <w:t xml:space="preserve">, reducing effective range and point density [[7]][[8]]. Sensor surfaces can also be occluded by </w:t>
      </w:r>
      <w:r>
        <w:rPr>
          <w:b/>
        </w:rPr>
        <w:t>snow, dirt, or physical damage</w:t>
      </w:r>
      <w:r>
        <w:t xml:space="preserve"> [[9]][[10]].</w:t>
      </w:r>
    </w:p>
    <w:p w14:paraId="6E819589">
      <w:pPr>
        <w:numPr>
          <w:ilvl w:val="-1"/>
          <w:numId w:val="1"/>
        </w:numPr>
        <w:spacing w:after="400" w:line="400" w:lineRule="atLeast"/>
      </w:pPr>
      <w:r>
        <w:rPr>
          <w:b/>
        </w:rPr>
        <w:t>Ultrasonic Sensors:</w:t>
      </w:r>
      <w:r>
        <w:t xml:space="preserve"> Used primarily for low-speed maneuvering and parking. They are susceptible to interference from environmental noise and have very limited range.</w:t>
      </w:r>
    </w:p>
    <w:p w14:paraId="2BE8368E">
      <w:pPr>
        <w:numPr>
          <w:ilvl w:val="-1"/>
          <w:numId w:val="1"/>
        </w:numPr>
        <w:spacing w:after="400" w:line="400" w:lineRule="atLeast"/>
      </w:pPr>
      <w:r>
        <w:rPr>
          <w:b/>
        </w:rPr>
        <w:t>GNSS (e.g., GPS):</w:t>
      </w:r>
      <w:r>
        <w:t xml:space="preserve"> Essential for vehicle positioning and navigation. Signal quality can be degraded or reflected (multipath) in </w:t>
      </w:r>
      <w:r>
        <w:rPr>
          <w:b/>
        </w:rPr>
        <w:t>urban canyons or tunnels</w:t>
      </w:r>
      <w:r>
        <w:t>, leading to positioning errors [[11]].</w:t>
      </w:r>
    </w:p>
    <w:p w14:paraId="1E84DF10">
      <w:pPr>
        <w:spacing w:after="400" w:line="400" w:lineRule="atLeast"/>
      </w:pPr>
      <w:r>
        <w:t xml:space="preserve">Beyond environmental factors, </w:t>
      </w:r>
      <w:r>
        <w:rPr>
          <w:b/>
        </w:rPr>
        <w:t>hardware processing power, energy efficiency, and cost limitations</w:t>
      </w:r>
      <w:r>
        <w:t xml:space="preserve"> constrain the complexity and robustness of the sensor fusion and decision-making algorithms [[12]][[13]]. A system might theoretically identify a hazard, but computational latency or a prioritization error in its software stack can result in an ineffective or dangerously late response.</w:t>
      </w:r>
    </w:p>
    <w:p w14:paraId="6347D3A0">
      <w:pPr>
        <w:spacing w:after="400" w:line="400" w:lineRule="atLeast"/>
      </w:pPr>
      <w:r>
        <w:rPr>
          <w:b/>
          <w:sz w:val="30"/>
        </w:rPr>
        <w:t>1.2 The Operational Design Domain (ODD): The System's "Rulebook"</w:t>
      </w:r>
    </w:p>
    <w:p w14:paraId="220950C6">
      <w:pPr>
        <w:spacing w:after="400" w:line="400" w:lineRule="atLeast"/>
      </w:pPr>
      <w:r>
        <w:t>Perhaps the most critical technical concept for liability is the Operational Design Domain. The ODD is the formal, explicit definition of the specific conditions under which a given ADAS or Automated Driving System (ADS) is designed to function safely and properly [[14]][[15]][[16]]. It is the system's "rulebook," outlining its permissible operating envelope and inherent limitations.</w:t>
      </w:r>
    </w:p>
    <w:p w14:paraId="34E1DB1C">
      <w:pPr>
        <w:spacing w:after="400" w:line="400" w:lineRule="atLeast"/>
      </w:pPr>
      <w:r>
        <w:t>The ODD encompasses a multidimensional space including:</w:t>
      </w:r>
    </w:p>
    <w:p w14:paraId="78596F88">
      <w:pPr>
        <w:numPr>
          <w:ilvl w:val="-1"/>
          <w:numId w:val="1"/>
        </w:numPr>
        <w:spacing w:after="400" w:line="400" w:lineRule="atLeast"/>
      </w:pPr>
      <w:r>
        <w:rPr>
          <w:b/>
        </w:rPr>
        <w:t>Environmental Conditions:</w:t>
      </w:r>
      <w:r>
        <w:t xml:space="preserve"> Weather (rain, snow, fog, ice), lighting (day, night, dawn/dusk), and temperature ranges [[17]][[18]][[19]].</w:t>
      </w:r>
    </w:p>
    <w:p w14:paraId="0370EDCE">
      <w:pPr>
        <w:numPr>
          <w:ilvl w:val="-1"/>
          <w:numId w:val="1"/>
        </w:numPr>
        <w:spacing w:after="400" w:line="400" w:lineRule="atLeast"/>
      </w:pPr>
      <w:r>
        <w:rPr>
          <w:b/>
        </w:rPr>
        <w:t>Geographic &amp; Infrastructure Characteristics:</w:t>
      </w:r>
      <w:r>
        <w:t xml:space="preserve"> Road type (highway, urban street, unpaved road), speed limits, road geometry (curves, grades), the presence and clarity of lane markings and signage, and traffic density [[20]][[21]][[22]].</w:t>
      </w:r>
    </w:p>
    <w:p w14:paraId="0500003B">
      <w:pPr>
        <w:numPr>
          <w:ilvl w:val="-1"/>
          <w:numId w:val="1"/>
        </w:numPr>
        <w:spacing w:after="400" w:line="400" w:lineRule="atLeast"/>
      </w:pPr>
      <w:r>
        <w:rPr>
          <w:b/>
        </w:rPr>
        <w:t>Dynamic Constraints:</w:t>
      </w:r>
      <w:r>
        <w:t xml:space="preserve"> Maximum operational speed, specific geofenced areas, and the requirement for driver engagement or readiness [[23]][[24]][[25]].</w:t>
      </w:r>
    </w:p>
    <w:p w14:paraId="7C6267E6">
      <w:pPr>
        <w:spacing w:after="400" w:line="400" w:lineRule="atLeast"/>
      </w:pPr>
      <w:r>
        <w:t xml:space="preserve">A </w:t>
      </w:r>
      <w:r>
        <w:rPr>
          <w:b/>
        </w:rPr>
        <w:t>clearly defined and communicated ODD is paramount for safety evaluation, testing, and user understanding</w:t>
      </w:r>
      <w:r>
        <w:t xml:space="preserve"> [[26]][[27]][[28]]. When a vehicle is operated within its ODD, the ADAS is expected to perform as specified. When the ODD is exceeded—for example, using a highway-only traffic jam assist system on a winding country road in a snowstorm—the system's performance is not guaranteed, and it may fail catastrophically. The ODD thus establishes a critical boundary: inside it, responsibility may lean towards the system and its manufacturer; outside it, responsibility almost certainly shifts to the human driver for misuse. However, as discussed later, the clarity of this boundary for the end-user is often poor.</w:t>
      </w:r>
    </w:p>
    <w:p w14:paraId="6E5E4B83">
      <w:pPr>
        <w:spacing w:after="400" w:line="400" w:lineRule="atLeast"/>
      </w:pPr>
      <w:r>
        <w:rPr>
          <w:b/>
          <w:sz w:val="30"/>
        </w:rPr>
        <w:t>1.3 The Human-Machine Interface (HMI): The Fault Line of Shared Control</w:t>
      </w:r>
    </w:p>
    <w:p w14:paraId="6FF2C257">
      <w:pPr>
        <w:spacing w:after="400" w:line="400" w:lineRule="atLeast"/>
      </w:pPr>
      <w:r>
        <w:t>The HMI is the conduit through which responsibility and control are negotiated, communicated, and transferred between the human and the ADAS. Its design principles and challenges are central to liability allocation, as most accidents in shared control scenarios involve a breakdown in this interaction.</w:t>
      </w:r>
    </w:p>
    <w:p w14:paraId="11A5CD33">
      <w:pPr>
        <w:spacing w:after="400" w:line="400" w:lineRule="atLeast"/>
      </w:pPr>
      <w:r>
        <w:rPr>
          <w:b/>
        </w:rPr>
        <w:t>Key Design Principles:</w:t>
      </w:r>
    </w:p>
    <w:p w14:paraId="1DDC7C0B">
      <w:pPr>
        <w:numPr>
          <w:ilvl w:val="-1"/>
          <w:numId w:val="1"/>
        </w:numPr>
        <w:spacing w:after="400" w:line="400" w:lineRule="atLeast"/>
      </w:pPr>
      <w:r>
        <w:rPr>
          <w:b/>
        </w:rPr>
        <w:t>Driver-Centricity and Ultimate Control:</w:t>
      </w:r>
      <w:r>
        <w:t xml:space="preserve"> The human should remain "in the loop" with the ability to override system actions, maintaining awareness of the driving state [[29]][[30]][[31]].</w:t>
      </w:r>
    </w:p>
    <w:p w14:paraId="0E2F017C">
      <w:pPr>
        <w:numPr>
          <w:ilvl w:val="-1"/>
          <w:numId w:val="1"/>
        </w:numPr>
        <w:spacing w:after="400" w:line="400" w:lineRule="atLeast"/>
      </w:pPr>
      <w:r>
        <w:rPr>
          <w:b/>
        </w:rPr>
        <w:t>Clarity and Mode Awareness:</w:t>
      </w:r>
      <w:r>
        <w:t xml:space="preserve"> The HMI must intuitively communicate the system's current status (e.g., "Adaptive Cruise Control: ACTIVE," "Lane Keeping: UNAVAILABLE"), its capabilities, and, crucially, its limitations. Drivers must have an accurate "mental model" of what the system is doing and what it expects of them [[32]][[33]][[34]].</w:t>
      </w:r>
    </w:p>
    <w:p w14:paraId="0CD658D4">
      <w:pPr>
        <w:numPr>
          <w:ilvl w:val="-1"/>
          <w:numId w:val="1"/>
        </w:numPr>
        <w:spacing w:after="400" w:line="400" w:lineRule="atLeast"/>
      </w:pPr>
      <w:r>
        <w:rPr>
          <w:b/>
        </w:rPr>
        <w:t>Effective Escalation and Take-Over Requests (TORs):</w:t>
      </w:r>
      <w:r>
        <w:t xml:space="preserve"> When the system approaches or exceeds its ODD, it must request human intervention through clear, timely, and multi-modal (visual, auditory, haptic) alerts. The design must consider driver workload and ensure the request is unambiguous [[35]][[36]].</w:t>
      </w:r>
    </w:p>
    <w:p w14:paraId="1E021070">
      <w:pPr>
        <w:spacing w:after="400" w:line="400" w:lineRule="atLeast"/>
      </w:pPr>
      <w:r>
        <w:rPr>
          <w:b/>
        </w:rPr>
        <w:t>Pervasive Challenges and Failure Modes:</w:t>
      </w:r>
    </w:p>
    <w:p w14:paraId="26F43D6C">
      <w:pPr>
        <w:numPr>
          <w:ilvl w:val="-1"/>
          <w:numId w:val="1"/>
        </w:numPr>
        <w:spacing w:after="400" w:line="400" w:lineRule="atLeast"/>
      </w:pPr>
      <w:r>
        <w:rPr>
          <w:b/>
        </w:rPr>
        <w:t>Over-Reliance and Automation Complacency:</w:t>
      </w:r>
      <w:r>
        <w:t xml:space="preserve"> Perhaps the most documented risk. Poorly designed or overly capable-feeling ADAS can lead drivers to </w:t>
      </w:r>
      <w:r>
        <w:rPr>
          <w:b/>
        </w:rPr>
        <w:t>misuse the technology, over-rely on it, and disengage from the driving task</w:t>
      </w:r>
      <w:r>
        <w:t>, resulting in a deadly loss of situation awareness [[37]][[38]][[39]]. A system that works flawlessly 99% of the time can induce a false sense of security that proves fatal in the 1% edge case.</w:t>
      </w:r>
    </w:p>
    <w:p w14:paraId="660A738A">
      <w:pPr>
        <w:numPr>
          <w:ilvl w:val="-1"/>
          <w:numId w:val="1"/>
        </w:numPr>
        <w:spacing w:after="400" w:line="400" w:lineRule="atLeast"/>
      </w:pPr>
      <w:r>
        <w:rPr>
          <w:b/>
        </w:rPr>
        <w:t>Mode Confusion:</w:t>
      </w:r>
      <w:r>
        <w:t xml:space="preserve"> Drivers may not understand what driving mode is active. Is the car just maintaining speed, or is it also steering? This confusion can lead to inappropriate driver behavior.</w:t>
      </w:r>
    </w:p>
    <w:p w14:paraId="0E51B3E1">
      <w:pPr>
        <w:numPr>
          <w:ilvl w:val="-1"/>
          <w:numId w:val="1"/>
        </w:numPr>
        <w:spacing w:after="400" w:line="400" w:lineRule="atLeast"/>
      </w:pPr>
      <w:r>
        <w:rPr>
          <w:b/>
        </w:rPr>
        <w:t>Inadequate Mental Models:</w:t>
      </w:r>
      <w:r>
        <w:t xml:space="preserve"> Many users anthropomorphize ADAS, believing it has human-like perception and reasoning (calling Tesla's Autopilot a "self-driving car" is a prime example). This fundamental misunderstanding of the system's ODD and sensor limitations is a direct precursor to misuse.</w:t>
      </w:r>
    </w:p>
    <w:p w14:paraId="6E9C83DC">
      <w:pPr>
        <w:numPr>
          <w:ilvl w:val="-1"/>
          <w:numId w:val="1"/>
        </w:numPr>
        <w:spacing w:after="400" w:line="400" w:lineRule="atLeast"/>
      </w:pPr>
      <w:r>
        <w:rPr>
          <w:b/>
        </w:rPr>
        <w:t>Poorly Timed or Unclear TORs:</w:t>
      </w:r>
      <w:r>
        <w:t xml:space="preserve"> If a system provides too little time to react, or the alert is confusing, the driver cannot reasonably resume control safely. This creates a "responsibility gap" or "liability vacuum" where neither party is fully capable of avoiding the accident [[40]][[41]].</w:t>
      </w:r>
    </w:p>
    <w:p w14:paraId="5FFA098D">
      <w:pPr>
        <w:spacing w:after="400" w:line="400" w:lineRule="atLeast"/>
      </w:pPr>
      <w:r>
        <w:t>In essence, the HMI is often the fault line where technical limitations meet human psychology, creating the conditions for accidents where blame is intrinsically blurred.</w:t>
      </w:r>
    </w:p>
    <w:p w14:paraId="5B589E92">
      <w:pPr>
        <w:spacing w:after="400" w:line="400" w:lineRule="atLeast"/>
      </w:pPr>
      <w:r>
        <w:rPr>
          <w:b/>
          <w:sz w:val="33"/>
        </w:rPr>
        <w:t>2. Existing Legal Frameworks: A Patchwork Under Strain</w:t>
      </w:r>
    </w:p>
    <w:p w14:paraId="39DA5E8D">
      <w:pPr>
        <w:spacing w:after="400" w:line="400" w:lineRule="atLeast"/>
      </w:pPr>
      <w:r>
        <w:t>When an ADAS-involved accident occurs, plaintiffs and defendants navigate a complex legal landscape built for traditional vehicles. The two primary doctrinal avenues are product liability and negligence, each presenting unique challenges when applied to software-driven, context-aware systems.</w:t>
      </w:r>
    </w:p>
    <w:p w14:paraId="0D4C62CB">
      <w:pPr>
        <w:spacing w:after="400" w:line="400" w:lineRule="atLeast"/>
      </w:pPr>
      <w:r>
        <w:rPr>
          <w:b/>
          <w:sz w:val="30"/>
        </w:rPr>
        <w:t>2.1 Product Liability: When the "Product" is a Dynamic System</w:t>
      </w:r>
    </w:p>
    <w:p w14:paraId="03751E8B">
      <w:pPr>
        <w:spacing w:after="400" w:line="400" w:lineRule="atLeast"/>
      </w:pPr>
      <w:r>
        <w:t>Product liability law holds manufacturers, distributors, and sellers responsible for placing a defective product into the stream of commerce that causes injury. Claims typically allege one of three types of defects: design, manufacturing, or warning (failure to instruct).</w:t>
      </w:r>
    </w:p>
    <w:p w14:paraId="662ABE50">
      <w:pPr>
        <w:numPr>
          <w:ilvl w:val="-1"/>
          <w:numId w:val="1"/>
        </w:numPr>
        <w:spacing w:after="400" w:line="400" w:lineRule="atLeast"/>
      </w:pPr>
      <w:r>
        <w:rPr>
          <w:b/>
        </w:rPr>
        <w:t>The Core Challenge:</w:t>
      </w:r>
      <w:r>
        <w:t xml:space="preserve"> Plaintiffs must prove the ADAS was </w:t>
      </w:r>
      <w:r>
        <w:rPr>
          <w:b/>
        </w:rPr>
        <w:t>defective and unreasonably dangerous</w:t>
      </w:r>
      <w:r>
        <w:t xml:space="preserve"> [[42]][[43]]. Defining "unreasonably dangerous" for a probabilistic, AI-influenced system is immensely difficult. Jurisdictions use different tests:</w:t>
      </w:r>
    </w:p>
    <w:p w14:paraId="291C4EE5">
      <w:pPr>
        <w:numPr>
          <w:ilvl w:val="-1"/>
          <w:numId w:val="1"/>
        </w:numPr>
        <w:spacing w:after="400" w:line="400" w:lineRule="atLeast"/>
      </w:pPr>
      <w:r>
        <w:rPr>
          <w:b/>
        </w:rPr>
        <w:t>Consumer Expectations Test:</w:t>
      </w:r>
      <w:r>
        <w:t xml:space="preserve"> Was the product more dangerous than an ordinary consumer would expect? For a system marketed as "Autopilot," a consumer might </w:t>
      </w:r>
      <w:r>
        <w:rPr>
          <w:i/>
        </w:rPr>
        <w:t>expect</w:t>
      </w:r>
      <w:r>
        <w:t xml:space="preserve"> it to avoid a stationary fire truck, creating liability if it does not.</w:t>
      </w:r>
    </w:p>
    <w:p w14:paraId="68DA61CB">
      <w:pPr>
        <w:numPr>
          <w:ilvl w:val="-1"/>
          <w:numId w:val="1"/>
        </w:numPr>
        <w:spacing w:after="400" w:line="400" w:lineRule="atLeast"/>
      </w:pPr>
      <w:r>
        <w:rPr>
          <w:b/>
        </w:rPr>
        <w:t>Risk-Utility Test:</w:t>
      </w:r>
      <w:r>
        <w:t xml:space="preserve"> Do the benefits of the product's design outweigh its inherent risks? This requires a complex balancing act, weighing the lives saved by AEB against the risks of its occasional false activation or failure [[44]][[45]][[46]].</w:t>
      </w:r>
    </w:p>
    <w:p w14:paraId="6F74F83C">
      <w:pPr>
        <w:numPr>
          <w:ilvl w:val="-1"/>
          <w:numId w:val="1"/>
        </w:numPr>
        <w:spacing w:after="400" w:line="400" w:lineRule="atLeast"/>
      </w:pPr>
      <w:r>
        <w:rPr>
          <w:b/>
        </w:rPr>
        <w:t>Design Defect Allegations:</w:t>
      </w:r>
      <w:r>
        <w:t xml:space="preserve"> These are most common in ADAS litigation. Was the sensor suite insufficient? Was the software algorithm flawed in how it prioritized objects? Was the system's ODD too broad for its capabilities? The </w:t>
      </w:r>
      <w:r>
        <w:rPr>
          <w:b/>
        </w:rPr>
        <w:t>evolving nature of ADAS and lack of uniform federal safety standards</w:t>
      </w:r>
      <w:r>
        <w:t xml:space="preserve"> create legal uncertainty, allowing plaintiffs to argue the design itself was inherently defective [[47]][[48]][[49]].</w:t>
      </w:r>
    </w:p>
    <w:p w14:paraId="514D81A5">
      <w:pPr>
        <w:numPr>
          <w:ilvl w:val="-1"/>
          <w:numId w:val="1"/>
        </w:numPr>
        <w:spacing w:after="400" w:line="400" w:lineRule="atLeast"/>
      </w:pPr>
      <w:r>
        <w:rPr>
          <w:b/>
        </w:rPr>
        <w:t>Failure to Warn:</w:t>
      </w:r>
      <w:r>
        <w:t xml:space="preserve"> This is a critical and fertile ground for litigation. Did the manufacturer adequately warn users of the system's limitations? Are the owner's manual warnings sufficient, or must they be integrated into the HMI? Marketing materials that overstate capabilities (e.g., "full self-driving") can directly undermine written disclaimers, creating liability for misleading consumers [[50]].</w:t>
      </w:r>
    </w:p>
    <w:p w14:paraId="646AEB54">
      <w:pPr>
        <w:numPr>
          <w:ilvl w:val="-1"/>
          <w:numId w:val="1"/>
        </w:numPr>
        <w:spacing w:after="400" w:line="400" w:lineRule="atLeast"/>
      </w:pPr>
      <w:r>
        <w:rPr>
          <w:b/>
        </w:rPr>
        <w:t>The "Sophisticated User" and Misuse Defense:</w:t>
      </w:r>
      <w:r>
        <w:t xml:space="preserve"> Manufacturers may argue the driver misused the system by operating outside its ODD or failing to monitor the road. However, courts will examine whether such misuse was foreseeable. Given widespread documented complacency, a strong argument exists that driver misuse is a foreseeable—and therefore design-accountable—risk [[51]].</w:t>
      </w:r>
    </w:p>
    <w:p w14:paraId="736B3978">
      <w:pPr>
        <w:spacing w:after="400" w:line="400" w:lineRule="atLeast"/>
      </w:pPr>
      <w:r>
        <w:t xml:space="preserve">Scholars increasingly argue that </w:t>
      </w:r>
      <w:r>
        <w:rPr>
          <w:b/>
        </w:rPr>
        <w:t>traditional product liability law may be inadequate</w:t>
      </w:r>
      <w:r>
        <w:t xml:space="preserve"> for autonomous systems, particularly as they learn and change post-deployment via over-the-air updates, blurring the line between manufacturer and "product" behavior [[52]][[53]].</w:t>
      </w:r>
    </w:p>
    <w:p w14:paraId="44968D9A">
      <w:pPr>
        <w:spacing w:after="400" w:line="400" w:lineRule="atLeast"/>
      </w:pPr>
      <w:r>
        <w:rPr>
          <w:b/>
          <w:sz w:val="30"/>
        </w:rPr>
        <w:t>2.2 Negligence: The Shifting Standard of "Reasonable Care"</w:t>
      </w:r>
    </w:p>
    <w:p w14:paraId="60E515EE">
      <w:pPr>
        <w:spacing w:after="400" w:line="400" w:lineRule="atLeast"/>
      </w:pPr>
      <w:r>
        <w:t>Negligence remains the bedrock of personal injury law in vehicle accidents in the US and many other jurisdictions [[54]][[55]][[56]]. It asks: did the party breach a duty of care owed to another, causing foreseeable harm?</w:t>
      </w:r>
    </w:p>
    <w:p w14:paraId="195958DC">
      <w:pPr>
        <w:numPr>
          <w:ilvl w:val="-1"/>
          <w:numId w:val="1"/>
        </w:numPr>
        <w:spacing w:after="400" w:line="400" w:lineRule="atLeast"/>
      </w:pPr>
      <w:r>
        <w:rPr>
          <w:b/>
        </w:rPr>
        <w:t>The Human Driver's Duty:</w:t>
      </w:r>
      <w:r>
        <w:t xml:space="preserve"> The driver's duty of "reasonable care" is being redefined. Is it reasonable to glance at a phone while Autopilot is engaged? The answer is likely no, but the line is fuzzy. Courts must define the standard of a "reasonable ADAS user," which includes understanding the system's limitations and maintaining continuous supervision—a significant cognitive burden.</w:t>
      </w:r>
    </w:p>
    <w:p w14:paraId="099F04AB">
      <w:pPr>
        <w:numPr>
          <w:ilvl w:val="-1"/>
          <w:numId w:val="1"/>
        </w:numPr>
        <w:spacing w:after="400" w:line="400" w:lineRule="atLeast"/>
      </w:pPr>
      <w:r>
        <w:rPr>
          <w:b/>
        </w:rPr>
        <w:t>Manufacturer's Duty:</w:t>
      </w:r>
      <w:r>
        <w:t xml:space="preserve"> Beyond product liability, manufacturers may owe a direct duty of care in negligence. This could involve a duty to properly test the system, to design a safe HMI, or to issue timely recalls or software updates for discovered flaws.</w:t>
      </w:r>
    </w:p>
    <w:p w14:paraId="7B783CBD">
      <w:pPr>
        <w:numPr>
          <w:ilvl w:val="-1"/>
          <w:numId w:val="1"/>
        </w:numPr>
        <w:spacing w:after="400" w:line="400" w:lineRule="atLeast"/>
      </w:pPr>
      <w:r>
        <w:rPr>
          <w:b/>
        </w:rPr>
        <w:t>Comparative and Contributory Negligence:</w:t>
      </w:r>
      <w:r>
        <w:t xml:space="preserve"> Most jurisdictions use comparative fault, apportioning liability based on percentage of fault. An ADAS accident might involve 40% fault for a defective AEB design, 50% for a distracted driver, and 10% for a municipality with faded lane markings. This apportionment is the crux of the modern liability challenge.</w:t>
      </w:r>
    </w:p>
    <w:p w14:paraId="1556AD7C">
      <w:pPr>
        <w:spacing w:after="400" w:line="400" w:lineRule="atLeast"/>
      </w:pPr>
      <w:r>
        <w:t xml:space="preserve">Some legal scholars, like those advocating the </w:t>
      </w:r>
      <w:r>
        <w:rPr>
          <w:b/>
        </w:rPr>
        <w:t>Geisfeld approach, suggest traditional negligence analysis can be adapted</w:t>
      </w:r>
      <w:r>
        <w:t xml:space="preserve"> to handle ADAS by carefully applying existing doctrines of duty, breach, and causation to both human and corporate actors [[57]][[58]][[59]]. Others believe the unique, shared-control nature demands new statutory schemes.</w:t>
      </w:r>
    </w:p>
    <w:p w14:paraId="1C6F0503">
      <w:pPr>
        <w:spacing w:after="400" w:line="400" w:lineRule="atLeast"/>
      </w:pPr>
      <w:r>
        <w:rPr>
          <w:b/>
          <w:sz w:val="30"/>
        </w:rPr>
        <w:t>2.3 Jurisdictional Variability: A Tower of Legal Babel</w:t>
      </w:r>
    </w:p>
    <w:p w14:paraId="1CCBC52A">
      <w:pPr>
        <w:spacing w:after="400" w:line="400" w:lineRule="atLeast"/>
      </w:pPr>
      <w:r>
        <w:t xml:space="preserve">There is </w:t>
      </w:r>
      <w:r>
        <w:rPr>
          <w:b/>
        </w:rPr>
        <w:t>no uniform international or even national (in the U.S.) standard</w:t>
      </w:r>
      <w:r>
        <w:t xml:space="preserve"> for liability determination in ADAS accidents [[60]][[61]][[62]]. This creates a hazardous patchwork:</w:t>
      </w:r>
    </w:p>
    <w:p w14:paraId="6F60DF9F">
      <w:pPr>
        <w:numPr>
          <w:ilvl w:val="-1"/>
          <w:numId w:val="1"/>
        </w:numPr>
        <w:spacing w:after="400" w:line="400" w:lineRule="atLeast"/>
      </w:pPr>
      <w:r>
        <w:rPr>
          <w:b/>
        </w:rPr>
        <w:t>United States:</w:t>
      </w:r>
      <w:r>
        <w:t xml:space="preserve"> A fragmented landscape. No federal AI or AV liability statute exists. Product liability law varies by state (e.g., strict liability in California vs. different rules in Michigan). Some states have passed laws addressing AV testing, but few tackle L2/L3 ADAS liability head-on. The </w:t>
      </w:r>
      <w:r>
        <w:rPr>
          <w:b/>
        </w:rPr>
        <w:t>higher volume of product liability litigation</w:t>
      </w:r>
      <w:r>
        <w:t xml:space="preserve"> in the U.S. compared to Europe suggests a more aggressive legal environment for manufacturers [[63]][[64]].</w:t>
      </w:r>
    </w:p>
    <w:p w14:paraId="3CEB42A3">
      <w:pPr>
        <w:numPr>
          <w:ilvl w:val="-1"/>
          <w:numId w:val="1"/>
        </w:numPr>
        <w:spacing w:after="400" w:line="400" w:lineRule="atLeast"/>
      </w:pPr>
      <w:r>
        <w:rPr>
          <w:b/>
        </w:rPr>
        <w:t>European Union:</w:t>
      </w:r>
      <w:r>
        <w:t xml:space="preserve"> Moving towards a more harmonized but strict approach. The EU's draft AI Liability Directive and revised Product Liability Directive aim to address AI systems. The </w:t>
      </w:r>
      <w:r>
        <w:rPr>
          <w:b/>
        </w:rPr>
        <w:t>General Safety Regulation (GSR) mandates specific ADAS features</w:t>
      </w:r>
      <w:r>
        <w:t xml:space="preserve"> but does not create a liability regime. Culturally and legally, the EU tends towards a </w:t>
      </w:r>
      <w:r>
        <w:rPr>
          <w:b/>
        </w:rPr>
        <w:t>strict liability principle</w:t>
      </w:r>
      <w:r>
        <w:t xml:space="preserve"> for producers, making it easier for victims to claim compensation without proving fault [[65]][[66]][[67]].</w:t>
      </w:r>
    </w:p>
    <w:p w14:paraId="5BC25280">
      <w:pPr>
        <w:numPr>
          <w:ilvl w:val="-1"/>
          <w:numId w:val="1"/>
        </w:numPr>
        <w:spacing w:after="400" w:line="400" w:lineRule="atLeast"/>
      </w:pPr>
      <w:r>
        <w:rPr>
          <w:b/>
        </w:rPr>
        <w:t>China:</w:t>
      </w:r>
      <w:r>
        <w:t xml:space="preserve"> Actively developing its regulatory framework, drawing from U.S. and EU models but within its state-led paradigm [[68]]. China's traditional motor vehicle accident liability rules are being adapted, focusing on identifying "who controls the car" based on SAE levels at the moment of impact [[69]]. Comparative studies highlight different strategic adaptations between China and Western jurisdictions [[70]].</w:t>
      </w:r>
    </w:p>
    <w:p w14:paraId="2BB3911B">
      <w:pPr>
        <w:spacing w:after="400" w:line="400" w:lineRule="atLeast"/>
      </w:pPr>
      <w:r>
        <w:t xml:space="preserve">This </w:t>
      </w:r>
      <w:r>
        <w:rPr>
          <w:b/>
        </w:rPr>
        <w:t>lack of uniformity creates profound uncertainty</w:t>
      </w:r>
      <w:r>
        <w:t xml:space="preserve"> for global manufacturers, insurers, and consumers, potentially stifling innovation and complicating justice for victims [[71]][[72]][[73]].</w:t>
      </w:r>
    </w:p>
    <w:p w14:paraId="4D3142C6">
      <w:pPr>
        <w:spacing w:after="400" w:line="400" w:lineRule="atLeast"/>
      </w:pPr>
      <w:r>
        <w:rPr>
          <w:b/>
          <w:sz w:val="33"/>
        </w:rPr>
        <w:t>3. Analysis of Relevant Case Law and Precedents</w:t>
      </w:r>
    </w:p>
    <w:p w14:paraId="0DF2B65A">
      <w:pPr>
        <w:spacing w:after="400" w:line="400" w:lineRule="atLeast"/>
      </w:pPr>
      <w:r>
        <w:t>While comprehensive case law is still developing, several high-profile incidents and lawsuits provide critical insights into how courts and regulators are beginning to grapple with ADAS liability. These cases highlight the central tensions between human error, product defect, and the inadequacy of existing frameworks.</w:t>
      </w:r>
    </w:p>
    <w:p w14:paraId="289CF1B2">
      <w:pPr>
        <w:spacing w:after="400" w:line="400" w:lineRule="atLeast"/>
      </w:pPr>
      <w:r>
        <w:rPr>
          <w:b/>
          <w:sz w:val="30"/>
        </w:rPr>
        <w:t>3.1 Criminal Prosecutions: Setting a High Bar for Driver Liability</w:t>
      </w:r>
    </w:p>
    <w:p w14:paraId="7F07ED86">
      <w:pPr>
        <w:numPr>
          <w:ilvl w:val="-1"/>
          <w:numId w:val="1"/>
        </w:numPr>
        <w:spacing w:after="400" w:line="400" w:lineRule="atLeast"/>
      </w:pPr>
      <w:r>
        <w:rPr>
          <w:b/>
          <w:i/>
        </w:rPr>
        <w:t>Kevin George Aziz Riad</w:t>
      </w:r>
      <w:r>
        <w:rPr>
          <w:b/>
        </w:rPr>
        <w:t xml:space="preserve"> (California, 2019):</w:t>
      </w:r>
      <w:r>
        <w:t xml:space="preserve"> A Tesla Model S on Autopilot ran a red light at high speed, striking another vehicle and killing its two occupants. The human driver was charged with </w:t>
      </w:r>
      <w:r>
        <w:rPr>
          <w:b/>
        </w:rPr>
        <w:t>two counts of vehicular manslaughter</w:t>
      </w:r>
      <w:r>
        <w:t>. This marked one of the first times a driver using a partially automated system faced felony criminal charges. The case sent a strong message: the presence of ADAS does not absolve the driver of ultimate responsibility for safe vehicle operation under current law. The driver pleaded guilty to lesser charges [[74]].</w:t>
      </w:r>
    </w:p>
    <w:p w14:paraId="5446515C">
      <w:pPr>
        <w:numPr>
          <w:ilvl w:val="-1"/>
          <w:numId w:val="1"/>
        </w:numPr>
        <w:spacing w:after="400" w:line="400" w:lineRule="atLeast"/>
      </w:pPr>
      <w:r>
        <w:rPr>
          <w:b/>
          <w:i/>
        </w:rPr>
        <w:t>Elaine Herzberg</w:t>
      </w:r>
      <w:r>
        <w:rPr>
          <w:b/>
        </w:rPr>
        <w:t xml:space="preserve"> (Arizona, 2018):</w:t>
      </w:r>
      <w:r>
        <w:t xml:space="preserve"> An Uber test vehicle in autonomous mode (with a safety driver) struck and killed a pedestrian. The </w:t>
      </w:r>
      <w:r>
        <w:rPr>
          <w:b/>
        </w:rPr>
        <w:t>safety driver was charged with negligent homicide</w:t>
      </w:r>
      <w:r>
        <w:t>. The National Transportation Safety Board (NTSB) found the system's software fatally misclassified the pedestrian and that the safety driver was distracted. This case highlights liability in a testing context, emphasizing the duties of both the remote operator (Uber) and the in-vehicle monitor [[75]][[76]][[77]].</w:t>
      </w:r>
    </w:p>
    <w:p w14:paraId="0A198585">
      <w:pPr>
        <w:spacing w:after="400" w:line="400" w:lineRule="atLeast"/>
      </w:pPr>
      <w:r>
        <w:t xml:space="preserve">These criminal cases reinforce the legal principle that </w:t>
      </w:r>
      <w:r>
        <w:rPr>
          <w:b/>
        </w:rPr>
        <w:t>the human behind the wheel retains a non-delegable duty of care</w:t>
      </w:r>
      <w:r>
        <w:t>, even when automation is active. They serve as a stark counterpoint to marketing that might suggest otherwise.</w:t>
      </w:r>
    </w:p>
    <w:p w14:paraId="48AC377A">
      <w:pPr>
        <w:spacing w:after="400" w:line="400" w:lineRule="atLeast"/>
      </w:pPr>
      <w:r>
        <w:rPr>
          <w:b/>
          <w:sz w:val="30"/>
        </w:rPr>
        <w:t>3.2 Civil Litigation: The Battlefield of Product Liability and Negligence</w:t>
      </w:r>
    </w:p>
    <w:p w14:paraId="3A58CBC5">
      <w:pPr>
        <w:spacing w:after="400" w:line="400" w:lineRule="atLeast"/>
      </w:pPr>
      <w:r>
        <w:t>Civil lawsuits provide the richest source of emerging precedent on fault allocation.</w:t>
      </w:r>
    </w:p>
    <w:p w14:paraId="1DCBDBAA">
      <w:pPr>
        <w:numPr>
          <w:ilvl w:val="-1"/>
          <w:numId w:val="1"/>
        </w:numPr>
        <w:spacing w:after="400" w:line="400" w:lineRule="atLeast"/>
      </w:pPr>
      <w:r>
        <w:rPr>
          <w:b/>
          <w:i/>
        </w:rPr>
        <w:t>Huang v. Tesla, Inc.</w:t>
      </w:r>
      <w:r>
        <w:rPr>
          <w:b/>
        </w:rPr>
        <w:t xml:space="preserve"> (2018):</w:t>
      </w:r>
      <w:r>
        <w:t xml:space="preserve"> A wrongful death suit after a Tesla Model X on Autopilot crashed into a highway barrier. The plaintiffs alleged defects in Autopilot's design, including its over-reliance on lane markings and failure to recognize the barrier. Tesla argued the driver was distracted. The case, and others like it, center on </w:t>
      </w:r>
      <w:r>
        <w:rPr>
          <w:b/>
        </w:rPr>
        <w:t>whether the system's design—including its ability to monitor driver engagement—was defective and a proximate cause of the crash</w:t>
      </w:r>
      <w:r>
        <w:t xml:space="preserve"> [[78]][[79]].</w:t>
      </w:r>
    </w:p>
    <w:p w14:paraId="71C4E2ED">
      <w:pPr>
        <w:numPr>
          <w:ilvl w:val="-1"/>
          <w:numId w:val="1"/>
        </w:numPr>
        <w:spacing w:after="400" w:line="400" w:lineRule="atLeast"/>
      </w:pPr>
      <w:r>
        <w:rPr>
          <w:b/>
          <w:i/>
        </w:rPr>
        <w:t>Wood v. State of Arizona</w:t>
      </w:r>
      <w:r>
        <w:rPr>
          <w:b/>
        </w:rPr>
        <w:t xml:space="preserve"> (2019):</w:t>
      </w:r>
      <w:r>
        <w:t xml:space="preserve"> Involved the Uber test vehicle that killed Elaine Herzberg. The civil settlement and ongoing litigation probe the </w:t>
      </w:r>
      <w:r>
        <w:rPr>
          <w:b/>
        </w:rPr>
        <w:t>liability of the software developer, the sensor supplier, the safety driver, and the entity conducting the test</w:t>
      </w:r>
      <w:r>
        <w:t>. It raises questions about the standard of care for testing AI on public roads [[80]].</w:t>
      </w:r>
    </w:p>
    <w:p w14:paraId="6E2B1ED8">
      <w:pPr>
        <w:numPr>
          <w:ilvl w:val="-1"/>
          <w:numId w:val="1"/>
        </w:numPr>
        <w:spacing w:after="400" w:line="400" w:lineRule="atLeast"/>
      </w:pPr>
      <w:r>
        <w:rPr>
          <w:b/>
          <w:i/>
        </w:rPr>
        <w:t>Miel v. First Texas Honda</w:t>
      </w:r>
      <w:r>
        <w:rPr>
          <w:b/>
        </w:rPr>
        <w:t xml:space="preserve"> (2019) &amp; </w:t>
      </w:r>
      <w:r>
        <w:rPr>
          <w:b/>
          <w:i/>
        </w:rPr>
        <w:t>Lieberman v. Schumacher Auto Group</w:t>
      </w:r>
      <w:r>
        <w:rPr>
          <w:b/>
        </w:rPr>
        <w:t xml:space="preserve"> (2018):</w:t>
      </w:r>
      <w:r>
        <w:t xml:space="preserve"> Both cases involved crashes during test drives where ADAS features (automatic braking and Subaru's EyeSight) allegedly failed. These highlight liability for dealers and manufacturers even before purchase, and the challenge of proving a transient software or sensor failure [[81]][[82]].</w:t>
      </w:r>
    </w:p>
    <w:p w14:paraId="4158A79A">
      <w:pPr>
        <w:numPr>
          <w:ilvl w:val="-1"/>
          <w:numId w:val="1"/>
        </w:numPr>
        <w:spacing w:after="400" w:line="400" w:lineRule="atLeast"/>
      </w:pPr>
      <w:r>
        <w:rPr>
          <w:b/>
          <w:i/>
        </w:rPr>
        <w:t>Dashi v. Nissan North America</w:t>
      </w:r>
      <w:r>
        <w:rPr>
          <w:b/>
        </w:rPr>
        <w:t xml:space="preserve"> &amp; </w:t>
      </w:r>
      <w:r>
        <w:rPr>
          <w:b/>
          <w:i/>
        </w:rPr>
        <w:t>Maskiell v. Nissan</w:t>
      </w:r>
      <w:r>
        <w:rPr>
          <w:b/>
        </w:rPr>
        <w:t>:</w:t>
      </w:r>
      <w:r>
        <w:t xml:space="preserve"> These cases allege negligence and product liability for the </w:t>
      </w:r>
      <w:r>
        <w:rPr>
          <w:i/>
        </w:rPr>
        <w:t>absence</w:t>
      </w:r>
      <w:r>
        <w:t xml:space="preserve"> of ADAS features (AEB, etc.) in vehicle trim levels that could have them, arguing that omitting proven safety technology is itself a design defect. This "failure to equip" theory could significantly expand manufacturer liability [[83]].</w:t>
      </w:r>
    </w:p>
    <w:p w14:paraId="2D2CCBDD">
      <w:pPr>
        <w:spacing w:after="400" w:line="400" w:lineRule="atLeast"/>
      </w:pPr>
      <w:r>
        <w:rPr>
          <w:b/>
        </w:rPr>
        <w:t>Common Legal Themes from Case Law:</w:t>
      </w:r>
    </w:p>
    <w:p w14:paraId="65667450">
      <w:pPr>
        <w:numPr>
          <w:ilvl w:val="0"/>
          <w:numId w:val="2"/>
        </w:numPr>
        <w:spacing w:after="400" w:line="400" w:lineRule="atLeast"/>
      </w:pPr>
      <w:r>
        <w:rPr>
          <w:b/>
        </w:rPr>
        <w:t>The Centrality of Data:</w:t>
      </w:r>
      <w:r>
        <w:t xml:space="preserve"> Event Data Recorders (EDRs) and system logs are paramount. They can show driver input, system status, sensor data, and timing of TORs. Disputes often involve access to and interpretation of this data [[84]][[85]][[86]].</w:t>
      </w:r>
    </w:p>
    <w:p w14:paraId="15E4A51E">
      <w:pPr>
        <w:numPr>
          <w:ilvl w:val="0"/>
          <w:numId w:val="2"/>
        </w:numPr>
        <w:spacing w:after="400" w:line="400" w:lineRule="atLeast"/>
      </w:pPr>
      <w:r>
        <w:rPr>
          <w:b/>
        </w:rPr>
        <w:t>The Foreseeability of Misuse:</w:t>
      </w:r>
      <w:r>
        <w:t xml:space="preserve"> Courts are increasingly skeptical of manufacturer claims that driver misuse is an unforeseeable intervening cause. Widespread media reports of ADAS complacency make it a known risk.</w:t>
      </w:r>
    </w:p>
    <w:p w14:paraId="64024C33">
      <w:pPr>
        <w:numPr>
          <w:ilvl w:val="0"/>
          <w:numId w:val="2"/>
        </w:numPr>
        <w:spacing w:after="400" w:line="400" w:lineRule="atLeast"/>
      </w:pPr>
      <w:r>
        <w:rPr>
          <w:b/>
        </w:rPr>
        <w:t>Marketing vs. Reality:</w:t>
      </w:r>
      <w:r>
        <w:t xml:space="preserve"> A recurring theme is the disconnect between brand names ("Autopilot," "ProPILOT," "Co-Pilot") and legal disclaimers. Aggressive marketing can establish consumer expectations that form the basis for liability under the consumer expectations test [[87]].</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7CEF4">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BCC0A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2331</Words>
  <Characters>14246</Characters>
  <TotalTime>0</TotalTime>
  <ScaleCrop>false</ScaleCrop>
  <LinksUpToDate>false</LinksUpToDate>
  <CharactersWithSpaces>16512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2026-01-04T18:35:04Z</dcterms:created>
  <dc:creator>86188</dc:creator>
  <cp:lastModifiedBy>dyx</cp:lastModifiedBy>
  <dcterms:modified xsi:type="dcterms:W3CDTF">2026-01-04T18:35:34Z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0ee3a18b-87a1-4c81-ad75-9c74b32b99eb","Lable":"1","ReservedCode1":"9544fc43e6daa75cbb2818958615b243","ReservedCode2":"9544fc43e6daa75cbb2818958615b243","PropagateID":"Metasota_docx_694914cd86ee47b771420197_1_0ee3a18b-87a1-4c81-ad75-9c74b32b99eb","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5CD433773EF04F93918B5321F87B4486_12</vt:lpwstr>
  </property>
</Properties>
</file>