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75873">
      <w:pPr>
        <w:spacing w:after="400" w:line="400" w:lineRule="atLeast"/>
        <w:jc w:val="center"/>
      </w:pPr>
      <w:bookmarkStart w:id="0" w:name="_GoBack"/>
      <w:bookmarkEnd w:id="0"/>
      <w:r>
        <w:rPr>
          <w:b/>
          <w:sz w:val="39"/>
        </w:rPr>
        <w:t>Allocating Liability in the Age of Assisted Driving: A Policy Analysis of Advanced Driver-Assistance Systems (ADAS) in Shared Human-Machine Contexts</w:t>
      </w:r>
    </w:p>
    <w:p w14:paraId="7B9C2CA3">
      <w:pPr>
        <w:spacing w:after="400" w:line="400" w:lineRule="atLeast"/>
      </w:pPr>
      <w:r>
        <w:rPr>
          <w:b/>
        </w:rPr>
        <w:t>Date:</w:t>
      </w:r>
      <w:r>
        <w:t xml:space="preserve"> December 30, 2025</w:t>
      </w:r>
    </w:p>
    <w:p w14:paraId="56510216">
      <w:pPr>
        <w:spacing w:after="400" w:line="400" w:lineRule="atLeast"/>
      </w:pPr>
      <w:r>
        <w:rPr>
          <w:b/>
        </w:rPr>
        <w:t>Author:</w:t>
      </w:r>
      <w:r>
        <w:t xml:space="preserve"> Policy Analyst</w:t>
      </w:r>
    </w:p>
    <w:p w14:paraId="6FB3D0DE">
      <w:pPr>
        <w:spacing w:after="400" w:line="400" w:lineRule="atLeast"/>
      </w:pPr>
      <w:r>
        <w:rPr>
          <w:b/>
        </w:rPr>
        <w:t>Subject:</w:t>
      </w:r>
      <w:r>
        <w:t xml:space="preserve"> Analysis of liability frameworks for accidents involving vehicles equipped with Advanced Driver-Assistance Systems (ADAS).</w:t>
      </w:r>
    </w:p>
    <w:p w14:paraId="79722D3F">
      <w:pPr>
        <w:spacing w:after="400" w:line="400" w:lineRule="atLeast"/>
      </w:pPr>
      <w:r>
        <w:rPr>
          <w:b/>
          <w:sz w:val="30"/>
        </w:rPr>
        <w:t>Executive Summary</w:t>
      </w:r>
    </w:p>
    <w:p w14:paraId="4048F96B">
      <w:pPr>
        <w:spacing w:after="400" w:line="400" w:lineRule="atLeast"/>
      </w:pPr>
      <w:r>
        <w:t>The rapid integration of Advanced Driver-Assistance Systems (ADAS) into the global vehicle fleet represents a paradigm shift in transportation, promising enhanced safety and comfort. However, this technological evolution occurs within a shared driving context, where responsibility is dynamically split between a human driver and an automated system. This hybrid model has exposed significant fissures in traditional legal and liability frameworks, creating ambiguity, uncertainty, and potential gaps in accountability when accidents occur. This report provides a comprehensive analysis of this challenge. It begins by describing ADAS in accessible terms, defining its role as an assistive, not replacement, technology. It then reviews the existing primary legal doctrines of negligence and product liability, finding them simultaneously applicable and strained by ADAS complexities. Through an examination of real-world case examples and an analysis of the blurred responsibility boundaries between human and machine, the report identifies core tensions: over-reliance, system limitations, and unclear handover protocols. Concluding with broad regulatory suggestions, the report advocates for a multi-pronged approach involving clarified driver education and system disclosure, potential adaptations to insurance models, the development of robust data-recording standards, and, ultimately, legislative action to create clearer liability pathways. The goal is to foster a regulatory environment that protects consumers, encourages technological innovation, and ensures justice and safety on public roads.</w:t>
      </w:r>
    </w:p>
    <w:p w14:paraId="0D57D183">
      <w:pPr>
        <w:spacing w:after="400" w:line="400" w:lineRule="atLeast"/>
      </w:pPr>
      <w:r>
        <w:rPr>
          <w:b/>
          <w:sz w:val="30"/>
        </w:rPr>
        <w:t>1. Introduction: The Dawn of Shared Driving</w:t>
      </w:r>
    </w:p>
    <w:p w14:paraId="10B4CE7D">
      <w:pPr>
        <w:spacing w:after="400" w:line="400" w:lineRule="atLeast"/>
      </w:pPr>
      <w:r>
        <w:t xml:space="preserve">The automobile, for over a century, has been a tool under the sole command of a human operator. Liability for its operation, and for the accidents it causes, has been a well-trodden area of law, predominantly centered on the concept of driver error. The 21st century is fundamentally altering this dynamic. We are now in an era of </w:t>
      </w:r>
      <w:r>
        <w:rPr>
          <w:b/>
        </w:rPr>
        <w:t>shared driving</w:t>
      </w:r>
      <w:r>
        <w:t>, where vehicle control is a collaborative effort between a human and a suite of electronic systems collectively known as Advanced Driver-Assistance Systems (ADAS). This collaboration is not static; it shifts moment-to-moment based on road conditions, system capabilities, and driver engagement.</w:t>
      </w:r>
    </w:p>
    <w:p w14:paraId="6B189B43">
      <w:pPr>
        <w:spacing w:after="400" w:line="400" w:lineRule="atLeast"/>
      </w:pPr>
      <w:r>
        <w:t>This technological integration brings immense potential. According to safety researchers and automotive engineers, ADAS technologies are designed to reduce the massive toll of human error, which is a factor in the overwhelming majority of crashes  [[1]][[2]]. By providing warnings, corrective actions, and continuous monitoring, these systems aim to create a safer driving environment. Yet, this very integration creates a profound legal and policy puzzle: when an accident occurs in this shared space, who is at fault? Is it the inattentive driver, the over-trusting user, the automaker that designed the system, the software developer, or some complex combination thereof?</w:t>
      </w:r>
    </w:p>
    <w:p w14:paraId="2639251C">
      <w:pPr>
        <w:spacing w:after="400" w:line="400" w:lineRule="atLeast"/>
      </w:pPr>
      <w:r>
        <w:t xml:space="preserve">The core problem is one of </w:t>
      </w:r>
      <w:r>
        <w:rPr>
          <w:b/>
        </w:rPr>
        <w:t>allocated responsibility</w:t>
      </w:r>
      <w:r>
        <w:t>. Traditional legal frameworks draw bright lines—driver versus other road user, or manufacturer versus consumer—that are ill-suited for a context where agency is blended. This report seeks to dissect this problem. It will not delve into the granular technical specifications of sensors or algorithms but will focus on the human, legal, and systemic implications of this shift. By examining what ADAS is, how current law applies, what has happened in early case studies, where the boundaries of responsibility blur, and what regulatory steps could be taken, this analysis aims to provide a foundation for policymakers, legal scholars, and industry stakeholders navigating this complex transition.</w:t>
      </w:r>
    </w:p>
    <w:p w14:paraId="1D5D3784">
      <w:pPr>
        <w:spacing w:after="400" w:line="400" w:lineRule="atLeast"/>
      </w:pPr>
      <w:r>
        <w:rPr>
          <w:b/>
          <w:sz w:val="30"/>
        </w:rPr>
        <w:t>2. Defining Advanced Driver-Assistance Systems (ADAS) for a Shared Context</w:t>
      </w:r>
    </w:p>
    <w:p w14:paraId="54B0EDCC">
      <w:pPr>
        <w:spacing w:after="400" w:line="400" w:lineRule="atLeast"/>
      </w:pPr>
      <w:r>
        <w:t xml:space="preserve">To understand liability, one must first understand the actor in question. In simple, non-technical terms, </w:t>
      </w:r>
      <w:r>
        <w:rPr>
          <w:b/>
        </w:rPr>
        <w:t>Advanced Driver-Assistance Systems (ADAS) are electronic co-pilots</w:t>
      </w:r>
      <w:r>
        <w:t xml:space="preserve">. They are collections of technologies installed in vehicles to aid the human driver in the driving task, with the primary goals of enhancing safety, improving driving comfort, and preventing accidents  [[3]][[4]][[5]]. It is critical to emphasize the words "assistance" and "aid." With rare exceptions in higher-level automation, today’s ADAS are not autonomous drivers. They are </w:t>
      </w:r>
      <w:r>
        <w:rPr>
          <w:b/>
        </w:rPr>
        <w:t>shared driving systems</w:t>
      </w:r>
      <w:r>
        <w:t>, meaning the human remains an integral, responsible part of the control loop  [[6]][[7]][[8]].</w:t>
      </w:r>
    </w:p>
    <w:p w14:paraId="09F6858E">
      <w:pPr>
        <w:spacing w:after="400" w:line="400" w:lineRule="atLeast"/>
      </w:pPr>
      <w:r>
        <w:t xml:space="preserve">These systems function through a basic sequence: perceive, process, act (or advise). First, they </w:t>
      </w:r>
      <w:r>
        <w:rPr>
          <w:b/>
        </w:rPr>
        <w:t>perceive</w:t>
      </w:r>
      <w:r>
        <w:t xml:space="preserve"> the vehicle’s environment using a suite of sensors such as cameras, radar, and sometimes lidar  [[9]][[10]][[11]]. These act as the system’s "eyes," detecting lane markings, vehicles, pedestrians, and obstacles. Second, onboard computers </w:t>
      </w:r>
      <w:r>
        <w:rPr>
          <w:b/>
        </w:rPr>
        <w:t>process</w:t>
      </w:r>
      <w:r>
        <w:t xml:space="preserve"> this sensor data, interpreting it to understand the driving scene. Finally, based on this understanding, the system will either </w:t>
      </w:r>
      <w:r>
        <w:rPr>
          <w:b/>
        </w:rPr>
        <w:t>act</w:t>
      </w:r>
      <w:r>
        <w:t xml:space="preserve"> or </w:t>
      </w:r>
      <w:r>
        <w:rPr>
          <w:b/>
        </w:rPr>
        <w:t>advise</w:t>
      </w:r>
      <w:r>
        <w:t>.</w:t>
      </w:r>
    </w:p>
    <w:p w14:paraId="1A0CB27C">
      <w:pPr>
        <w:numPr>
          <w:ilvl w:val="-1"/>
          <w:numId w:val="1"/>
        </w:numPr>
        <w:spacing w:after="400" w:line="400" w:lineRule="atLeast"/>
      </w:pPr>
      <w:r>
        <w:rPr>
          <w:b/>
        </w:rPr>
        <w:t>Acting (Intervention):</w:t>
      </w:r>
      <w:r>
        <w:t xml:space="preserve"> The system automatically performs a discrete driving task. Examples include:</w:t>
      </w:r>
    </w:p>
    <w:p w14:paraId="6674C901">
      <w:pPr>
        <w:numPr>
          <w:ilvl w:val="-1"/>
          <w:numId w:val="1"/>
        </w:numPr>
        <w:spacing w:after="400" w:line="400" w:lineRule="atLeast"/>
      </w:pPr>
      <w:r>
        <w:rPr>
          <w:b/>
        </w:rPr>
        <w:t>Automatic Emergency Braking (AEB):</w:t>
      </w:r>
      <w:r>
        <w:t xml:space="preserve"> Detects an imminent collision and applies the brakes if the driver does not.</w:t>
      </w:r>
    </w:p>
    <w:p w14:paraId="63582F9C">
      <w:pPr>
        <w:numPr>
          <w:ilvl w:val="-1"/>
          <w:numId w:val="1"/>
        </w:numPr>
        <w:spacing w:after="400" w:line="400" w:lineRule="atLeast"/>
      </w:pPr>
      <w:r>
        <w:rPr>
          <w:b/>
        </w:rPr>
        <w:t>Adaptive Cruise Control (ACC):</w:t>
      </w:r>
      <w:r>
        <w:t xml:space="preserve"> Maintains a set speed but also automatically slows down and speeds up to keep a safe distance from the car ahead.</w:t>
      </w:r>
    </w:p>
    <w:p w14:paraId="2BEB7781">
      <w:pPr>
        <w:numPr>
          <w:ilvl w:val="-1"/>
          <w:numId w:val="1"/>
        </w:numPr>
        <w:spacing w:after="400" w:line="400" w:lineRule="atLeast"/>
      </w:pPr>
      <w:r>
        <w:rPr>
          <w:b/>
        </w:rPr>
        <w:t>Lane Keeping Assist (LKA):</w:t>
      </w:r>
      <w:r>
        <w:t xml:space="preserve"> Provides gentle steering inputs to help keep the vehicle centered in its lane.</w:t>
      </w:r>
    </w:p>
    <w:p w14:paraId="15DF89FD">
      <w:pPr>
        <w:numPr>
          <w:ilvl w:val="-1"/>
          <w:numId w:val="1"/>
        </w:numPr>
        <w:spacing w:after="400" w:line="400" w:lineRule="atLeast"/>
      </w:pPr>
      <w:r>
        <w:rPr>
          <w:b/>
        </w:rPr>
        <w:t>Advising (Warning):</w:t>
      </w:r>
      <w:r>
        <w:t xml:space="preserve"> The system alerts the driver to a potential hazard, leaving the corrective action to the human. Examples include:</w:t>
      </w:r>
    </w:p>
    <w:p w14:paraId="45F5D2D0">
      <w:pPr>
        <w:numPr>
          <w:ilvl w:val="-1"/>
          <w:numId w:val="1"/>
        </w:numPr>
        <w:spacing w:after="400" w:line="400" w:lineRule="atLeast"/>
      </w:pPr>
      <w:r>
        <w:rPr>
          <w:b/>
        </w:rPr>
        <w:t>Lane Departure Warning (LDW):</w:t>
      </w:r>
      <w:r>
        <w:t xml:space="preserve"> Alerts the driver if the vehicle begins to drift out of its lane without a turn signal.</w:t>
      </w:r>
    </w:p>
    <w:p w14:paraId="1D5C1150">
      <w:pPr>
        <w:numPr>
          <w:ilvl w:val="-1"/>
          <w:numId w:val="1"/>
        </w:numPr>
        <w:spacing w:after="400" w:line="400" w:lineRule="atLeast"/>
      </w:pPr>
      <w:r>
        <w:rPr>
          <w:b/>
        </w:rPr>
        <w:t>Forward Collision Warning (FCW):</w:t>
      </w:r>
      <w:r>
        <w:t xml:space="preserve"> Provides visual, auditory, or haptic alerts if a potential front-end collision is detected.</w:t>
      </w:r>
    </w:p>
    <w:p w14:paraId="224C79FE">
      <w:pPr>
        <w:numPr>
          <w:ilvl w:val="-1"/>
          <w:numId w:val="1"/>
        </w:numPr>
        <w:spacing w:after="400" w:line="400" w:lineRule="atLeast"/>
      </w:pPr>
      <w:r>
        <w:rPr>
          <w:b/>
        </w:rPr>
        <w:t>Blind Spot Monitoring (BSM):</w:t>
      </w:r>
      <w:r>
        <w:t xml:space="preserve"> Alerts the driver to vehicles in adjacent lanes that may not be visible in the mirrors.</w:t>
      </w:r>
    </w:p>
    <w:p w14:paraId="479E15C7">
      <w:pPr>
        <w:spacing w:after="400" w:line="400" w:lineRule="atLeast"/>
      </w:pPr>
      <w:r>
        <w:t>The interface through which the system communicates with the driver—beeps, steering wheel vibrations, dashboard icons, or spoken words—is known as the Human-Machine Interface (HMI)  [[12]][[13]]. The effectiveness of ADAS hinges not just on its technical performance but on the clarity of this HMI and the driver’s correct understanding of it.</w:t>
      </w:r>
    </w:p>
    <w:p w14:paraId="7BBF48A4">
      <w:pPr>
        <w:spacing w:after="400" w:line="400" w:lineRule="atLeast"/>
      </w:pPr>
      <w:r>
        <w:t xml:space="preserve">In a shared driving context, the driver’s role evolves from sole operator to </w:t>
      </w:r>
      <w:r>
        <w:rPr>
          <w:b/>
        </w:rPr>
        <w:t>supervised system manager</w:t>
      </w:r>
      <w:r>
        <w:t>. The driver is expected to remain engaged, monitor the road and the system’s performance, and be prepared to immediately resume full control when the system requests it or when its limits are reached  [[14]][[15]]. This shift from continuous manual control to intermittent supervisory control is at the heart of the liability challenge. The system is designed to handle specific scenarios, but the human is legally presumed to be responsible for the entire driving task. This inherent tension—between what the technology can do and what the human is legally obligated to do—defines the contemporary ADAS landscape.</w:t>
      </w:r>
    </w:p>
    <w:p w14:paraId="08EF459C">
      <w:pPr>
        <w:spacing w:after="400" w:line="400" w:lineRule="atLeast"/>
      </w:pPr>
      <w:r>
        <w:rPr>
          <w:b/>
          <w:sz w:val="30"/>
        </w:rPr>
        <w:t>3. Existing Legal Frameworks: Negligence and Product Liability</w:t>
      </w:r>
    </w:p>
    <w:p w14:paraId="6B8F87D0">
      <w:pPr>
        <w:spacing w:after="400" w:line="400" w:lineRule="atLeast"/>
      </w:pPr>
      <w:r>
        <w:t xml:space="preserve">When an ADAS-equipped vehicle is involved in a crash, plaintiffs (injured parties) and defendants (drivers, manufacturers) navigate a legal landscape built for a different technological era. Two primary, and often overlapping, legal doctrines come into play: </w:t>
      </w:r>
      <w:r>
        <w:rPr>
          <w:b/>
        </w:rPr>
        <w:t>negligence</w:t>
      </w:r>
      <w:r>
        <w:t xml:space="preserve"> (tort law) and </w:t>
      </w:r>
      <w:r>
        <w:rPr>
          <w:b/>
        </w:rPr>
        <w:t>product liability</w:t>
      </w:r>
      <w:r>
        <w:t>. The search results indicate that these are the foundational pillars for adjudicating ADAS-related accidents, though their application is becoming increasingly complex  [[16]].</w:t>
      </w:r>
    </w:p>
    <w:p w14:paraId="1BA5DD95">
      <w:pPr>
        <w:spacing w:after="400" w:line="400" w:lineRule="atLeast"/>
      </w:pPr>
      <w:r>
        <w:rPr>
          <w:b/>
          <w:sz w:val="26"/>
        </w:rPr>
        <w:t>3.1. The Negligence Framework</w:t>
      </w:r>
    </w:p>
    <w:p w14:paraId="21F407C4">
      <w:pPr>
        <w:spacing w:after="400" w:line="400" w:lineRule="atLeast"/>
      </w:pPr>
      <w:r>
        <w:t>Negligence is the most common theory in vehicle accident law. At its core, it asks whether a party failed to exercise the "reasonable care" that a prudent person would under similar circumstances, and whether that failure caused harm  [[17]]. In a traditional crash, this almost always centers on the driver’s conduct: Was she speeding? Was he distracted? Did she fail to yield?</w:t>
      </w:r>
    </w:p>
    <w:p w14:paraId="5D72AF99">
      <w:pPr>
        <w:spacing w:after="400" w:line="400" w:lineRule="atLeast"/>
      </w:pPr>
      <w:r>
        <w:t>In the ADAS context, negligence analysis expands and becomes multifaceted. It can target several parties:</w:t>
      </w:r>
    </w:p>
    <w:p w14:paraId="4E155DE4">
      <w:pPr>
        <w:numPr>
          <w:ilvl w:val="0"/>
          <w:numId w:val="2"/>
        </w:numPr>
        <w:spacing w:after="400" w:line="400" w:lineRule="atLeast"/>
      </w:pPr>
      <w:r>
        <w:rPr>
          <w:b/>
        </w:rPr>
        <w:t>The Human Driver:</w:t>
      </w:r>
      <w:r>
        <w:t xml:space="preserve"> The driver remains a prime target for negligence claims. Allegations may include:</w:t>
      </w:r>
    </w:p>
    <w:p w14:paraId="2CC2DE1A">
      <w:pPr>
        <w:numPr>
          <w:ilvl w:val="0"/>
          <w:numId w:val="1"/>
        </w:numPr>
        <w:spacing w:after="400" w:line="400" w:lineRule="atLeast"/>
      </w:pPr>
      <w:r>
        <w:rPr>
          <w:b/>
        </w:rPr>
        <w:t>Failure to Supervise:</w:t>
      </w:r>
      <w:r>
        <w:t xml:space="preserve"> Not paying attention to the road while the ADAS is active, effectively treating a Level 2 system as fully self-driving.</w:t>
      </w:r>
    </w:p>
    <w:p w14:paraId="59C998D5">
      <w:pPr>
        <w:numPr>
          <w:ilvl w:val="0"/>
          <w:numId w:val="1"/>
        </w:numPr>
        <w:spacing w:after="400" w:line="400" w:lineRule="atLeast"/>
      </w:pPr>
      <w:r>
        <w:rPr>
          <w:b/>
        </w:rPr>
        <w:t>Misuse of the System:</w:t>
      </w:r>
      <w:r>
        <w:t xml:space="preserve"> Using ADAS features in conditions for which they are not designed (e.g., on poorly marked roads, in heavy rain).</w:t>
      </w:r>
    </w:p>
    <w:p w14:paraId="6F12F7C8">
      <w:pPr>
        <w:numPr>
          <w:ilvl w:val="0"/>
          <w:numId w:val="1"/>
        </w:numPr>
        <w:spacing w:after="400" w:line="400" w:lineRule="atLeast"/>
      </w:pPr>
      <w:r>
        <w:rPr>
          <w:b/>
        </w:rPr>
        <w:t>Failure to Intervene:</w:t>
      </w:r>
      <w:r>
        <w:t xml:space="preserve"> Ignoring or reacting too slowly to system warnings or requests to take over control.</w:t>
      </w:r>
    </w:p>
    <w:p w14:paraId="6077D7ED">
      <w:pPr>
        <w:numPr>
          <w:ilvl w:val="0"/>
          <w:numId w:val="1"/>
        </w:numPr>
        <w:spacing w:after="400" w:line="400" w:lineRule="atLeast"/>
      </w:pPr>
      <w:r>
        <w:rPr>
          <w:b/>
        </w:rPr>
        <w:t>Over-Reliance:</w:t>
      </w:r>
      <w:r>
        <w:t xml:space="preserve"> Placing unjustified trust in the system’s capabilities, leading to a lack of situational awareness.</w:t>
      </w:r>
    </w:p>
    <w:p w14:paraId="36F9223D">
      <w:pPr>
        <w:spacing w:after="400" w:line="400" w:lineRule="atLeast"/>
      </w:pPr>
      <w:r>
        <w:t>Some legal scholars argue that the existing civil liability regime, with negligence at its center, is sufficiently flexible to handle these new scenarios through a careful analysis of the driver’s duty of care  [[18]][[19]]. The question becomes: What is "reasonable care" for a driver using lane-centering on a highway? The answer is still being defined by courts.</w:t>
      </w:r>
    </w:p>
    <w:p w14:paraId="183832E6">
      <w:pPr>
        <w:numPr>
          <w:ilvl w:val="0"/>
          <w:numId w:val="2"/>
        </w:numPr>
        <w:spacing w:after="400" w:line="400" w:lineRule="atLeast"/>
      </w:pPr>
      <w:r>
        <w:rPr>
          <w:b/>
        </w:rPr>
        <w:t>The Vehicle Manufacturer or Software Developer:</w:t>
      </w:r>
      <w:r>
        <w:t xml:space="preserve"> Negligence claims can also be directed at the makers of the technology. This might involve allegations of:</w:t>
      </w:r>
    </w:p>
    <w:p w14:paraId="4DC978BC">
      <w:pPr>
        <w:numPr>
          <w:ilvl w:val="0"/>
          <w:numId w:val="1"/>
        </w:numPr>
        <w:spacing w:after="400" w:line="400" w:lineRule="atLeast"/>
      </w:pPr>
      <w:r>
        <w:rPr>
          <w:b/>
        </w:rPr>
        <w:t>Negligent Design:</w:t>
      </w:r>
      <w:r>
        <w:t xml:space="preserve"> Designing an ADAS feature that is inherently unsafe or prone to failure in common driving scenarios.</w:t>
      </w:r>
    </w:p>
    <w:p w14:paraId="4D3F2F52">
      <w:pPr>
        <w:numPr>
          <w:ilvl w:val="0"/>
          <w:numId w:val="1"/>
        </w:numPr>
        <w:spacing w:after="400" w:line="400" w:lineRule="atLeast"/>
      </w:pPr>
      <w:r>
        <w:rPr>
          <w:b/>
        </w:rPr>
        <w:t>Negligent Marketing or Communication:</w:t>
      </w:r>
      <w:r>
        <w:t xml:space="preserve"> Failing to adequately warn consumers about the system’s limitations, or marketing it in a way that encourages over-trust (e.g., using names like "Autopilot" for a driver-assistance system).</w:t>
      </w:r>
    </w:p>
    <w:p w14:paraId="1C648160">
      <w:pPr>
        <w:numPr>
          <w:ilvl w:val="0"/>
          <w:numId w:val="1"/>
        </w:numPr>
        <w:spacing w:after="400" w:line="400" w:lineRule="atLeast"/>
      </w:pPr>
      <w:r>
        <w:rPr>
          <w:b/>
        </w:rPr>
        <w:t>Negligent Entrustment:</w:t>
      </w:r>
      <w:r>
        <w:t xml:space="preserve"> Selling a vehicle with a complex ADAS to a consumer without ensuring they have the minimum understanding required to use it safely.</w:t>
      </w:r>
    </w:p>
    <w:p w14:paraId="7D32E8CF">
      <w:pPr>
        <w:spacing w:after="400" w:line="400" w:lineRule="atLeast"/>
      </w:pPr>
      <w:r>
        <w:t xml:space="preserve">The challenge with negligence in the ADAS realm is the </w:t>
      </w:r>
      <w:r>
        <w:rPr>
          <w:b/>
        </w:rPr>
        <w:t>standard of care</w:t>
      </w:r>
      <w:r>
        <w:t>. Establishing what a "reasonable" driver or a "reasonable" manufacturer should have done requires benchmarks that are still nascent. As courts have begun to address these cases, they are incrementally building this common law  [[20]].</w:t>
      </w:r>
    </w:p>
    <w:p w14:paraId="6B64BFAE">
      <w:pPr>
        <w:spacing w:after="400" w:line="400" w:lineRule="atLeast"/>
      </w:pPr>
      <w:r>
        <w:rPr>
          <w:b/>
          <w:sz w:val="26"/>
        </w:rPr>
        <w:t>3.2. The Product Liability Framework</w:t>
      </w:r>
    </w:p>
    <w:p w14:paraId="3249D0B2">
      <w:pPr>
        <w:spacing w:after="400" w:line="400" w:lineRule="atLeast"/>
      </w:pPr>
      <w:r>
        <w:t>Product liability law holds commercial sellers of products accountable for injuries caused by defects. It is a strict liability theory in many jurisdictions, meaning a plaintiff does not need to prove the manufacturer was negligent, only that the product was defective and caused injury  [[21]][[22]][[23]]. This framework is particularly potent in ADAS cases, as it directly targets the technology itself. Liability may shift decisively toward the manufacturer if the ADAS is found to be defective or fails to perform as a consumer would legitimately expect  [[24]][[25]].</w:t>
      </w:r>
    </w:p>
    <w:p w14:paraId="290C75CC">
      <w:pPr>
        <w:spacing w:after="400" w:line="400" w:lineRule="atLeast"/>
      </w:pPr>
      <w:r>
        <w:t>Product liability claims typically allege one of three types of defects:</w:t>
      </w:r>
    </w:p>
    <w:p w14:paraId="21BE13F8">
      <w:pPr>
        <w:numPr>
          <w:ilvl w:val="0"/>
          <w:numId w:val="3"/>
        </w:numPr>
        <w:spacing w:after="400" w:line="400" w:lineRule="atLeast"/>
      </w:pPr>
      <w:r>
        <w:rPr>
          <w:b/>
        </w:rPr>
        <w:t>Design Defects:</w:t>
      </w:r>
      <w:r>
        <w:t xml:space="preserve"> The entire concept or blueprint of the ADAS feature is unreasonably dangerous. For example, an automatic emergency braking system that cannot detect stationary vehicles at highway speeds would arguably have a flawed design.</w:t>
      </w:r>
    </w:p>
    <w:p w14:paraId="7A394100">
      <w:pPr>
        <w:numPr>
          <w:ilvl w:val="0"/>
          <w:numId w:val="3"/>
        </w:numPr>
        <w:spacing w:after="400" w:line="400" w:lineRule="atLeast"/>
      </w:pPr>
      <w:r>
        <w:rPr>
          <w:b/>
        </w:rPr>
        <w:t>Manufacturing Defects:</w:t>
      </w:r>
      <w:r>
        <w:t xml:space="preserve"> An error occurred in the production of a specific component, making that individual unit dangerous. For instance, a faulty camera sensor installed on one vehicle that causes its lane-keeping system to fail.</w:t>
      </w:r>
    </w:p>
    <w:p w14:paraId="199881AA">
      <w:pPr>
        <w:numPr>
          <w:ilvl w:val="0"/>
          <w:numId w:val="3"/>
        </w:numPr>
        <w:spacing w:after="400" w:line="400" w:lineRule="atLeast"/>
      </w:pPr>
      <w:r>
        <w:rPr>
          <w:b/>
        </w:rPr>
        <w:t>Warning Defects (Failure to Warn):</w:t>
      </w:r>
      <w:r>
        <w:t xml:space="preserve"> The product, while not defectively designed or made, is dangerous without adequate instructions or warnings. This is a critical arena for ADAS. Did the owner’s manual clearly explain the system’s limitations? Were the alerts from the HMI sufficient to convey urgency? The European Product Liability Directive, for instance, heavily governs this concept of a "defective product," which includes inadequate warnings  [[26]][[27]].</w:t>
      </w:r>
    </w:p>
    <w:p w14:paraId="722DC0B1">
      <w:pPr>
        <w:spacing w:after="400" w:line="400" w:lineRule="atLeast"/>
      </w:pPr>
      <w:r>
        <w:t>Applying product liability to ADAS software is especially challenging. Traditional product law deals with tangible, physical goods. Software is iterative, updated, and can exhibit behavior that is difficult to trace to a specific "defect." Key questions arise: Is the software the "product"? When an over-the-air update changes its behavior, who is liable for the pre-update version? Furthermore, the "consumer expectations" test—whether the product is more dangerous than an ordinary consumer would expect—becomes nebulous with cutting-edge technology. What does a reasonable consumer expect from a "traffic jam assist" feature?  [[28]].</w:t>
      </w:r>
    </w:p>
    <w:p w14:paraId="2DBF044C">
      <w:pPr>
        <w:spacing w:after="400" w:line="400" w:lineRule="atLeast"/>
      </w:pPr>
      <w:r>
        <w:rPr>
          <w:b/>
          <w:sz w:val="26"/>
        </w:rPr>
        <w:t>3.3. The Interplay and Mounting Challenges</w:t>
      </w:r>
    </w:p>
    <w:p w14:paraId="04D4970A">
      <w:pPr>
        <w:spacing w:after="400" w:line="400" w:lineRule="atLeast"/>
      </w:pPr>
      <w:r>
        <w:t xml:space="preserve">In practice, an ADAS accident lawsuit will often include claims under both negligence and product liability theories. A plaintiff might argue the driver was negligent </w:t>
      </w:r>
      <w:r>
        <w:rPr>
          <w:i/>
        </w:rPr>
        <w:t>and</w:t>
      </w:r>
      <w:r>
        <w:t xml:space="preserve"> the automated system was defectively designed. This interplay complicates fault determination immensely  [[29]][[30]].</w:t>
      </w:r>
    </w:p>
    <w:p w14:paraId="5291380C">
      <w:pPr>
        <w:spacing w:after="400" w:line="400" w:lineRule="atLeast"/>
      </w:pPr>
      <w:r>
        <w:t>The search results reveal several overarching challenges with existing frameworks:</w:t>
      </w:r>
    </w:p>
    <w:p w14:paraId="5BAD9795">
      <w:pPr>
        <w:numPr>
          <w:ilvl w:val="-1"/>
          <w:numId w:val="1"/>
        </w:numPr>
        <w:spacing w:after="400" w:line="400" w:lineRule="atLeast"/>
      </w:pPr>
      <w:r>
        <w:rPr>
          <w:b/>
        </w:rPr>
        <w:t>The Shifting Role of the Driver:</w:t>
      </w:r>
      <w:r>
        <w:t xml:space="preserve"> As the driver’s role changes from operator to supervisor, the legal definition of their responsibility becomes murky. The law has not yet caught up to this new hybrid role  [[31]].</w:t>
      </w:r>
    </w:p>
    <w:p w14:paraId="574E5DB5">
      <w:pPr>
        <w:numPr>
          <w:ilvl w:val="-1"/>
          <w:numId w:val="1"/>
        </w:numPr>
        <w:spacing w:after="400" w:line="400" w:lineRule="atLeast"/>
      </w:pPr>
      <w:r>
        <w:rPr>
          <w:b/>
        </w:rPr>
        <w:t>The "Unreasonably Dangerous" Standard:</w:t>
      </w:r>
      <w:r>
        <w:t xml:space="preserve"> Determining when a complex, probabilistic system like ADAS is "unreasonably dangerous" is far more difficult than for a mechanical brake pad  [[32]].</w:t>
      </w:r>
    </w:p>
    <w:p w14:paraId="7C05BCF9">
      <w:pPr>
        <w:numPr>
          <w:ilvl w:val="-1"/>
          <w:numId w:val="1"/>
        </w:numPr>
        <w:spacing w:after="400" w:line="400" w:lineRule="atLeast"/>
      </w:pPr>
      <w:r>
        <w:rPr>
          <w:b/>
        </w:rPr>
        <w:t>The Patchwork Problem:</w:t>
      </w:r>
      <w:r>
        <w:t xml:space="preserve"> In the United States, the absence of a unified federal product liability law means automakers face a potential patchwork of 50 different state standards. The industry has expressed concern that this could stifle innovation in ADAS and autonomous vehicle technologies  [[33]].</w:t>
      </w:r>
    </w:p>
    <w:p w14:paraId="6C82E38B">
      <w:pPr>
        <w:numPr>
          <w:ilvl w:val="-1"/>
          <w:numId w:val="1"/>
        </w:numPr>
        <w:spacing w:after="400" w:line="400" w:lineRule="atLeast"/>
      </w:pPr>
      <w:r>
        <w:rPr>
          <w:b/>
        </w:rPr>
        <w:t>Adequacy of the Old Regime:</w:t>
      </w:r>
      <w:r>
        <w:t xml:space="preserve"> There is a vigorous debate among scholars. One camp contends that the flexible principles of tort and product liability law can evolve to manage ADAS accidents  [[34]][[35]]. Another camp argues that the unique nature of AI-driven systems—particularly their ability to make independent decisions within a defined scope—necessitates entirely new legal solutions and liability models  [[36]][[37]]. As one source notes, an ADAS cannot be sued for negligence itself, highlighting a fundamental gap that other legal mechanisms must fill  [[38]].</w:t>
      </w:r>
    </w:p>
    <w:p w14:paraId="73139D3F">
      <w:pPr>
        <w:spacing w:after="400" w:line="400" w:lineRule="atLeast"/>
      </w:pPr>
      <w:r>
        <w:t>In summary, while the existing frameworks of negligence and product liability provide the initial legal tools to address ADAS accidents, they are under significant strain. They were not designed for systems that share operational responsibility, learn from data, and whose failure modes can be opaque. The following sections will explore the real-world consequences of this legal uncertainty.</w:t>
      </w:r>
    </w:p>
    <w:p w14:paraId="3597ADD8">
      <w:pPr>
        <w:spacing w:after="400" w:line="400" w:lineRule="atLeast"/>
      </w:pPr>
      <w:r>
        <w:rPr>
          <w:b/>
          <w:sz w:val="30"/>
        </w:rPr>
        <w:t>4. Case Examples: Lessons from the Early Frontier</w:t>
      </w:r>
    </w:p>
    <w:p w14:paraId="0F708BDE">
      <w:pPr>
        <w:spacing w:after="400" w:line="400" w:lineRule="atLeast"/>
      </w:pPr>
      <w:r>
        <w:t>The theoretical challenges of ADAS liability have been made concrete through a series of high-profile accidents. These cases, while often subject to ongoing litigation or settlement, provide invaluable, if sobering, object lessons. They illustrate the tragic outcomes that can occur at the fuzzy boundary between human and machine control. It is important to note that the discussion here is descriptive, not a legal dissection of the merits of each case  [[39]][[40]][[41]].</w:t>
      </w:r>
    </w:p>
    <w:p w14:paraId="157EE032">
      <w:pPr>
        <w:spacing w:after="400" w:line="400" w:lineRule="atLeast"/>
      </w:pPr>
      <w:r>
        <w:rPr>
          <w:b/>
        </w:rPr>
        <w:t>A. The Uber ATG Test Vehicle Fatality (Tempe, Arizona, 2018):</w:t>
      </w:r>
    </w:p>
    <w:p w14:paraId="66CF1CE7">
      <w:pPr>
        <w:spacing w:after="400" w:line="400" w:lineRule="atLeast"/>
      </w:pPr>
      <w:r>
        <w:t xml:space="preserve">This incident stands as a watershed moment. A Volvo XC90, modified by Uber’s Advanced Technologies Group (ATG) with self-driving sensors and software, struck and killed pedestrian Elaine Herzberg while operating in autonomous mode with a safety driver behind the wheel. The National Transportation Safety Board (NTSB) investigation revealed a catastrophic chain of failures. The vehicle’s perception system classified Herzberg first as an unknown object, then as a vehicle, and finally as a bicycle, but its path prediction software did not recognize she was crossing the road. The system decided not to brake to avoid a predicted "false positive." Compounding this, the in-vehicle safety driver was visually distracted, looking at a video stream on her phone, and failed to intervene  [[42]][[43]]. This case starkly highlights multiple liability vectors: the </w:t>
      </w:r>
      <w:r>
        <w:rPr>
          <w:b/>
        </w:rPr>
        <w:t>potential product defect</w:t>
      </w:r>
      <w:r>
        <w:t xml:space="preserve"> in the perception and decision-making software, the </w:t>
      </w:r>
      <w:r>
        <w:rPr>
          <w:b/>
        </w:rPr>
        <w:t>negligence of the safety driver</w:t>
      </w:r>
      <w:r>
        <w:t xml:space="preserve"> in her duty to monitor, and </w:t>
      </w:r>
      <w:r>
        <w:rPr>
          <w:b/>
        </w:rPr>
        <w:t>corporate decisions</w:t>
      </w:r>
      <w:r>
        <w:t xml:space="preserve"> about system safety thresholds. Uber did not face criminal charges, but the case led to a significant settlement and reshaped industry testing protocols.</w:t>
      </w:r>
    </w:p>
    <w:p w14:paraId="2688B171">
      <w:pPr>
        <w:spacing w:after="400" w:line="400" w:lineRule="atLeast"/>
      </w:pPr>
      <w:r>
        <w:rPr>
          <w:b/>
        </w:rPr>
        <w:t>B. The Tesla "Autopilot" Related Incidents:</w:t>
      </w:r>
    </w:p>
    <w:p w14:paraId="3896DB53">
      <w:pPr>
        <w:spacing w:after="400" w:line="400" w:lineRule="atLeast"/>
      </w:pPr>
      <w:r>
        <w:t>Numerous crashes involving Tesla vehicles with the "Autopilot" and "Full Self-Driving" (FSD) features activated have drawn intense scrutiny from regulators and the media. These cases typically involve vehicles colliding with stationary emergency vehicles, crossing tractor-trailers, or highway barriers.</w:t>
      </w:r>
    </w:p>
    <w:p w14:paraId="4672D066">
      <w:pPr>
        <w:numPr>
          <w:ilvl w:val="-1"/>
          <w:numId w:val="1"/>
        </w:numPr>
        <w:spacing w:after="400" w:line="400" w:lineRule="atLeast"/>
      </w:pPr>
      <w:r>
        <w:rPr>
          <w:b/>
        </w:rPr>
        <w:t>Joshua Brown (2016):</w:t>
      </w:r>
      <w:r>
        <w:t xml:space="preserve"> A Tesla Model S operating with Autopilot engaged crashed into a tractor-trailer crossing its path. The system’s camera and radar failed to distinguish the white side of the trailer against a bright sky. The driver did not take control.</w:t>
      </w:r>
    </w:p>
    <w:p w14:paraId="1D2D0536">
      <w:pPr>
        <w:numPr>
          <w:ilvl w:val="-1"/>
          <w:numId w:val="1"/>
        </w:numPr>
        <w:spacing w:after="400" w:line="400" w:lineRule="atLeast"/>
      </w:pPr>
      <w:r>
        <w:rPr>
          <w:b/>
        </w:rPr>
        <w:t>Walter Huang (2018):</w:t>
      </w:r>
      <w:r>
        <w:t xml:space="preserve"> A Tesla Model X on Autopilot crashed into a highway barrier. Data showed the driver’s hands were not detected on the wheel for periods before the crash, but he had also received warnings.</w:t>
      </w:r>
    </w:p>
    <w:p w14:paraId="7E15D68E">
      <w:pPr>
        <w:numPr>
          <w:ilvl w:val="-1"/>
          <w:numId w:val="1"/>
        </w:numPr>
        <w:spacing w:after="400" w:line="400" w:lineRule="atLeast"/>
      </w:pPr>
      <w:r>
        <w:rPr>
          <w:b/>
        </w:rPr>
        <w:t>Kevin George Aziz Riad (2019):</w:t>
      </w:r>
      <w:r>
        <w:t xml:space="preserve"> A Tesla Model S on Autopilot ran a red light and struck another vehicle, killing two people. The driver was subsequently charged with vehicular manslaughter—a rare instance of criminal charges against a driver using an ADAS  [[44]][[45]].</w:t>
      </w:r>
    </w:p>
    <w:p w14:paraId="1379B4B4">
      <w:pPr>
        <w:spacing w:after="400" w:line="400" w:lineRule="atLeast"/>
      </w:pPr>
      <w:r>
        <w:t xml:space="preserve">These Tesla cases crystallize core liability debates. They raise acute questions about </w:t>
      </w:r>
      <w:r>
        <w:rPr>
          <w:b/>
        </w:rPr>
        <w:t>product liability</w:t>
      </w:r>
      <w:r>
        <w:t xml:space="preserve"> (Was the system defectively designed in not recognizing certain obstacles? Are the driver monitoring systems—the nag—adequate?), </w:t>
      </w:r>
      <w:r>
        <w:rPr>
          <w:b/>
        </w:rPr>
        <w:t>driver negligence</w:t>
      </w:r>
      <w:r>
        <w:t xml:space="preserve"> (Did the drivers become complacent and fail to supervise?), and </w:t>
      </w:r>
      <w:r>
        <w:rPr>
          <w:b/>
        </w:rPr>
        <w:t>marketing/warning defects</w:t>
      </w:r>
      <w:r>
        <w:t xml:space="preserve"> (Does the name "Autopilot" and related marketing imply a capability greater than the Level 2 system it actually is, leading to dangerous consumer misunderstanding?)  [[46]]. The National Highway Traffic Safety Administration (NHTSA) has opened multiple defect investigations into Tesla’s systems, reflecting regulatory concern.</w:t>
      </w:r>
    </w:p>
    <w:p w14:paraId="09526B16">
      <w:pPr>
        <w:spacing w:after="400" w:line="400" w:lineRule="atLeast"/>
      </w:pPr>
      <w:r>
        <w:rPr>
          <w:b/>
        </w:rPr>
        <w:t>C. General ADAS Misuse and Failure Scenarios:</w:t>
      </w:r>
    </w:p>
    <w:p w14:paraId="44081233">
      <w:pPr>
        <w:spacing w:after="400" w:line="400" w:lineRule="atLeast"/>
      </w:pPr>
      <w:r>
        <w:t>Beyond these headline-grabbing fatalities, insurance groups and safety researchers document a growing number of incidents tied to ADAS. These often involve:</w:t>
      </w:r>
    </w:p>
    <w:p w14:paraId="621E8294">
      <w:pPr>
        <w:numPr>
          <w:ilvl w:val="-1"/>
          <w:numId w:val="1"/>
        </w:numPr>
        <w:spacing w:after="400" w:line="400" w:lineRule="atLeast"/>
      </w:pPr>
      <w:r>
        <w:rPr>
          <w:b/>
        </w:rPr>
        <w:t>Over-reliance on Lane-Centering:</w:t>
      </w:r>
      <w:r>
        <w:t xml:space="preserve"> Drivers assuming the system will handle curves or faded lane markings, leading to drift and run-off-road or head-on collisions.</w:t>
      </w:r>
    </w:p>
    <w:p w14:paraId="3CBCF2CE">
      <w:pPr>
        <w:numPr>
          <w:ilvl w:val="-1"/>
          <w:numId w:val="1"/>
        </w:numPr>
        <w:spacing w:after="400" w:line="400" w:lineRule="atLeast"/>
      </w:pPr>
      <w:r>
        <w:rPr>
          <w:b/>
        </w:rPr>
        <w:t>Adaptive Cruise Control Confusion:</w:t>
      </w:r>
      <w:r>
        <w:t xml:space="preserve"> Drivers not understanding that the system may not detect stopped vehicles or pedestrians, leading to rear-end collisions.</w:t>
      </w:r>
    </w:p>
    <w:p w14:paraId="2442DC7A">
      <w:pPr>
        <w:numPr>
          <w:ilvl w:val="-1"/>
          <w:numId w:val="1"/>
        </w:numPr>
        <w:spacing w:after="400" w:line="400" w:lineRule="atLeast"/>
      </w:pPr>
      <w:r>
        <w:rPr>
          <w:b/>
        </w:rPr>
        <w:t>Emergency System Non-Engagement:</w:t>
      </w:r>
      <w:r>
        <w:t xml:space="preserve"> Cases where automatic emergency braking or evasion systems fail to activate in complex, edge-case scenarios  [[47]][[48]][[49]].</w:t>
      </w:r>
    </w:p>
    <w:p w14:paraId="7ED52114">
      <w:pPr>
        <w:spacing w:after="400" w:line="400" w:lineRule="atLeast"/>
      </w:pPr>
      <w:r>
        <w:t xml:space="preserve">A table of accident cases referenced in the search results underscores the variety of scenarios, from collisions with construction vehicles to incidents in tunnels, all involving some level of ADAS engagement  [[50]]. These examples collectively demonstrate that accidents are not solely due to either human error or machine failure, but frequently a problematic </w:t>
      </w:r>
      <w:r>
        <w:rPr>
          <w:b/>
        </w:rPr>
        <w:t>interaction</w:t>
      </w:r>
      <w:r>
        <w:t xml:space="preserve"> between the two. The human misunderstands the machine’s capabilities, and the machine fails in a scenario the human assumed it could handle. This interaction failure is the central problem for liability allocation.</w:t>
      </w:r>
    </w:p>
    <w:p w14:paraId="6C1B7336">
      <w:pPr>
        <w:spacing w:after="400" w:line="400" w:lineRule="atLeast"/>
      </w:pPr>
      <w:r>
        <w:rPr>
          <w:b/>
          <w:sz w:val="30"/>
        </w:rPr>
        <w:t>5. Responsibility Boundaries: The Blurred Line Between Human and Machine</w:t>
      </w:r>
    </w:p>
    <w:p w14:paraId="64F1C548">
      <w:pPr>
        <w:spacing w:after="400" w:line="400" w:lineRule="atLeast"/>
      </w:pPr>
      <w:r>
        <w:t xml:space="preserve">The case examples lead directly to the fundamental, and still largely unanswered, question: In a shared driving context, where does the driver’s responsibility end and the machine’s begin? The search results uniformly point to </w:t>
      </w:r>
      <w:r>
        <w:rPr>
          <w:b/>
        </w:rPr>
        <w:t>ambiguity</w:t>
      </w:r>
      <w:r>
        <w:t xml:space="preserve"> as the defining characteristic of this boundary  [[51]][[52]][[53]]. This ambiguity creates "responsibility gaps" or "liability gaps" where it is unclear who should be held accountable for a negative outcome  [[54]].</w:t>
      </w:r>
    </w:p>
    <w:p w14:paraId="48AC41BB">
      <w:pPr>
        <w:spacing w:after="400" w:line="400" w:lineRule="atLeast"/>
      </w:pPr>
      <w:r>
        <w:rPr>
          <w:b/>
          <w:sz w:val="26"/>
        </w:rPr>
        <w:t>5.1. The Myth of "Shared Responsibility" Without Definition</w:t>
      </w:r>
    </w:p>
    <w:p w14:paraId="790EE7F3">
      <w:pPr>
        <w:spacing w:after="400" w:line="400" w:lineRule="atLeast"/>
      </w:pPr>
      <w:r>
        <w:t xml:space="preserve">It is common to state that responsibility in ADAS-equipped vehicles is "shared." While conceptually true, this phrase is legally nebulous and often unhelpful after a crash  [[55]][[56]][[57]]. The law typically seeks to apportion fault, not to declare it universally shared. The critical task is to define the contours of each party’s domain. The prevailing legal expectation, reinforced by automakers’ disclaimers, is that the </w:t>
      </w:r>
      <w:r>
        <w:rPr>
          <w:b/>
        </w:rPr>
        <w:t>human driver retains ultimate responsibility for safe vehicle operation</w:t>
      </w:r>
      <w:r>
        <w:t xml:space="preserve">  [[58]][[59]]. However, this principle clashes with the reality of how these systems are designed and used.</w:t>
      </w:r>
    </w:p>
    <w:p w14:paraId="36BE25FB">
      <w:pPr>
        <w:spacing w:after="400" w:line="400" w:lineRule="atLeast"/>
      </w:pPr>
      <w:r>
        <w:rPr>
          <w:b/>
          <w:sz w:val="26"/>
        </w:rPr>
        <w:t>5.2. Key Factors that Blur the Boundary</w:t>
      </w:r>
    </w:p>
    <w:p w14:paraId="73C00CA3">
      <w:pPr>
        <w:spacing w:after="400" w:line="400" w:lineRule="atLeast"/>
      </w:pPr>
      <w:r>
        <w:t>Several interrelated factors make drawing a clear line exceptionally difficult:</w:t>
      </w:r>
    </w:p>
    <w:p w14:paraId="26B71A06">
      <w:pPr>
        <w:numPr>
          <w:ilvl w:val="0"/>
          <w:numId w:val="4"/>
        </w:numPr>
        <w:spacing w:after="400" w:line="400" w:lineRule="atLeast"/>
      </w:pPr>
      <w:r>
        <w:rPr>
          <w:b/>
        </w:rPr>
        <w:t>The Level of Automation:</w:t>
      </w:r>
      <w:r>
        <w:t xml:space="preserve"> The SAE International levels of driving automation (0-5) provide a technical framework. The liability challenge is most acute at </w:t>
      </w:r>
      <w:r>
        <w:rPr>
          <w:b/>
        </w:rPr>
        <w:t>Level 2 (Partial Automation)</w:t>
      </w:r>
      <w:r>
        <w:t xml:space="preserve">, where the system can control both steering and acceleration/deceleration, but the driver must constantly supervise. Here, the system performs complex driving tasks, creating a sense of automation, while the law places full liability on the inattentive human. </w:t>
      </w:r>
      <w:r>
        <w:rPr>
          <w:b/>
        </w:rPr>
        <w:t>Level 3 (Conditional Automation)</w:t>
      </w:r>
      <w:r>
        <w:t xml:space="preserve"> introduces a different model: the system drives in certain conditions, and the human is not required to monitor but must be ready to respond to a "request to intervene." This handover process—transferring control from machine back to human—is fraught with risk and is a major focus of responsibility debates  [[60]].</w:t>
      </w:r>
    </w:p>
    <w:p w14:paraId="2686D897">
      <w:pPr>
        <w:numPr>
          <w:ilvl w:val="0"/>
          <w:numId w:val="4"/>
        </w:numPr>
        <w:spacing w:after="400" w:line="400" w:lineRule="atLeast"/>
      </w:pPr>
      <w:r>
        <w:rPr>
          <w:b/>
        </w:rPr>
        <w:t>Human Factors and Behavioral Adaptation:</w:t>
      </w:r>
      <w:r>
        <w:t xml:space="preserve"> ADAS changes driver behavior, often in negative ways. </w:t>
      </w:r>
      <w:r>
        <w:rPr>
          <w:b/>
        </w:rPr>
        <w:t>Complacency</w:t>
      </w:r>
      <w:r>
        <w:t xml:space="preserve"> and </w:t>
      </w:r>
      <w:r>
        <w:rPr>
          <w:b/>
        </w:rPr>
        <w:t>over-trust</w:t>
      </w:r>
      <w:r>
        <w:t xml:space="preserve"> can set in, leading to reduced situational awareness, slower reaction times, and engagement in non-driving tasks (like using a phone)  [[61]]. This is sometimes called the </w:t>
      </w:r>
      <w:r>
        <w:rPr>
          <w:b/>
        </w:rPr>
        <w:t>"Automation Paradox"</w:t>
      </w:r>
      <w:r>
        <w:t xml:space="preserve"> – systems designed to improve safety can induce riskier human behavior. When a driver becomes complacent, is their subsequent failure to intervene purely their negligence, or did the system’s design and marketing contribute to inducing that complacent state?</w:t>
      </w:r>
    </w:p>
    <w:p w14:paraId="50796AFD">
      <w:pPr>
        <w:numPr>
          <w:ilvl w:val="0"/>
          <w:numId w:val="4"/>
        </w:numPr>
        <w:spacing w:after="400" w:line="400" w:lineRule="atLeast"/>
      </w:pPr>
      <w:r>
        <w:rPr>
          <w:b/>
        </w:rPr>
        <w:t>System Design and the Human-Machine Interface (HMI):</w:t>
      </w:r>
      <w:r>
        <w:t xml:space="preserve"> The design of the ADAS itself directly shapes the responsibility boundary. Key design questions include:</w:t>
      </w:r>
    </w:p>
    <w:p w14:paraId="59459CB9">
      <w:pPr>
        <w:numPr>
          <w:ilvl w:val="0"/>
          <w:numId w:val="1"/>
        </w:numPr>
        <w:spacing w:after="400" w:line="400" w:lineRule="atLeast"/>
      </w:pPr>
      <w:r>
        <w:rPr>
          <w:b/>
        </w:rPr>
        <w:t>Transparency:</w:t>
      </w:r>
      <w:r>
        <w:t xml:space="preserve"> Does the system clearly communicate its status (e.g., "Lane Keeping ACTIVE" vs. "STAND BY") and its limitations?</w:t>
      </w:r>
    </w:p>
    <w:p w14:paraId="1817F7D9">
      <w:pPr>
        <w:numPr>
          <w:ilvl w:val="0"/>
          <w:numId w:val="1"/>
        </w:numPr>
        <w:spacing w:after="400" w:line="400" w:lineRule="atLeast"/>
      </w:pPr>
      <w:r>
        <w:rPr>
          <w:b/>
        </w:rPr>
        <w:t>Handover Protocols:</w:t>
      </w:r>
      <w:r>
        <w:t xml:space="preserve"> How does a Level 3 system request control from the driver? Is it a gentle chime or an urgent, multi-modal alert? How much time does the driver have? Poor handover design can make it impossible for even an attentive driver to regain control safely  [[62]][[63]][[64]].</w:t>
      </w:r>
    </w:p>
    <w:p w14:paraId="4BBB1C07">
      <w:pPr>
        <w:numPr>
          <w:ilvl w:val="0"/>
          <w:numId w:val="1"/>
        </w:numPr>
        <w:spacing w:after="400" w:line="400" w:lineRule="atLeast"/>
      </w:pPr>
      <w:r>
        <w:rPr>
          <w:b/>
        </w:rPr>
        <w:t>Fallback Performance:</w:t>
      </w:r>
      <w:r>
        <w:t xml:space="preserve"> When a system reaches its limit, what does it do? Does it simply disengage abruptly, or does it perform a "minimal risk maneuver" (like slowing to a stop)? An abrupt disengagement into a dangerous situation unfairly dumps responsibility onto a potentially unprepared driver.</w:t>
      </w:r>
    </w:p>
    <w:p w14:paraId="14017B96">
      <w:pPr>
        <w:spacing w:after="400" w:line="400" w:lineRule="atLeast"/>
      </w:pPr>
      <w:r>
        <w:t xml:space="preserve">The concept of </w:t>
      </w:r>
      <w:r>
        <w:rPr>
          <w:b/>
        </w:rPr>
        <w:t>"Meaningful Human Control"</w:t>
      </w:r>
      <w:r>
        <w:t xml:space="preserve"> is invoked by ethicists and policymakers as a design imperative. It argues that automated systems must be designed to ensure a human can always understand the situation and exert effective control when necessary. A system that does not facilitate meaningful human control arguably creates an inherent responsibility gap  [[65]].</w:t>
      </w:r>
    </w:p>
    <w:p w14:paraId="1C7DB88D">
      <w:pPr>
        <w:numPr>
          <w:ilvl w:val="0"/>
          <w:numId w:val="4"/>
        </w:numPr>
        <w:spacing w:after="400" w:line="400" w:lineRule="atLeast"/>
      </w:pPr>
      <w:r>
        <w:rPr>
          <w:b/>
        </w:rPr>
        <w:t>The "Duty to Intervene":</w:t>
      </w:r>
      <w:r>
        <w:t xml:space="preserve"> This is the driver’s core obligation in a shared system. However, it presupposes the driver can recognize a situation requiring intervention faster than the system can handle it. If a failure is instantaneous (e.g., a sensor blinding by direct sun) or the hazard is obscure, expecting effective human intervention may be unreasonable. The boundary blurs when the machine’s failure mode is outside the human’s expected monitoring scope.</w:t>
      </w:r>
    </w:p>
    <w:p w14:paraId="59D5139B">
      <w:pPr>
        <w:spacing w:after="400" w:line="400" w:lineRule="atLeast"/>
      </w:pPr>
      <w:r>
        <w:rPr>
          <w:b/>
          <w:sz w:val="26"/>
        </w:rPr>
        <w:t>5.3. The Legal and Ethical Quagmire</w:t>
      </w:r>
    </w:p>
    <w:p w14:paraId="68CCF80A">
      <w:pPr>
        <w:spacing w:after="400" w:line="400" w:lineRule="atLeast"/>
      </w:pPr>
      <w:r>
        <w:t xml:space="preserve">This blurred boundary creates a legal quagmire. Courts and insurers are left to untangle a messy knot after each crash: Was the crash due to the driver’s </w:t>
      </w:r>
      <w:r>
        <w:rPr>
          <w:b/>
        </w:rPr>
        <w:t>failure to exercise due care</w:t>
      </w:r>
      <w:r>
        <w:t xml:space="preserve">, or the manufacturer’s </w:t>
      </w:r>
      <w:r>
        <w:rPr>
          <w:b/>
        </w:rPr>
        <w:t>failure to design a reasonably safe system</w:t>
      </w:r>
      <w:r>
        <w:t xml:space="preserve"> that accounted for predictable human misuse?  [[66]][[67]]. The evidence is often technical and contested. Data from the vehicle’s Event Data Recorder (EDR) can show steering and brake inputs, but rarely reveals the driver’s subjective awareness.</w:t>
      </w:r>
    </w:p>
    <w:p w14:paraId="394569BA">
      <w:pPr>
        <w:spacing w:after="400" w:line="400" w:lineRule="atLeast"/>
      </w:pPr>
      <w:r>
        <w:t xml:space="preserve">Ethically, the problem is profound. If society desires the safety benefits of automation, it may need to accept that human drivers, when acting as supervisors, will have moments of inattention. If we legally punish that inattention harshly while the automation that induced it escapes liability, is the system just? Conversely, if liability shifts too easily to manufacturers, it could stifle innovation of life-saving technology through excessive litigation risk  [[68]]. There is a recognized and urgent </w:t>
      </w:r>
      <w:r>
        <w:rPr>
          <w:b/>
        </w:rPr>
        <w:t>need for clearer frameworks, standards, and legal definitions</w:t>
      </w:r>
      <w:r>
        <w:t xml:space="preserve"> to pre-emptively define responsibilities for both human and machine agents in these hybrid systems  [[69]][[70]][[71]]. The final section of this report proposes broad pathways to build these frameworks.</w:t>
      </w:r>
    </w:p>
    <w:p w14:paraId="7ADDFE37">
      <w:pPr>
        <w:spacing w:after="400" w:line="400" w:lineRule="atLeast"/>
      </w:pPr>
      <w:r>
        <w:rPr>
          <w:b/>
          <w:sz w:val="30"/>
        </w:rPr>
        <w:t>6. Broad Regulatory and Policy Suggestions</w:t>
      </w:r>
    </w:p>
    <w:p w14:paraId="5C9D59B2">
      <w:pPr>
        <w:spacing w:after="400" w:line="400" w:lineRule="atLeast"/>
      </w:pPr>
      <w:r>
        <w:t>The analysis of ADAS technology, existing law, case studies, and responsibility boundaries points to an inescapable conclusion: a reactive approach, waiting for the common law to evolve case-by-case, is insufficient and risky. It creates prolonged uncertainty for consumers, manufacturers, and insurers, and may delay safety benefits. Proactive, thoughtful regulation and policy development are required to manage liability and foster safe innovation. Based on the challenges identified, the following broad suggestions are offered.</w:t>
      </w:r>
    </w:p>
    <w:p w14:paraId="5FEE009D">
      <w:pPr>
        <w:spacing w:after="400" w:line="400" w:lineRule="atLeast"/>
      </w:pPr>
      <w:r>
        <w:rPr>
          <w:b/>
          <w:sz w:val="26"/>
        </w:rPr>
        <w:t>6.1. Clarify and Standardize Human-Machine Communication</w:t>
      </w:r>
    </w:p>
    <w:p w14:paraId="0D5FB08C">
      <w:pPr>
        <w:spacing w:after="400" w:line="400" w:lineRule="atLeast"/>
      </w:pPr>
      <w:r>
        <w:t xml:space="preserve">A primary source of misuse and confusion is the gap between what a system can do and what the driver </w:t>
      </w:r>
      <w:r>
        <w:rPr>
          <w:i/>
        </w:rPr>
        <w:t>thinks</w:t>
      </w:r>
      <w:r>
        <w:t xml:space="preserve"> it can do. Regulation should mandate clarity.</w:t>
      </w:r>
    </w:p>
    <w:p w14:paraId="39F45890">
      <w:pPr>
        <w:numPr>
          <w:ilvl w:val="-1"/>
          <w:numId w:val="1"/>
        </w:numPr>
        <w:spacing w:after="400" w:line="400" w:lineRule="atLeast"/>
      </w:pPr>
      <w:r>
        <w:rPr>
          <w:b/>
        </w:rPr>
        <w:t>Standardized Terminology and Icons:</w:t>
      </w:r>
      <w:r>
        <w:t xml:space="preserve"> A national or international standard (building on work by SAE, ISO, or NHTSA) should define clear, simple terms for ADAS features, moving away from marketing names like "Autopilot" or "ProPILOT." Similarly, standardized warning icons and sounds across all manufacturers would reduce driver learning curves and confusion.</w:t>
      </w:r>
    </w:p>
    <w:p w14:paraId="40210197">
      <w:pPr>
        <w:numPr>
          <w:ilvl w:val="-1"/>
          <w:numId w:val="1"/>
        </w:numPr>
        <w:spacing w:after="400" w:line="400" w:lineRule="atLeast"/>
      </w:pPr>
      <w:r>
        <w:rPr>
          <w:b/>
        </w:rPr>
        <w:t>Mandatory, Effective Training:</w:t>
      </w:r>
      <w:r>
        <w:t xml:space="preserve"> Relying on dense owner’s manuals is inadequate. Regulation could require manufacturers to implement </w:t>
      </w:r>
      <w:r>
        <w:rPr>
          <w:b/>
        </w:rPr>
        <w:t>interactive, in-vehicle or app-based training</w:t>
      </w:r>
      <w:r>
        <w:t xml:space="preserve"> that must be completed before certain features are activated for the first time. This training should focus on </w:t>
      </w:r>
      <w:r>
        <w:rPr>
          <w:b/>
        </w:rPr>
        <w:t>limitations and handover procedures</w:t>
      </w:r>
      <w:r>
        <w:t>, not just capabilities.</w:t>
      </w:r>
    </w:p>
    <w:p w14:paraId="487DDA4A">
      <w:pPr>
        <w:numPr>
          <w:ilvl w:val="-1"/>
          <w:numId w:val="1"/>
        </w:numPr>
        <w:spacing w:after="400" w:line="400" w:lineRule="atLeast"/>
      </w:pPr>
      <w:r>
        <w:rPr>
          <w:b/>
        </w:rPr>
        <w:t>Transparent System Status:</w:t>
      </w:r>
      <w:r>
        <w:t xml:space="preserve"> HMIs must unambiguously communicate what the system is doing (e.g., "Cruise Control Following," "Steering Assist Unavailable") and what the driver’s responsibility is at that moment.</w:t>
      </w:r>
    </w:p>
    <w:p w14:paraId="347F898C">
      <w:pPr>
        <w:spacing w:after="400" w:line="400" w:lineRule="atLeast"/>
      </w:pPr>
      <w:r>
        <w:rPr>
          <w:b/>
          <w:sz w:val="26"/>
        </w:rPr>
        <w:t>6.2. Adapt Insurance Models for Shared Liability</w:t>
      </w:r>
    </w:p>
    <w:p w14:paraId="274B46B8">
      <w:pPr>
        <w:spacing w:after="400" w:line="400" w:lineRule="atLeast"/>
      </w:pPr>
      <w:r>
        <w:t>The traditional personal auto insurance model, based on driver risk, is challenged by ADAS. Insurers need to understand the impact of these systems on accident frequency and severity to price policies accurately  [[72]]. Broader reforms could be considered:</w:t>
      </w:r>
    </w:p>
    <w:p w14:paraId="1B61D2C3">
      <w:pPr>
        <w:numPr>
          <w:ilvl w:val="-1"/>
          <w:numId w:val="1"/>
        </w:numPr>
        <w:spacing w:after="400" w:line="400" w:lineRule="atLeast"/>
      </w:pPr>
      <w:r>
        <w:rPr>
          <w:b/>
        </w:rPr>
        <w:t>Product Liability Insurance Mandates:</w:t>
      </w:r>
      <w:r>
        <w:t xml:space="preserve"> Consider requiring manufacturers to carry a minimum level of product liability insurance for their ADAS/AV technologies. This creates a dedicated pool of funds for victims and clarifies a financial responsibility pathway.</w:t>
      </w:r>
    </w:p>
    <w:p w14:paraId="6743C39E">
      <w:pPr>
        <w:numPr>
          <w:ilvl w:val="-1"/>
          <w:numId w:val="1"/>
        </w:numPr>
        <w:spacing w:after="400" w:line="400" w:lineRule="atLeast"/>
      </w:pPr>
      <w:r>
        <w:rPr>
          <w:b/>
        </w:rPr>
        <w:t>No-Fault or First-Party Focus:</w:t>
      </w:r>
      <w:r>
        <w:t xml:space="preserve"> Some jurisdictions may explore adaptations of no-fault insurance frameworks, where each party’s own insurer covers their losses regardless of fault, reducing litigation for certain types of crashes. Alternatively, strengthening first-party medical coverage in auto policies can ensure victims are cared for while liability is determined.</w:t>
      </w:r>
    </w:p>
    <w:p w14:paraId="4FBDC650">
      <w:pPr>
        <w:numPr>
          <w:ilvl w:val="-1"/>
          <w:numId w:val="1"/>
        </w:numPr>
        <w:spacing w:after="400" w:line="400" w:lineRule="atLeast"/>
      </w:pPr>
      <w:r>
        <w:rPr>
          <w:b/>
        </w:rPr>
        <w:t>Data for Risk Assessment:</w:t>
      </w:r>
      <w:r>
        <w:t xml:space="preserve"> Regulators should facilitate secure, anonymized data sharing between manufacturers and insurers (and researchers) to build a robust understanding of real-world ADAS performance and failure modes.</w:t>
      </w:r>
    </w:p>
    <w:p w14:paraId="12ABDD11">
      <w:pPr>
        <w:spacing w:after="400" w:line="400" w:lineRule="atLeast"/>
      </w:pPr>
      <w:r>
        <w:rPr>
          <w:b/>
          <w:sz w:val="26"/>
        </w:rPr>
        <w:t>6.3. Establish Robust Data Recording and Access Standards</w:t>
      </w:r>
    </w:p>
    <w:p w14:paraId="4F3B473A">
      <w:pPr>
        <w:spacing w:after="400" w:line="400" w:lineRule="atLeast"/>
      </w:pPr>
      <w:r>
        <w:t>Objective data is crucial for post-crash analysis. The current patchwork of EDR ("black box") standards is insufficient.</w:t>
      </w:r>
    </w:p>
    <w:p w14:paraId="082F73C8">
      <w:pPr>
        <w:numPr>
          <w:ilvl w:val="-1"/>
          <w:numId w:val="1"/>
        </w:numPr>
        <w:spacing w:after="400" w:line="400" w:lineRule="atLeast"/>
      </w:pPr>
      <w:r>
        <w:rPr>
          <w:b/>
        </w:rPr>
        <w:t>Mandate Enhanced Data Recorders (EDRs):</w:t>
      </w:r>
      <w:r>
        <w:t xml:space="preserve"> Regulations should require all new vehicles with ADAS to be equipped with EDRs that record a comprehensive, standardized set of data points relevant to automated function, including: system status (on/off, engaged/disengaged), driver monitoring system status (hands-on-wheel, gaze direction), sensor data outputs (object detections), and any system warnings issued in the seconds before a crash.</w:t>
      </w:r>
    </w:p>
    <w:p w14:paraId="610A5F6F">
      <w:pPr>
        <w:numPr>
          <w:ilvl w:val="-1"/>
          <w:numId w:val="1"/>
        </w:numPr>
        <w:spacing w:after="400" w:line="400" w:lineRule="atLeast"/>
      </w:pPr>
      <w:r>
        <w:rPr>
          <w:b/>
        </w:rPr>
        <w:t>Ensure Independent Access:</w:t>
      </w:r>
      <w:r>
        <w:t xml:space="preserve"> Protocols must be established to ensure this data is accessible in a timely manner by official crash investigators (NTSB, NHTSA, police), independent experts for plaintiffs and defendants, and insurers, while protecting consumer privacy.</w:t>
      </w:r>
    </w:p>
    <w:p w14:paraId="00DF35DF">
      <w:pPr>
        <w:spacing w:after="400" w:line="400" w:lineRule="atLeast"/>
      </w:pPr>
      <w:r>
        <w:rPr>
          <w:b/>
          <w:sz w:val="26"/>
        </w:rPr>
        <w:t>6.4. Develop Clear Federal Safety Performance Standards</w:t>
      </w:r>
    </w:p>
    <w:p w14:paraId="69250553">
      <w:pPr>
        <w:spacing w:after="400" w:line="400" w:lineRule="atLeast"/>
      </w:pPr>
      <w:r>
        <w:t>The "patchwork of state product liability laws" is identified as a potential barrier to innovation  [[73]]. A stronger federal role can provide the certainty industry seeks while protecting the public.</w:t>
      </w:r>
    </w:p>
    <w:p w14:paraId="2EB88338">
      <w:pPr>
        <w:numPr>
          <w:ilvl w:val="-1"/>
          <w:numId w:val="1"/>
        </w:numPr>
        <w:spacing w:after="400" w:line="400" w:lineRule="atLeast"/>
      </w:pPr>
      <w:r>
        <w:rPr>
          <w:b/>
        </w:rPr>
        <w:t>Performance-Based Standards for ADAS:</w:t>
      </w:r>
      <w:r>
        <w:t xml:space="preserve"> Instead of prescribing design, NHTSA or a new agency should develop and enforce minimum </w:t>
      </w:r>
      <w:r>
        <w:rPr>
          <w:b/>
        </w:rPr>
        <w:t>safety performance standards</w:t>
      </w:r>
      <w:r>
        <w:t xml:space="preserve"> for key ADAS functions. For example: An Automatic Emergency Braking system must be able to avoid a collision with a stationary vehicle up to a certain speed; a Lane Keeping system must maintain control within defined lateral boundaries on standardized curves. Meeting this federal standard would provide a "safe harbor" against certain design defect claims, though not against manufacturing or warning defects.</w:t>
      </w:r>
    </w:p>
    <w:p w14:paraId="534430F7">
      <w:pPr>
        <w:numPr>
          <w:ilvl w:val="-1"/>
          <w:numId w:val="1"/>
        </w:numPr>
        <w:spacing w:after="400" w:line="400" w:lineRule="atLeast"/>
      </w:pPr>
      <w:r>
        <w:rPr>
          <w:b/>
        </w:rPr>
        <w:t>Pre-Market Assessment and Post-Market Surveillance:</w:t>
      </w:r>
      <w:r>
        <w:t xml:space="preserve"> Implement a more rigorous pre-market review process for novel ADAS features, focusing on safety validation. Couple this with a strong post-market surveillance system, requiring manufacturers to report crashes and malfunctions, enabling regulators to identify systemic defects quickly.</w:t>
      </w:r>
    </w:p>
    <w:p w14:paraId="3F3A850D">
      <w:pPr>
        <w:spacing w:after="400" w:line="400" w:lineRule="atLeast"/>
      </w:pPr>
      <w:r>
        <w:rPr>
          <w:b/>
          <w:sz w:val="26"/>
        </w:rPr>
        <w:t>6.5. Legislative Action on Liability Apportionment</w:t>
      </w:r>
    </w:p>
    <w:p w14:paraId="4989E00E">
      <w:pPr>
        <w:spacing w:after="400" w:line="400" w:lineRule="atLeast"/>
      </w:pPr>
      <w:r>
        <w:t>Ultimately, legislatures may need to create new statutory frameworks to address the shared control dilemma directly. This is the most complex suggestion but may become necessary.</w:t>
      </w:r>
    </w:p>
    <w:p w14:paraId="5C57B770">
      <w:pPr>
        <w:numPr>
          <w:ilvl w:val="-1"/>
          <w:numId w:val="1"/>
        </w:numPr>
        <w:spacing w:after="400" w:line="400" w:lineRule="atLeast"/>
      </w:pPr>
      <w:r>
        <w:rPr>
          <w:b/>
        </w:rPr>
        <w:t>Clarify the "Duty to Supervise":</w:t>
      </w:r>
      <w:r>
        <w:t xml:space="preserve"> Legislation could statutorily define the "reasonable care" expected of a driver using Level 2 and Level 3 systems, potentially creating a rebuttable presumption of driver negligence if they are engaged in a clearly distracting activity (e.g., watching a movie) when a crash occurs.</w:t>
      </w:r>
    </w:p>
    <w:p w14:paraId="2F016DD2">
      <w:pPr>
        <w:numPr>
          <w:ilvl w:val="-1"/>
          <w:numId w:val="1"/>
        </w:numPr>
        <w:spacing w:after="400" w:line="400" w:lineRule="atLeast"/>
      </w:pPr>
      <w:r>
        <w:rPr>
          <w:b/>
        </w:rPr>
        <w:t>Create a Liability "Switch" for Level 3+ Systems:</w:t>
      </w:r>
      <w:r>
        <w:t xml:space="preserve"> For true conditional automation (Level 3), where the system is designed to operate without human monitoring, the law could explicitly shift primary liability to the manufacturer </w:t>
      </w:r>
      <w:r>
        <w:rPr>
          <w:b/>
        </w:rPr>
        <w:t>when the system is engaged within its Operational Design Domain (ODD)</w:t>
      </w:r>
      <w:r>
        <w:t>. The driver’s liability would be triggered only upon a failure to respond appropriately to a valid "request to intervene." This creates a clearer legal bright line.</w:t>
      </w:r>
    </w:p>
    <w:p w14:paraId="1DA112D8">
      <w:pPr>
        <w:numPr>
          <w:ilvl w:val="-1"/>
          <w:numId w:val="1"/>
        </w:numPr>
        <w:spacing w:after="400" w:line="400" w:lineRule="atLeast"/>
      </w:pPr>
      <w:r>
        <w:rPr>
          <w:b/>
        </w:rPr>
        <w:t>Explore Enterprise Liability or No-Fault Compensation Funds:</w:t>
      </w:r>
      <w:r>
        <w:t xml:space="preserve"> For higher levels of automation, more radical models could be considered, such as holding the </w:t>
      </w:r>
      <w:r>
        <w:rPr>
          <w:b/>
        </w:rPr>
        <w:t>manufacturing entity</w:t>
      </w:r>
      <w:r>
        <w:t xml:space="preserve"> strictly liable for all crashes when the automation is engaged (enterprise liability), or creating a national compensation fund similar to the National Vaccine Injury Compensation Program, which provides swift compensation to victims from a manufacturer-funded pool while limiting traditional tort litigation.</w:t>
      </w:r>
    </w:p>
    <w:p w14:paraId="00F85B67">
      <w:pPr>
        <w:spacing w:after="400" w:line="400" w:lineRule="atLeast"/>
      </w:pPr>
      <w:r>
        <w:rPr>
          <w:b/>
          <w:sz w:val="30"/>
        </w:rPr>
        <w:t>7. Conclusion</w:t>
      </w:r>
    </w:p>
    <w:p w14:paraId="7A675A1D">
      <w:pPr>
        <w:spacing w:after="400" w:line="400" w:lineRule="atLeast"/>
      </w:pPr>
      <w:r>
        <w:t xml:space="preserve">The journey toward vehicle automation is not a simple leap from human driver to robotaxi. It is a long, complex transition through a landscape of </w:t>
      </w:r>
      <w:r>
        <w:rPr>
          <w:b/>
        </w:rPr>
        <w:t>shared human-machine driving</w:t>
      </w:r>
      <w:r>
        <w:t>. Advanced Driver-Assistance Systems are the defining technologies of this transitional era, offering a tantalizing glimpse of a safer future while introducing profound legal and ethical quandaries in the present.</w:t>
      </w:r>
    </w:p>
    <w:p w14:paraId="4FE88C2D">
      <w:pPr>
        <w:spacing w:after="400" w:line="400" w:lineRule="atLeast"/>
      </w:pPr>
      <w:r>
        <w:t>This report has outlined the core challenge: our venerable legal frameworks of negligence and product liability, while adaptable, are groaning under the weight of allocating fault for accidents caused not by a single human error or a single product flaw, but by the dysfunctional interaction between the two. Real-world cases from Uber to Tesla demonstrate the tragic human cost of this ambiguity. The responsibility boundary is inherently blurred by design choices, behavioral adaptation, and the fundamental difficulty of supervising a complex automated system.</w:t>
      </w:r>
    </w:p>
    <w:p w14:paraId="59F89C6F">
      <w:pPr>
        <w:spacing w:after="400" w:line="400" w:lineRule="atLeast"/>
      </w:pPr>
      <w:r>
        <w:t xml:space="preserve">Navigating this transition successfully requires moving beyond a purely reactive, litigation-driven model. It demands proactive, smart regulation focused on </w:t>
      </w:r>
      <w:r>
        <w:rPr>
          <w:b/>
        </w:rPr>
        <w:t>prevention, clarity, and justice</w:t>
      </w:r>
      <w:r>
        <w:t>. By mandating transparent human-machine communication, adapting insurance models, securing crucial vehicle data, developing federal safety standards, and considering legislative clarity on liability apportionment for higher levels of automation, policymakers can create an environment where safety innovation thrives, consumers are protected, and victims have clear pathways to compensation.</w:t>
      </w:r>
    </w:p>
    <w:p w14:paraId="725B7D75">
      <w:pPr>
        <w:spacing w:after="400" w:line="400" w:lineRule="atLeast"/>
      </w:pPr>
      <w:r>
        <w:t>The goal is not to assign blame simplistically, but to structure responsibility intelligently. By doing so, we can harness the life-saving potential of ADAS while upholding the foundational legal principles of accountability and safety that must guide our progress on the road ahead. The task is formidable, but the imperative—safeguarding human life in the age of the machine co-pilot—could not be more critical.</w:t>
      </w:r>
    </w:p>
    <w:p w14:paraId="406DAACB">
      <w:pPr>
        <w:pStyle w:val="3"/>
        <w:spacing w:after="400" w:line="400" w:lineRule="atLeast"/>
      </w:pPr>
      <w:r>
        <w:t>文献来源</w:t>
      </w:r>
    </w:p>
    <w:p w14:paraId="7293663B">
      <w:pPr>
        <w:spacing w:after="200" w:line="400" w:lineRule="atLeast"/>
      </w:pPr>
      <w:r>
        <w:fldChar w:fldCharType="begin"/>
      </w:r>
      <w:r>
        <w:instrText xml:space="preserve"> HYPERLINK "https://doi.org/10.18757/ejtir.2005.5.4.4413" \h </w:instrText>
      </w:r>
      <w:r>
        <w:fldChar w:fldCharType="separate"/>
      </w:r>
      <w:r>
        <w:rPr>
          <w:rStyle w:val="13"/>
          <w:color w:val="0563C1"/>
        </w:rPr>
        <w:t>[21,30,38,142,146]. Product liability for ADAS; legal and human factors perspectives</w:t>
      </w:r>
      <w:r>
        <w:rPr>
          <w:rStyle w:val="13"/>
          <w:color w:val="0563C1"/>
        </w:rPr>
        <w:fldChar w:fldCharType="end"/>
      </w:r>
    </w:p>
    <w:p w14:paraId="22D40159">
      <w:pPr>
        <w:spacing w:after="200" w:line="400" w:lineRule="atLeast"/>
      </w:pPr>
      <w:r>
        <w:fldChar w:fldCharType="begin"/>
      </w:r>
      <w:r>
        <w:instrText xml:space="preserve"> HYPERLINK "https://www.semanticscholar.org/search?q=Design%20autonomn%C3%ADch%20vozidel%20s%20ohledem%20na%20ikluzivity%20a%20m%C4%9Bstskou%20mobilitu&amp;sort=relevance" \h </w:instrText>
      </w:r>
      <w:r>
        <w:fldChar w:fldCharType="separate"/>
      </w:r>
      <w:r>
        <w:rPr>
          <w:rStyle w:val="13"/>
          <w:color w:val="0563C1"/>
        </w:rPr>
        <w:t>[31,143]. Design autonomních vozidel s ohledem na ikluzivity a městskou mobilitu</w:t>
      </w:r>
      <w:r>
        <w:rPr>
          <w:rStyle w:val="13"/>
          <w:color w:val="0563C1"/>
        </w:rPr>
        <w:fldChar w:fldCharType="end"/>
      </w:r>
    </w:p>
    <w:p w14:paraId="3E02CD6F">
      <w:pPr>
        <w:spacing w:after="200" w:line="400" w:lineRule="atLeast"/>
      </w:pPr>
      <w:r>
        <w:fldChar w:fldCharType="begin"/>
      </w:r>
      <w:r>
        <w:instrText xml:space="preserve"> HYPERLINK "https://doi.org/10.1109/TITS.2019.2901817" \h </w:instrText>
      </w:r>
      <w:r>
        <w:fldChar w:fldCharType="separate"/>
      </w:r>
      <w:r>
        <w:rPr>
          <w:rStyle w:val="13"/>
          <w:color w:val="0563C1"/>
        </w:rPr>
        <w:t>[50]. Autonomous Vehicles That Interact With Pedestrians: A Survey of Theory and Practice</w:t>
      </w:r>
      <w:r>
        <w:rPr>
          <w:rStyle w:val="13"/>
          <w:color w:val="0563C1"/>
        </w:rPr>
        <w:fldChar w:fldCharType="end"/>
      </w:r>
    </w:p>
    <w:p w14:paraId="79EFC027">
      <w:pPr>
        <w:spacing w:after="200" w:line="400" w:lineRule="atLeast"/>
      </w:pPr>
      <w:r>
        <w:fldChar w:fldCharType="begin"/>
      </w:r>
      <w:r>
        <w:instrText xml:space="preserve"> HYPERLINK "https://www.semanticscholar.org/search?q=Liability%20and%20Regulation%20of%20Autonomous%20Vehicle%20Technologies&amp;sort=relevance" \h </w:instrText>
      </w:r>
      <w:r>
        <w:fldChar w:fldCharType="separate"/>
      </w:r>
      <w:r>
        <w:rPr>
          <w:rStyle w:val="13"/>
          <w:color w:val="0563C1"/>
        </w:rPr>
        <w:t>[88,105,112,115]. Liability and Regulation of Autonomous Vehicle Technologies</w:t>
      </w:r>
      <w:r>
        <w:rPr>
          <w:rStyle w:val="13"/>
          <w:color w:val="0563C1"/>
        </w:rPr>
        <w:fldChar w:fldCharType="end"/>
      </w:r>
    </w:p>
    <w:p w14:paraId="0EF5A635">
      <w:pPr>
        <w:spacing w:after="200" w:line="400" w:lineRule="atLeast"/>
      </w:pPr>
      <w:r>
        <w:fldChar w:fldCharType="begin"/>
      </w:r>
      <w:r>
        <w:instrText xml:space="preserve"> HYPERLINK "https://doi.org/10.18757/EJTIR.2001.1.3.3671" \h </w:instrText>
      </w:r>
      <w:r>
        <w:fldChar w:fldCharType="separate"/>
      </w:r>
      <w:r>
        <w:rPr>
          <w:rStyle w:val="13"/>
          <w:color w:val="0563C1"/>
        </w:rPr>
        <w:t>[91]. Introducing Advanced Driver Assistance Systems</w:t>
      </w:r>
      <w:r>
        <w:rPr>
          <w:rStyle w:val="13"/>
          <w:color w:val="0563C1"/>
        </w:rPr>
        <w:fldChar w:fldCharType="end"/>
      </w:r>
    </w:p>
    <w:p w14:paraId="2BA441B2">
      <w:pPr>
        <w:spacing w:after="400" w:line="400" w:lineRule="atLeast"/>
      </w:pPr>
      <w:r>
        <w:rPr>
          <w:i/>
        </w:rPr>
        <w:t>以下来源未被直接引用</w:t>
      </w:r>
    </w:p>
    <w:p w14:paraId="79F6D42B">
      <w:pPr>
        <w:spacing w:after="200" w:line="400" w:lineRule="atLeast"/>
      </w:pPr>
      <w:r>
        <w:fldChar w:fldCharType="begin"/>
      </w:r>
      <w:r>
        <w:instrText xml:space="preserve"> HYPERLINK "https://doi.org/10.1016/j.aap.2016.11.009" \h </w:instrText>
      </w:r>
      <w:r>
        <w:fldChar w:fldCharType="separate"/>
      </w:r>
      <w:r>
        <w:rPr>
          <w:rStyle w:val="13"/>
          <w:color w:val="0563C1"/>
        </w:rPr>
        <w:t>Effectiveness of forward collision warning and autonomous emergency braking systems in reducing front-to-rear crash rates.</w:t>
      </w:r>
      <w:r>
        <w:rPr>
          <w:rStyle w:val="13"/>
          <w:color w:val="0563C1"/>
        </w:rPr>
        <w:fldChar w:fldCharType="end"/>
      </w:r>
    </w:p>
    <w:p w14:paraId="656802F4">
      <w:pPr>
        <w:pStyle w:val="3"/>
        <w:spacing w:after="400" w:line="400" w:lineRule="atLeast"/>
      </w:pPr>
      <w:r>
        <w:t>其他来源</w:t>
      </w:r>
    </w:p>
    <w:p w14:paraId="42851C0F">
      <w:pPr>
        <w:spacing w:after="200" w:line="400" w:lineRule="atLeast"/>
      </w:pPr>
      <w:r>
        <w:fldChar w:fldCharType="begin"/>
      </w:r>
      <w:r>
        <w:instrText xml:space="preserve"> HYPERLINK "https://seminalresearch.com/wp-content/uploads/2023/02/Advanced-Driver-Assistance-System-ADAS.pdf" \h </w:instrText>
      </w:r>
      <w:r>
        <w:fldChar w:fldCharType="separate"/>
      </w:r>
      <w:r>
        <w:rPr>
          <w:rStyle w:val="13"/>
          <w:color w:val="0563C1"/>
        </w:rPr>
        <w:t>[1,119]. Advanced Driver Assistance System [ADAS]: Everything You Need to Know...</w:t>
      </w:r>
      <w:r>
        <w:rPr>
          <w:rStyle w:val="13"/>
          <w:color w:val="0563C1"/>
        </w:rPr>
        <w:fldChar w:fldCharType="end"/>
      </w:r>
    </w:p>
    <w:p w14:paraId="769843AF">
      <w:pPr>
        <w:spacing w:after="200" w:line="400" w:lineRule="atLeast"/>
      </w:pPr>
      <w:r>
        <w:fldChar w:fldCharType="begin"/>
      </w:r>
      <w:r>
        <w:instrText xml:space="preserve"> HYPERLINK "https://public-transport.actia.com/adas/" \h </w:instrText>
      </w:r>
      <w:r>
        <w:fldChar w:fldCharType="separate"/>
      </w:r>
      <w:r>
        <w:rPr>
          <w:rStyle w:val="13"/>
          <w:color w:val="0563C1"/>
        </w:rPr>
        <w:t>[2,10,117,120]. Advanced driver-assistance systems (ADAS)</w:t>
      </w:r>
      <w:r>
        <w:rPr>
          <w:rStyle w:val="13"/>
          <w:color w:val="0563C1"/>
        </w:rPr>
        <w:fldChar w:fldCharType="end"/>
      </w:r>
    </w:p>
    <w:p w14:paraId="5426987F">
      <w:pPr>
        <w:spacing w:after="200" w:line="400" w:lineRule="atLeast"/>
      </w:pPr>
      <w:r>
        <w:fldChar w:fldCharType="begin"/>
      </w:r>
      <w:r>
        <w:instrText xml:space="preserve"> HYPERLINK "http://suniltade.website2.me/forms" \h </w:instrText>
      </w:r>
      <w:r>
        <w:fldChar w:fldCharType="separate"/>
      </w:r>
      <w:r>
        <w:rPr>
          <w:rStyle w:val="13"/>
          <w:color w:val="0563C1"/>
        </w:rPr>
        <w:t>[3,121]. Advanced Driver Assistance System</w:t>
      </w:r>
      <w:r>
        <w:rPr>
          <w:rStyle w:val="13"/>
          <w:color w:val="0563C1"/>
        </w:rPr>
        <w:fldChar w:fldCharType="end"/>
      </w:r>
    </w:p>
    <w:p w14:paraId="18791383">
      <w:pPr>
        <w:spacing w:after="200" w:line="400" w:lineRule="atLeast"/>
      </w:pPr>
      <w:r>
        <w:fldChar w:fldCharType="begin"/>
      </w:r>
      <w:r>
        <w:instrText xml:space="preserve"> HYPERLINK "https://www.repository.utm.md/bitstream/handle/5014/28191/Conf-TehStiint-UTM-StudMastDoct-2024-V4-p1864-1867.pdf?sequence=1&amp;isAllowed=y" \h </w:instrText>
      </w:r>
      <w:r>
        <w:fldChar w:fldCharType="separate"/>
      </w:r>
      <w:r>
        <w:rPr>
          <w:rStyle w:val="13"/>
          <w:color w:val="0563C1"/>
        </w:rPr>
        <w:t>[4,125,128]. ADVANCED DRIVER-ASSISTANCE SYSTEMS</w:t>
      </w:r>
      <w:r>
        <w:rPr>
          <w:rStyle w:val="13"/>
          <w:color w:val="0563C1"/>
        </w:rPr>
        <w:fldChar w:fldCharType="end"/>
      </w:r>
    </w:p>
    <w:p w14:paraId="02732615">
      <w:pPr>
        <w:spacing w:after="200" w:line="400" w:lineRule="atLeast"/>
      </w:pPr>
      <w:r>
        <w:fldChar w:fldCharType="begin"/>
      </w:r>
      <w:r>
        <w:instrText xml:space="preserve"> HYPERLINK "https://www.sohu.com/a/722028612_120815556" \h </w:instrText>
      </w:r>
      <w:r>
        <w:fldChar w:fldCharType="separate"/>
      </w:r>
      <w:r>
        <w:rPr>
          <w:rStyle w:val="13"/>
          <w:color w:val="0563C1"/>
        </w:rPr>
        <w:t>[5,126]. 汽车高级驾驶辅助系统（ADAS）的定义</w:t>
      </w:r>
      <w:r>
        <w:rPr>
          <w:rStyle w:val="13"/>
          <w:color w:val="0563C1"/>
        </w:rPr>
        <w:fldChar w:fldCharType="end"/>
      </w:r>
    </w:p>
    <w:p w14:paraId="558F460F">
      <w:pPr>
        <w:spacing w:after="200" w:line="400" w:lineRule="atLeast"/>
      </w:pPr>
      <w:r>
        <w:fldChar w:fldCharType="begin"/>
      </w:r>
      <w:r>
        <w:instrText xml:space="preserve"> HYPERLINK "https://www.insightsonindia.com/wp-content/uploads/2025/04/INSIGHTS-PT-2025-Exclusive-Updated-Module-1.pdf" \h </w:instrText>
      </w:r>
      <w:r>
        <w:fldChar w:fldCharType="separate"/>
      </w:r>
      <w:r>
        <w:rPr>
          <w:rStyle w:val="13"/>
          <w:color w:val="0563C1"/>
        </w:rPr>
        <w:t>[6,12,127,129]. INSIGHTS PT 2025 EXCLUSIVE (UPDATED MODULE 1)</w:t>
      </w:r>
      <w:r>
        <w:rPr>
          <w:rStyle w:val="13"/>
          <w:color w:val="0563C1"/>
        </w:rPr>
        <w:fldChar w:fldCharType="end"/>
      </w:r>
    </w:p>
    <w:p w14:paraId="3860150D">
      <w:pPr>
        <w:spacing w:after="200" w:line="400" w:lineRule="atLeast"/>
      </w:pPr>
      <w:r>
        <w:fldChar w:fldCharType="begin"/>
      </w:r>
      <w:r>
        <w:instrText xml:space="preserve"> HYPERLINK "https://www.cmbi.com.hk/upload/202504/20250425916766.pdf" \h </w:instrText>
      </w:r>
      <w:r>
        <w:fldChar w:fldCharType="separate"/>
      </w:r>
      <w:r>
        <w:rPr>
          <w:rStyle w:val="13"/>
          <w:color w:val="0563C1"/>
        </w:rPr>
        <w:t>[7,13,122]. Semiconductors: China’s ADAS/AD players are set to gain ground at accelerated pace</w:t>
      </w:r>
      <w:r>
        <w:rPr>
          <w:rStyle w:val="13"/>
          <w:color w:val="0563C1"/>
        </w:rPr>
        <w:fldChar w:fldCharType="end"/>
      </w:r>
    </w:p>
    <w:p w14:paraId="0B773302">
      <w:pPr>
        <w:spacing w:after="200" w:line="400" w:lineRule="atLeast"/>
      </w:pPr>
      <w:r>
        <w:fldChar w:fldCharType="begin"/>
      </w:r>
      <w:r>
        <w:instrText xml:space="preserve"> HYPERLINK "https://wiki.stepfpga.com/adas" \h </w:instrText>
      </w:r>
      <w:r>
        <w:fldChar w:fldCharType="separate"/>
      </w:r>
      <w:r>
        <w:rPr>
          <w:rStyle w:val="13"/>
          <w:color w:val="0563C1"/>
        </w:rPr>
        <w:t>[8,11,118]. adas [小脚丫STEP开源社区]</w:t>
      </w:r>
      <w:r>
        <w:rPr>
          <w:rStyle w:val="13"/>
          <w:color w:val="0563C1"/>
        </w:rPr>
        <w:fldChar w:fldCharType="end"/>
      </w:r>
    </w:p>
    <w:p w14:paraId="5A55591D">
      <w:pPr>
        <w:spacing w:after="200" w:line="400" w:lineRule="atLeast"/>
      </w:pPr>
      <w:r>
        <w:fldChar w:fldCharType="begin"/>
      </w:r>
      <w:r>
        <w:instrText xml:space="preserve"> HYPERLINK "https://lifesaver-app.com/glossary/adas/" \h </w:instrText>
      </w:r>
      <w:r>
        <w:fldChar w:fldCharType="separate"/>
      </w:r>
      <w:r>
        <w:rPr>
          <w:rStyle w:val="13"/>
          <w:color w:val="0563C1"/>
        </w:rPr>
        <w:t>[9]. ADAS Definition</w:t>
      </w:r>
      <w:r>
        <w:rPr>
          <w:rStyle w:val="13"/>
          <w:color w:val="0563C1"/>
        </w:rPr>
        <w:fldChar w:fldCharType="end"/>
      </w:r>
    </w:p>
    <w:p w14:paraId="3C3556E6">
      <w:pPr>
        <w:spacing w:after="200" w:line="400" w:lineRule="atLeast"/>
      </w:pPr>
      <w:r>
        <w:fldChar w:fldCharType="begin"/>
      </w:r>
      <w:r>
        <w:instrText xml:space="preserve"> HYPERLINK "https://www.arval.com/sites/default/files/153/2020/04/a-guide-to-advanced-driver-assistant-system.pdf" \h </w:instrText>
      </w:r>
      <w:r>
        <w:fldChar w:fldCharType="separate"/>
      </w:r>
      <w:r>
        <w:rPr>
          <w:rStyle w:val="13"/>
          <w:color w:val="0563C1"/>
        </w:rPr>
        <w:t>[14,123]. A Guide to Advanced Driver Assistance Systems</w:t>
      </w:r>
      <w:r>
        <w:rPr>
          <w:rStyle w:val="13"/>
          <w:color w:val="0563C1"/>
        </w:rPr>
        <w:fldChar w:fldCharType="end"/>
      </w:r>
    </w:p>
    <w:p w14:paraId="60B2FB7F">
      <w:pPr>
        <w:spacing w:after="200" w:line="400" w:lineRule="atLeast"/>
      </w:pPr>
      <w:r>
        <w:fldChar w:fldCharType="begin"/>
      </w:r>
      <w:r>
        <w:instrText xml:space="preserve"> HYPERLINK "https://www.seminarsonly.com/computer%2520science/advanced-driver-assistance-system.php" \h </w:instrText>
      </w:r>
      <w:r>
        <w:fldChar w:fldCharType="separate"/>
      </w:r>
      <w:r>
        <w:rPr>
          <w:rStyle w:val="13"/>
          <w:color w:val="0563C1"/>
        </w:rPr>
        <w:t>[15,124]. Advanced Driver Assistance System (ADAS)</w:t>
      </w:r>
      <w:r>
        <w:rPr>
          <w:rStyle w:val="13"/>
          <w:color w:val="0563C1"/>
        </w:rPr>
        <w:fldChar w:fldCharType="end"/>
      </w:r>
    </w:p>
    <w:p w14:paraId="73FFA591">
      <w:pPr>
        <w:spacing w:after="200" w:line="400" w:lineRule="atLeast"/>
      </w:pPr>
      <w:r>
        <w:fldChar w:fldCharType="begin"/>
      </w:r>
      <w:r>
        <w:instrText xml:space="preserve"> HYPERLINK "https://en.sip-adus.go.jp/evt/workshop2022/file/sbi/6_SBI_MatthewDaus-JapanPresentation.pdf" \h </w:instrText>
      </w:r>
      <w:r>
        <w:fldChar w:fldCharType="separate"/>
      </w:r>
      <w:r>
        <w:rPr>
          <w:rStyle w:val="13"/>
          <w:color w:val="0563C1"/>
        </w:rPr>
        <w:t>[16,17,132,133]. SIP-adus Workshop 2022: Service &amp; Business Implementation: Robotaxis in the U.S. – Regulatory Framework &amp; Legal Developments</w:t>
      </w:r>
      <w:r>
        <w:rPr>
          <w:rStyle w:val="13"/>
          <w:color w:val="0563C1"/>
        </w:rPr>
        <w:fldChar w:fldCharType="end"/>
      </w:r>
    </w:p>
    <w:p w14:paraId="72952FAF">
      <w:pPr>
        <w:spacing w:after="200" w:line="400" w:lineRule="atLeast"/>
      </w:pPr>
      <w:r>
        <w:fldChar w:fldCharType="begin"/>
      </w:r>
      <w:r>
        <w:instrText xml:space="preserve"> HYPERLINK "https://ctlj.colorado.edu/wp-content/uploads/2023/08/Final-Pankey-6.27.23.pdf" \h </w:instrText>
      </w:r>
      <w:r>
        <w:fldChar w:fldCharType="separate"/>
      </w:r>
      <w:r>
        <w:rPr>
          <w:rStyle w:val="13"/>
          <w:color w:val="0563C1"/>
        </w:rPr>
        <w:t>[18,20,40,42,102,104,134,150,152]. WHERE TECH MEETS TORT: A SURVEY OF GEISTFELD'S APPROACH TO AUTONOMOUS VEHICLES AND THE CIVIL LIABILITY REGIME</w:t>
      </w:r>
      <w:r>
        <w:rPr>
          <w:rStyle w:val="13"/>
          <w:color w:val="0563C1"/>
        </w:rPr>
        <w:fldChar w:fldCharType="end"/>
      </w:r>
    </w:p>
    <w:p w14:paraId="20F96D4B">
      <w:pPr>
        <w:spacing w:after="200" w:line="400" w:lineRule="atLeast"/>
      </w:pPr>
      <w:r>
        <w:fldChar w:fldCharType="begin"/>
      </w:r>
      <w:r>
        <w:instrText xml:space="preserve"> HYPERLINK "https://scholar.law.colorado.edu/cgi/viewcontent.cgi?article=1025&amp;context=ctlj" \h </w:instrText>
      </w:r>
      <w:r>
        <w:fldChar w:fldCharType="separate"/>
      </w:r>
      <w:r>
        <w:rPr>
          <w:rStyle w:val="13"/>
          <w:color w:val="0563C1"/>
        </w:rPr>
        <w:t>[19,41,101,135,151]. Where Tech Meets Tort: A Survey of Geistfeld's Approach to Autonomous Vehicles and the Civil Liability Regime</w:t>
      </w:r>
      <w:r>
        <w:rPr>
          <w:rStyle w:val="13"/>
          <w:color w:val="0563C1"/>
        </w:rPr>
        <w:fldChar w:fldCharType="end"/>
      </w:r>
    </w:p>
    <w:p w14:paraId="70F620F5">
      <w:pPr>
        <w:spacing w:after="200" w:line="400" w:lineRule="atLeast"/>
      </w:pPr>
      <w:r>
        <w:fldChar w:fldCharType="begin"/>
      </w:r>
      <w:r>
        <w:instrText xml:space="preserve"> HYPERLINK "https://www.spsr-law.com/wp-content/uploads/2020/03/b7dfeafec0a34fac38607b432b9da563ef02550b.pdf" \h </w:instrText>
      </w:r>
      <w:r>
        <w:fldChar w:fldCharType="separate"/>
      </w:r>
      <w:r>
        <w:rPr>
          <w:rStyle w:val="13"/>
          <w:color w:val="0563C1"/>
        </w:rPr>
        <w:t>[22,136]. Chaos Reigns Without the Rule of Law</w:t>
      </w:r>
      <w:r>
        <w:rPr>
          <w:rStyle w:val="13"/>
          <w:color w:val="0563C1"/>
        </w:rPr>
        <w:fldChar w:fldCharType="end"/>
      </w:r>
    </w:p>
    <w:p w14:paraId="6CE32EAF">
      <w:pPr>
        <w:spacing w:after="200" w:line="400" w:lineRule="atLeast"/>
      </w:pPr>
      <w:r>
        <w:fldChar w:fldCharType="begin"/>
      </w:r>
      <w:r>
        <w:instrText xml:space="preserve"> HYPERLINK "https://research.tudelft.nl/files/56741812/Santoni_WhitePaperADSEthics_2016.pdf" \h </w:instrText>
      </w:r>
      <w:r>
        <w:fldChar w:fldCharType="separate"/>
      </w:r>
      <w:r>
        <w:rPr>
          <w:rStyle w:val="13"/>
          <w:color w:val="0563C1"/>
        </w:rPr>
        <w:t>[23,137]. Ethics and Self-driving Cars: A White Paper on Responsible Innovation in Automated Driving Systems</w:t>
      </w:r>
      <w:r>
        <w:rPr>
          <w:rStyle w:val="13"/>
          <w:color w:val="0563C1"/>
        </w:rPr>
        <w:fldChar w:fldCharType="end"/>
      </w:r>
    </w:p>
    <w:p w14:paraId="05C9076C">
      <w:pPr>
        <w:spacing w:after="200" w:line="400" w:lineRule="atLeast"/>
      </w:pPr>
      <w:r>
        <w:fldChar w:fldCharType="begin"/>
      </w:r>
      <w:r>
        <w:instrText xml:space="preserve"> HYPERLINK "https://djetlawyer.com/determining-legal-liability-for-autonomous-vehicles/" \h </w:instrText>
      </w:r>
      <w:r>
        <w:fldChar w:fldCharType="separate"/>
      </w:r>
      <w:r>
        <w:rPr>
          <w:rStyle w:val="13"/>
          <w:color w:val="0563C1"/>
        </w:rPr>
        <w:t>[24,138]. Liability for Crashes Caused by Autonomous Vehicles</w:t>
      </w:r>
      <w:r>
        <w:rPr>
          <w:rStyle w:val="13"/>
          <w:color w:val="0563C1"/>
        </w:rPr>
        <w:fldChar w:fldCharType="end"/>
      </w:r>
    </w:p>
    <w:p w14:paraId="09215F65">
      <w:pPr>
        <w:spacing w:after="200" w:line="400" w:lineRule="atLeast"/>
      </w:pPr>
      <w:r>
        <w:fldChar w:fldCharType="begin"/>
      </w:r>
      <w:r>
        <w:instrText xml:space="preserve"> HYPERLINK "https://www.collinslaw.com/faulty-adas-whos-liable-for-your-accident/#%3A~%3Atext%3DDefective%20ADAS%20systems%20can%20fail%2Cnearby%20vehicles%20during%20lane%20changes." \h </w:instrText>
      </w:r>
      <w:r>
        <w:fldChar w:fldCharType="separate"/>
      </w:r>
      <w:r>
        <w:rPr>
          <w:rStyle w:val="13"/>
          <w:color w:val="0563C1"/>
        </w:rPr>
        <w:t>[25,139]. Faulty ADAS: Who’s Liable for Your Accident? | Collins Law Firm</w:t>
      </w:r>
      <w:r>
        <w:rPr>
          <w:rStyle w:val="13"/>
          <w:color w:val="0563C1"/>
        </w:rPr>
        <w:fldChar w:fldCharType="end"/>
      </w:r>
    </w:p>
    <w:p w14:paraId="15C3B46A">
      <w:pPr>
        <w:spacing w:after="200" w:line="400" w:lineRule="atLeast"/>
      </w:pPr>
      <w:r>
        <w:fldChar w:fldCharType="begin"/>
      </w:r>
      <w:r>
        <w:instrText xml:space="preserve"> HYPERLINK "https://www.cigionline.org/documents/2662/PB_no.177_Pain5Sz.pdf" \h </w:instrText>
      </w:r>
      <w:r>
        <w:fldChar w:fldCharType="separate"/>
      </w:r>
      <w:r>
        <w:rPr>
          <w:rStyle w:val="13"/>
          <w:color w:val="0563C1"/>
        </w:rPr>
        <w:t>[26]. Addressing the Liability Gap in AI Accidents</w:t>
      </w:r>
      <w:r>
        <w:rPr>
          <w:rStyle w:val="13"/>
          <w:color w:val="0563C1"/>
        </w:rPr>
        <w:fldChar w:fldCharType="end"/>
      </w:r>
    </w:p>
    <w:p w14:paraId="045E2E65">
      <w:pPr>
        <w:spacing w:after="200" w:line="400" w:lineRule="atLeast"/>
      </w:pPr>
      <w:r>
        <w:fldChar w:fldCharType="begin"/>
      </w:r>
      <w:r>
        <w:instrText xml:space="preserve"> HYPERLINK "https://etdlib.bnu.edu.cn/docinfo.action?id1=5d8bf02e27737d1e2e007b488eb22ca1&amp;id2=VMtEvgmPUBE=" \h </w:instrText>
      </w:r>
      <w:r>
        <w:fldChar w:fldCharType="separate"/>
      </w:r>
      <w:r>
        <w:rPr>
          <w:rStyle w:val="13"/>
          <w:color w:val="0563C1"/>
        </w:rPr>
        <w:t>[27]. 论自动驾驶汽车交通事故侵权责任</w:t>
      </w:r>
      <w:r>
        <w:rPr>
          <w:rStyle w:val="13"/>
          <w:color w:val="0563C1"/>
        </w:rPr>
        <w:fldChar w:fldCharType="end"/>
      </w:r>
    </w:p>
    <w:p w14:paraId="061CEC6B">
      <w:pPr>
        <w:spacing w:after="200" w:line="400" w:lineRule="atLeast"/>
      </w:pPr>
      <w:r>
        <w:fldChar w:fldCharType="begin"/>
      </w:r>
      <w:r>
        <w:instrText xml:space="preserve"> HYPERLINK "https://www.longdom.org/open-access-pdfs/regulatory-and-legal-aspects-of-advanced-driver-assistance-systems.pdf" \h </w:instrText>
      </w:r>
      <w:r>
        <w:fldChar w:fldCharType="separate"/>
      </w:r>
      <w:r>
        <w:rPr>
          <w:rStyle w:val="13"/>
          <w:color w:val="0563C1"/>
        </w:rPr>
        <w:t>[28,37,86,95,109,140,145,147,188]. Regulatory and Legal Aspects of Advanced Driver Assistance Systems</w:t>
      </w:r>
      <w:r>
        <w:rPr>
          <w:rStyle w:val="13"/>
          <w:color w:val="0563C1"/>
        </w:rPr>
        <w:fldChar w:fldCharType="end"/>
      </w:r>
    </w:p>
    <w:p w14:paraId="34FE069A">
      <w:pPr>
        <w:spacing w:after="200" w:line="400" w:lineRule="atLeast"/>
      </w:pPr>
      <w:r>
        <w:fldChar w:fldCharType="begin"/>
      </w:r>
      <w:r>
        <w:instrText xml:space="preserve"> HYPERLINK "https://cdn.intechopen.com/pdfs/73821.pdf" \h </w:instrText>
      </w:r>
      <w:r>
        <w:fldChar w:fldCharType="separate"/>
      </w:r>
      <w:r>
        <w:rPr>
          <w:rStyle w:val="13"/>
          <w:color w:val="0563C1"/>
        </w:rPr>
        <w:t>[29,141]. Driver Assistance Technologies</w:t>
      </w:r>
      <w:r>
        <w:rPr>
          <w:rStyle w:val="13"/>
          <w:color w:val="0563C1"/>
        </w:rPr>
        <w:fldChar w:fldCharType="end"/>
      </w:r>
    </w:p>
    <w:p w14:paraId="50785728">
      <w:pPr>
        <w:spacing w:after="200" w:line="400" w:lineRule="atLeast"/>
      </w:pPr>
      <w:r>
        <w:fldChar w:fldCharType="begin"/>
      </w:r>
      <w:r>
        <w:instrText xml:space="preserve"> HYPERLINK "https://zenodo.org/records/1188421/files/EVITAD2.4v1.1.pdf" \h </w:instrText>
      </w:r>
      <w:r>
        <w:fldChar w:fldCharType="separate"/>
      </w:r>
      <w:r>
        <w:rPr>
          <w:rStyle w:val="13"/>
          <w:color w:val="0563C1"/>
        </w:rPr>
        <w:t>[32]. Legal framework and requirements of automotive on-board networks</w:t>
      </w:r>
      <w:r>
        <w:rPr>
          <w:rStyle w:val="13"/>
          <w:color w:val="0563C1"/>
        </w:rPr>
        <w:fldChar w:fldCharType="end"/>
      </w:r>
    </w:p>
    <w:p w14:paraId="0B07CDCB">
      <w:pPr>
        <w:spacing w:after="200" w:line="400" w:lineRule="atLeast"/>
      </w:pPr>
      <w:r>
        <w:fldChar w:fldCharType="begin"/>
      </w:r>
      <w:r>
        <w:instrText xml:space="preserve"> HYPERLINK "https://escholarship.org/content/qt46d6d86x/qt46d6d86x_noSplash_5852c1f57550990aae60409f82fcc68e.pdf?t=sgikzc" \h </w:instrText>
      </w:r>
      <w:r>
        <w:fldChar w:fldCharType="separate"/>
      </w:r>
      <w:r>
        <w:rPr>
          <w:rStyle w:val="13"/>
          <w:color w:val="0563C1"/>
        </w:rPr>
        <w:t>[33,35,44,53,144,148,155,158]. A Blueprint for Improving Automated Driving System Safety</w:t>
      </w:r>
      <w:r>
        <w:rPr>
          <w:rStyle w:val="13"/>
          <w:color w:val="0563C1"/>
        </w:rPr>
        <w:fldChar w:fldCharType="end"/>
      </w:r>
    </w:p>
    <w:p w14:paraId="4D23C15F">
      <w:pPr>
        <w:spacing w:after="200" w:line="400" w:lineRule="atLeast"/>
      </w:pPr>
      <w:r>
        <w:fldChar w:fldCharType="begin"/>
      </w:r>
      <w:r>
        <w:instrText xml:space="preserve"> HYPERLINK "https://digitalcommons.law.villanova.edu/cgi/viewcontent.cgi?article=3673&amp;context=vlr" \h </w:instrText>
      </w:r>
      <w:r>
        <w:fldChar w:fldCharType="separate"/>
      </w:r>
      <w:r>
        <w:rPr>
          <w:rStyle w:val="13"/>
          <w:color w:val="0563C1"/>
        </w:rPr>
        <w:t>[34,36,43,153,154]. Drivers of Effective Laws for Automated Vehicles</w:t>
      </w:r>
      <w:r>
        <w:rPr>
          <w:rStyle w:val="13"/>
          <w:color w:val="0563C1"/>
        </w:rPr>
        <w:fldChar w:fldCharType="end"/>
      </w:r>
    </w:p>
    <w:p w14:paraId="743B5FC5">
      <w:pPr>
        <w:spacing w:after="200" w:line="400" w:lineRule="atLeast"/>
      </w:pPr>
      <w:r>
        <w:fldChar w:fldCharType="begin"/>
      </w:r>
      <w:r>
        <w:instrText xml:space="preserve"> HYPERLINK "https://media.automotiveworld.com/app/uploads/2022/09/06184527/Automotive-World-Magazine-September-2022.pdf" \h </w:instrText>
      </w:r>
      <w:r>
        <w:fldChar w:fldCharType="separate"/>
      </w:r>
      <w:r>
        <w:rPr>
          <w:rStyle w:val="13"/>
          <w:color w:val="0563C1"/>
        </w:rPr>
        <w:t>[39,90,99,100,149,184,189]. Automotive World MAGAZINE Issue 33 | September 2022</w:t>
      </w:r>
      <w:r>
        <w:rPr>
          <w:rStyle w:val="13"/>
          <w:color w:val="0563C1"/>
        </w:rPr>
        <w:fldChar w:fldCharType="end"/>
      </w:r>
    </w:p>
    <w:p w14:paraId="126BA438">
      <w:pPr>
        <w:spacing w:after="200" w:line="400" w:lineRule="atLeast"/>
      </w:pPr>
      <w:r>
        <w:fldChar w:fldCharType="begin"/>
      </w:r>
      <w:r>
        <w:instrText xml:space="preserve"> HYPERLINK "https://repositorio.comillas.edu/xmlui/bitstream/handle/11531/69417/TFG%20-%20Perez%20Bienzobas%2C%20Daniel.pdf?sequence=3" \h </w:instrText>
      </w:r>
      <w:r>
        <w:fldChar w:fldCharType="separate"/>
      </w:r>
      <w:r>
        <w:rPr>
          <w:rStyle w:val="13"/>
          <w:color w:val="0563C1"/>
        </w:rPr>
        <w:t>[45,156,160]. DILEMAS ÉTICOS GENERADOS EN TORNO A LA TOMA DE DECISIONES EN LA CONDUCCIÓN AUTÓNOMA</w:t>
      </w:r>
      <w:r>
        <w:rPr>
          <w:rStyle w:val="13"/>
          <w:color w:val="0563C1"/>
        </w:rPr>
        <w:fldChar w:fldCharType="end"/>
      </w:r>
    </w:p>
    <w:p w14:paraId="4092921A">
      <w:pPr>
        <w:spacing w:after="200" w:line="400" w:lineRule="atLeast"/>
      </w:pPr>
      <w:r>
        <w:fldChar w:fldCharType="begin"/>
      </w:r>
      <w:r>
        <w:instrText xml:space="preserve"> HYPERLINK "https://www.cambridge.org/core/services/aop-cambridge-core/content/view/8457E125C7EAEFAD91A8A4599DF871D3/9781009431507AR.pdf/Human_Robot_Interaction_in_Law_and_Its_Narratives.pdf?event-type=FTLA" \h </w:instrText>
      </w:r>
      <w:r>
        <w:fldChar w:fldCharType="separate"/>
      </w:r>
      <w:r>
        <w:rPr>
          <w:rStyle w:val="13"/>
          <w:color w:val="0563C1"/>
        </w:rPr>
        <w:t>[46,157,161]. HUMAN-ROBOT INTERACTION IN LAW AND ITS NARRATIVES</w:t>
      </w:r>
      <w:r>
        <w:rPr>
          <w:rStyle w:val="13"/>
          <w:color w:val="0563C1"/>
        </w:rPr>
        <w:fldChar w:fldCharType="end"/>
      </w:r>
    </w:p>
    <w:p w14:paraId="3AA18126">
      <w:pPr>
        <w:spacing w:after="400" w:line="400" w:lineRule="atLeast"/>
      </w:pPr>
      <w:r>
        <w:t>[[47,57,107,110,159,163]. FORM 20-F ](https://links.sgx.com/1.0.0/corporate-announcements/WEKRQCI64BWGL3BG/795554_NIO Inc - Annual Report.pdf)</w:t>
      </w:r>
    </w:p>
    <w:p w14:paraId="331B7476">
      <w:pPr>
        <w:spacing w:after="200" w:line="400" w:lineRule="atLeast"/>
      </w:pPr>
      <w:r>
        <w:fldChar w:fldCharType="begin"/>
      </w:r>
      <w:r>
        <w:instrText xml:space="preserve"> HYPERLINK "https://www.mlit.go.jp/jidosha/anzen/01asv/report06/file/siryohen_2_jikosakugenkoka.pdf" \h </w:instrText>
      </w:r>
      <w:r>
        <w:fldChar w:fldCharType="separate"/>
      </w:r>
      <w:r>
        <w:rPr>
          <w:rStyle w:val="13"/>
          <w:color w:val="0563C1"/>
        </w:rPr>
        <w:t>[48,56,58,164,166]. 全ミクロ事例の事故要因一覧と事故削減推計まとめ</w:t>
      </w:r>
      <w:r>
        <w:rPr>
          <w:rStyle w:val="13"/>
          <w:color w:val="0563C1"/>
        </w:rPr>
        <w:fldChar w:fldCharType="end"/>
      </w:r>
    </w:p>
    <w:p w14:paraId="627B3F10">
      <w:pPr>
        <w:spacing w:after="200" w:line="400" w:lineRule="atLeast"/>
      </w:pPr>
      <w:r>
        <w:fldChar w:fldCharType="begin"/>
      </w:r>
      <w:r>
        <w:instrText xml:space="preserve"> HYPERLINK "http://www.360doc.com/content/22/0626/19/72814757_1037516226.shtml" \h </w:instrText>
      </w:r>
      <w:r>
        <w:fldChar w:fldCharType="separate"/>
      </w:r>
      <w:r>
        <w:rPr>
          <w:rStyle w:val="13"/>
          <w:color w:val="0563C1"/>
        </w:rPr>
        <w:t>[49,59,165]. NHTSA关于配备ADS车辆碰撞事故报告的分析</w:t>
      </w:r>
      <w:r>
        <w:rPr>
          <w:rStyle w:val="13"/>
          <w:color w:val="0563C1"/>
        </w:rPr>
        <w:fldChar w:fldCharType="end"/>
      </w:r>
    </w:p>
    <w:p w14:paraId="59E84747">
      <w:pPr>
        <w:spacing w:after="200" w:line="400" w:lineRule="atLeast"/>
      </w:pPr>
      <w:r>
        <w:fldChar w:fldCharType="begin"/>
      </w:r>
      <w:r>
        <w:instrText xml:space="preserve"> HYPERLINK "https://journal.kasa.kr/articles/pdf/8Kx8/kasa-2021-013-04-8.pdf" \h </w:instrText>
      </w:r>
      <w:r>
        <w:fldChar w:fldCharType="separate"/>
      </w:r>
      <w:r>
        <w:rPr>
          <w:rStyle w:val="13"/>
          <w:color w:val="0563C1"/>
        </w:rPr>
        <w:t>[51]. 교통사고 사례를 통한 자율차 사고기록장치 방향성 연구</w:t>
      </w:r>
      <w:r>
        <w:rPr>
          <w:rStyle w:val="13"/>
          <w:color w:val="0563C1"/>
        </w:rPr>
        <w:fldChar w:fldCharType="end"/>
      </w:r>
    </w:p>
    <w:p w14:paraId="00B9650B">
      <w:pPr>
        <w:spacing w:after="200" w:line="400" w:lineRule="atLeast"/>
      </w:pPr>
      <w:r>
        <w:fldChar w:fldCharType="begin"/>
      </w:r>
      <w:r>
        <w:instrText xml:space="preserve"> HYPERLINK "https://www.zirak.it/en/automotive-en/case-studies-adas/" \h </w:instrText>
      </w:r>
      <w:r>
        <w:fldChar w:fldCharType="separate"/>
      </w:r>
      <w:r>
        <w:rPr>
          <w:rStyle w:val="13"/>
          <w:color w:val="0563C1"/>
        </w:rPr>
        <w:t>[52]. Automotive Case Studies – ADAS</w:t>
      </w:r>
      <w:r>
        <w:rPr>
          <w:rStyle w:val="13"/>
          <w:color w:val="0563C1"/>
        </w:rPr>
        <w:fldChar w:fldCharType="end"/>
      </w:r>
    </w:p>
    <w:p w14:paraId="55806FC6">
      <w:pPr>
        <w:spacing w:after="200" w:line="400" w:lineRule="atLeast"/>
      </w:pPr>
      <w:r>
        <w:fldChar w:fldCharType="begin"/>
      </w:r>
      <w:r>
        <w:instrText xml:space="preserve"> HYPERLINK "https://files.metaso.cn/api/public-file/preview?fileName=8658422424186376192.pdf" \h </w:instrText>
      </w:r>
      <w:r>
        <w:fldChar w:fldCharType="separate"/>
      </w:r>
      <w:r>
        <w:rPr>
          <w:rStyle w:val="13"/>
          <w:color w:val="0563C1"/>
        </w:rPr>
        <w:t>[54]. 在路上</w:t>
      </w:r>
      <w:r>
        <w:rPr>
          <w:rStyle w:val="13"/>
          <w:color w:val="0563C1"/>
        </w:rPr>
        <w:fldChar w:fldCharType="end"/>
      </w:r>
    </w:p>
    <w:p w14:paraId="6A84D18B">
      <w:pPr>
        <w:spacing w:after="200" w:line="400" w:lineRule="atLeast"/>
      </w:pPr>
      <w:r>
        <w:fldChar w:fldCharType="begin"/>
      </w:r>
      <w:r>
        <w:instrText xml:space="preserve"> HYPERLINK "https://www.thepaper.cn/newsDetail_forward_19475321" \h </w:instrText>
      </w:r>
      <w:r>
        <w:fldChar w:fldCharType="separate"/>
      </w:r>
      <w:r>
        <w:rPr>
          <w:rStyle w:val="13"/>
          <w:color w:val="0563C1"/>
        </w:rPr>
        <w:t>[55,162,177]. 辅助驾驶</w:t>
      </w:r>
      <w:r>
        <w:rPr>
          <w:rStyle w:val="13"/>
          <w:color w:val="0563C1"/>
        </w:rPr>
        <w:fldChar w:fldCharType="end"/>
      </w:r>
    </w:p>
    <w:p w14:paraId="19A0F896">
      <w:pPr>
        <w:spacing w:after="200" w:line="400" w:lineRule="atLeast"/>
      </w:pPr>
      <w:r>
        <w:fldChar w:fldCharType="begin"/>
      </w:r>
      <w:r>
        <w:instrText xml:space="preserve"> HYPERLINK "https://www.frontiersin.org/journals/future-transportation/articles/10.3389/ffutr.2025.1534157/pdf" \h </w:instrText>
      </w:r>
      <w:r>
        <w:fldChar w:fldCharType="separate"/>
      </w:r>
      <w:r>
        <w:rPr>
          <w:rStyle w:val="13"/>
          <w:color w:val="0563C1"/>
        </w:rPr>
        <w:t>[60,167,170]. A lack of meaningful human control for automated vehicles: pressing issues for deployment and regulation</w:t>
      </w:r>
      <w:r>
        <w:rPr>
          <w:rStyle w:val="13"/>
          <w:color w:val="0563C1"/>
        </w:rPr>
        <w:fldChar w:fldCharType="end"/>
      </w:r>
    </w:p>
    <w:p w14:paraId="1E7216F9">
      <w:pPr>
        <w:spacing w:after="200" w:line="400" w:lineRule="atLeast"/>
      </w:pPr>
      <w:r>
        <w:fldChar w:fldCharType="begin"/>
      </w:r>
      <w:r>
        <w:instrText xml:space="preserve"> HYPERLINK "https://mdpi-res.com/bookfiles/book/11237/Test_and_Evaluation_Methods_for_HumanMachine_Interfaces_of_Automated_Vehicles_II.pdf?v=1754788317" \h </w:instrText>
      </w:r>
      <w:r>
        <w:fldChar w:fldCharType="separate"/>
      </w:r>
      <w:r>
        <w:rPr>
          <w:rStyle w:val="13"/>
          <w:color w:val="0563C1"/>
        </w:rPr>
        <w:t>[61,168]. Test and Evaluation Methods for Human-Machine Interfaces of Automated Vehicles II</w:t>
      </w:r>
      <w:r>
        <w:rPr>
          <w:rStyle w:val="13"/>
          <w:color w:val="0563C1"/>
        </w:rPr>
        <w:fldChar w:fldCharType="end"/>
      </w:r>
    </w:p>
    <w:p w14:paraId="5E18B3B1">
      <w:pPr>
        <w:spacing w:after="200" w:line="400" w:lineRule="atLeast"/>
      </w:pPr>
      <w:r>
        <w:fldChar w:fldCharType="begin"/>
      </w:r>
      <w:r>
        <w:instrText xml:space="preserve"> HYPERLINK "https://wiki.unece.org/download/attachments/117510163/GRVA-05-48e%20-%20Who%27s%20in%20control_Road%20safety%20and%20automation%20in%20road%20traffic.pdf?api=v2" \h </w:instrText>
      </w:r>
      <w:r>
        <w:fldChar w:fldCharType="separate"/>
      </w:r>
      <w:r>
        <w:rPr>
          <w:rStyle w:val="13"/>
          <w:color w:val="0563C1"/>
        </w:rPr>
        <w:t>[62,77,169,179]. Who is in control? Road safety and automation in road traffic</w:t>
      </w:r>
      <w:r>
        <w:rPr>
          <w:rStyle w:val="13"/>
          <w:color w:val="0563C1"/>
        </w:rPr>
        <w:fldChar w:fldCharType="end"/>
      </w:r>
    </w:p>
    <w:p w14:paraId="4BB1FC27">
      <w:pPr>
        <w:spacing w:after="200" w:line="400" w:lineRule="atLeast"/>
      </w:pPr>
      <w:r>
        <w:fldChar w:fldCharType="begin"/>
      </w:r>
      <w:r>
        <w:instrText xml:space="preserve"> HYPERLINK "https://www.namic.org/wp-content/uploads/2024/04/200611_av_liabilitystandards.pdf" \h </w:instrText>
      </w:r>
      <w:r>
        <w:fldChar w:fldCharType="separate"/>
      </w:r>
      <w:r>
        <w:rPr>
          <w:rStyle w:val="13"/>
          <w:color w:val="0563C1"/>
        </w:rPr>
        <w:t>[63,65,66,67,69,74,81,82,85,130,131,171,173,174,175,183,187]. LIABILITY STANDARDS FOR AUTOMATED VEHICLE SHARED-DRIVING CRASHES</w:t>
      </w:r>
      <w:r>
        <w:rPr>
          <w:rStyle w:val="13"/>
          <w:color w:val="0563C1"/>
        </w:rPr>
        <w:fldChar w:fldCharType="end"/>
      </w:r>
    </w:p>
    <w:p w14:paraId="17301DE9">
      <w:pPr>
        <w:spacing w:after="200" w:line="400" w:lineRule="atLeast"/>
      </w:pPr>
      <w:r>
        <w:fldChar w:fldCharType="begin"/>
      </w:r>
      <w:r>
        <w:instrText xml:space="preserve"> HYPERLINK "https://baa.m.yiche.com/chat/thread-42197446.html" \h </w:instrText>
      </w:r>
      <w:r>
        <w:fldChar w:fldCharType="separate"/>
      </w:r>
      <w:r>
        <w:rPr>
          <w:rStyle w:val="13"/>
          <w:color w:val="0563C1"/>
        </w:rPr>
        <w:t>[64,172]. 楼主 辅助驾驶事故的责任分析 --自动驾驶的法律边界（三）事故责任篇</w:t>
      </w:r>
      <w:r>
        <w:rPr>
          <w:rStyle w:val="13"/>
          <w:color w:val="0563C1"/>
        </w:rPr>
        <w:fldChar w:fldCharType="end"/>
      </w:r>
    </w:p>
    <w:p w14:paraId="78F094C3">
      <w:pPr>
        <w:spacing w:after="200" w:line="400" w:lineRule="atLeast"/>
      </w:pPr>
      <w:r>
        <w:fldChar w:fldCharType="begin"/>
      </w:r>
      <w:r>
        <w:instrText xml:space="preserve"> HYPERLINK "http://www.mzone.site/Uploads/Download/2023-09-11/64feaa4778125.pdf" \h </w:instrText>
      </w:r>
      <w:r>
        <w:fldChar w:fldCharType="separate"/>
      </w:r>
      <w:r>
        <w:rPr>
          <w:rStyle w:val="13"/>
          <w:color w:val="0563C1"/>
        </w:rPr>
        <w:t>[68,71,73]. 智能网联产业研究分析月度报告 第三十一期 2023年7-8月</w:t>
      </w:r>
      <w:r>
        <w:rPr>
          <w:rStyle w:val="13"/>
          <w:color w:val="0563C1"/>
        </w:rPr>
        <w:fldChar w:fldCharType="end"/>
      </w:r>
    </w:p>
    <w:p w14:paraId="65A59FC8">
      <w:pPr>
        <w:spacing w:after="200" w:line="400" w:lineRule="atLeast"/>
      </w:pPr>
      <w:r>
        <w:fldChar w:fldCharType="begin"/>
      </w:r>
      <w:r>
        <w:instrText xml:space="preserve"> HYPERLINK "https://www.ey.com/en_gl/megatrends/how-emerging-technologies-are-enabling-the-human-machine-hybrid-economy" \h </w:instrText>
      </w:r>
      <w:r>
        <w:fldChar w:fldCharType="separate"/>
      </w:r>
      <w:r>
        <w:rPr>
          <w:rStyle w:val="13"/>
          <w:color w:val="0563C1"/>
        </w:rPr>
        <w:t>[70,79,83,176,185]. From human augmentation to the hybrid era</w:t>
      </w:r>
      <w:r>
        <w:rPr>
          <w:rStyle w:val="13"/>
          <w:color w:val="0563C1"/>
        </w:rPr>
        <w:fldChar w:fldCharType="end"/>
      </w:r>
    </w:p>
    <w:p w14:paraId="426F07D8">
      <w:pPr>
        <w:spacing w:after="200" w:line="400" w:lineRule="atLeast"/>
      </w:pPr>
      <w:r>
        <w:fldChar w:fldCharType="begin"/>
      </w:r>
      <w:r>
        <w:instrText xml:space="preserve"> HYPERLINK "https://hal.science/hal-03233890/document" \h </w:instrText>
      </w:r>
      <w:r>
        <w:fldChar w:fldCharType="separate"/>
      </w:r>
      <w:r>
        <w:rPr>
          <w:rStyle w:val="13"/>
          <w:color w:val="0563C1"/>
        </w:rPr>
        <w:t>[72,76,178]. A Note on Accidents Involving Autonomous Vehicles: Interdependence of Event Data Recorder, Human-Vehicle Cooperation and Legal Aspects</w:t>
      </w:r>
      <w:r>
        <w:rPr>
          <w:rStyle w:val="13"/>
          <w:color w:val="0563C1"/>
        </w:rPr>
        <w:fldChar w:fldCharType="end"/>
      </w:r>
    </w:p>
    <w:p w14:paraId="2CCCBA4F">
      <w:pPr>
        <w:spacing w:after="200" w:line="400" w:lineRule="atLeast"/>
      </w:pPr>
      <w:r>
        <w:fldChar w:fldCharType="begin"/>
      </w:r>
      <w:r>
        <w:instrText xml:space="preserve"> HYPERLINK "https://www.tudelft.nl/en/tpm/research/projects/bridging-the-gap-between-new-technology-and-safety-responsibility-of-self-driving-cars/" \h </w:instrText>
      </w:r>
      <w:r>
        <w:fldChar w:fldCharType="separate"/>
      </w:r>
      <w:r>
        <w:rPr>
          <w:rStyle w:val="13"/>
          <w:color w:val="0563C1"/>
        </w:rPr>
        <w:t>[75,181]. Who is responsible when self-driving cars are involved in accidents?</w:t>
      </w:r>
      <w:r>
        <w:rPr>
          <w:rStyle w:val="13"/>
          <w:color w:val="0563C1"/>
        </w:rPr>
        <w:fldChar w:fldCharType="end"/>
      </w:r>
    </w:p>
    <w:p w14:paraId="7C494784">
      <w:pPr>
        <w:spacing w:after="200" w:line="400" w:lineRule="atLeast"/>
      </w:pPr>
      <w:r>
        <w:fldChar w:fldCharType="begin"/>
      </w:r>
      <w:r>
        <w:instrText xml:space="preserve"> HYPERLINK "https://publikationen.bibliothek.kit.edu/1000094692/30368709" \h </w:instrText>
      </w:r>
      <w:r>
        <w:fldChar w:fldCharType="separate"/>
      </w:r>
      <w:r>
        <w:rPr>
          <w:rStyle w:val="13"/>
          <w:color w:val="0563C1"/>
        </w:rPr>
        <w:t>[78,180]. From semi to fully autonomous vehicles: New emerging risks and ethico-legal challenges for human-machine interactions</w:t>
      </w:r>
      <w:r>
        <w:rPr>
          <w:rStyle w:val="13"/>
          <w:color w:val="0563C1"/>
        </w:rPr>
        <w:fldChar w:fldCharType="end"/>
      </w:r>
    </w:p>
    <w:p w14:paraId="07A495BD">
      <w:pPr>
        <w:spacing w:after="200" w:line="400" w:lineRule="atLeast"/>
      </w:pPr>
      <w:r>
        <w:fldChar w:fldCharType="begin"/>
      </w:r>
      <w:r>
        <w:instrText xml:space="preserve"> HYPERLINK "https://www.hanspub.org/journal/paperinformation?paperID=104474" \h </w:instrText>
      </w:r>
      <w:r>
        <w:fldChar w:fldCharType="separate"/>
      </w:r>
      <w:r>
        <w:rPr>
          <w:rStyle w:val="13"/>
          <w:color w:val="0563C1"/>
        </w:rPr>
        <w:t>[80,182]. “人机共驾”智驾汽车侵权归责的困境与解决路径</w:t>
      </w:r>
      <w:r>
        <w:rPr>
          <w:rStyle w:val="13"/>
          <w:color w:val="0563C1"/>
        </w:rPr>
        <w:fldChar w:fldCharType="end"/>
      </w:r>
    </w:p>
    <w:p w14:paraId="45AF233D">
      <w:pPr>
        <w:spacing w:after="200" w:line="400" w:lineRule="atLeast"/>
      </w:pPr>
      <w:r>
        <w:fldChar w:fldCharType="begin"/>
      </w:r>
      <w:r>
        <w:instrText xml:space="preserve"> HYPERLINK "https://onlinepubs.trb.org/onlinepubs/nchrp/nchrp_w253v4.pptx" \h </w:instrText>
      </w:r>
      <w:r>
        <w:fldChar w:fldCharType="separate"/>
      </w:r>
      <w:r>
        <w:rPr>
          <w:rStyle w:val="13"/>
          <w:color w:val="0563C1"/>
        </w:rPr>
        <w:t>[84,89,186]. Roadmap for C/ADS-equipped vehicles</w:t>
      </w:r>
      <w:r>
        <w:rPr>
          <w:rStyle w:val="13"/>
          <w:color w:val="0563C1"/>
        </w:rPr>
        <w:fldChar w:fldCharType="end"/>
      </w:r>
    </w:p>
    <w:p w14:paraId="3F691C0A">
      <w:pPr>
        <w:spacing w:after="200" w:line="400" w:lineRule="atLeast"/>
      </w:pPr>
      <w:r>
        <w:fldChar w:fldCharType="begin"/>
      </w:r>
      <w:r>
        <w:instrText xml:space="preserve"> HYPERLINK "https://ptabdata.blob.core.windows.net/files/2017/IPR2017-01271/v20_EX1022_-_External_Vehicle_Speed_Control.PDF" \h </w:instrText>
      </w:r>
      <w:r>
        <w:fldChar w:fldCharType="separate"/>
      </w:r>
      <w:r>
        <w:rPr>
          <w:rStyle w:val="13"/>
          <w:color w:val="0563C1"/>
        </w:rPr>
        <w:t>[87,113,116]. External Vehicle Speed Control Phase I Results Executive Summary</w:t>
      </w:r>
      <w:r>
        <w:rPr>
          <w:rStyle w:val="13"/>
          <w:color w:val="0563C1"/>
        </w:rPr>
        <w:fldChar w:fldCharType="end"/>
      </w:r>
    </w:p>
    <w:p w14:paraId="1407DF78">
      <w:pPr>
        <w:spacing w:after="200" w:line="400" w:lineRule="atLeast"/>
      </w:pPr>
      <w:r>
        <w:fldChar w:fldCharType="begin"/>
      </w:r>
      <w:r>
        <w:instrText xml:space="preserve"> HYPERLINK "https://deldot.gov/Programs/autonomous-vehicles/pdfs/EO-14-Final-Report.pdf" \h </w:instrText>
      </w:r>
      <w:r>
        <w:fldChar w:fldCharType="separate"/>
      </w:r>
      <w:r>
        <w:rPr>
          <w:rStyle w:val="13"/>
          <w:color w:val="0563C1"/>
        </w:rPr>
        <w:t>[92]. Final Report of the Advisory Council on Connected and Autonomous Vehicles</w:t>
      </w:r>
      <w:r>
        <w:rPr>
          <w:rStyle w:val="13"/>
          <w:color w:val="0563C1"/>
        </w:rPr>
        <w:fldChar w:fldCharType="end"/>
      </w:r>
    </w:p>
    <w:p w14:paraId="5BFF28C4">
      <w:pPr>
        <w:spacing w:after="200" w:line="400" w:lineRule="atLeast"/>
      </w:pPr>
      <w:r>
        <w:fldChar w:fldCharType="begin"/>
      </w:r>
      <w:r>
        <w:instrText xml:space="preserve"> HYPERLINK "https://www.akingump.com/print/v2/content/16614/department-of-transportation-releases-new-voluntary-guidance-for.pdf" \h </w:instrText>
      </w:r>
      <w:r>
        <w:fldChar w:fldCharType="separate"/>
      </w:r>
      <w:r>
        <w:rPr>
          <w:rStyle w:val="13"/>
          <w:color w:val="0563C1"/>
        </w:rPr>
        <w:t>[93]. Department of Transportation Releases New Voluntary Guidance for Autonomous Vehicles</w:t>
      </w:r>
      <w:r>
        <w:rPr>
          <w:rStyle w:val="13"/>
          <w:color w:val="0563C1"/>
        </w:rPr>
        <w:fldChar w:fldCharType="end"/>
      </w:r>
    </w:p>
    <w:p w14:paraId="34334080">
      <w:pPr>
        <w:spacing w:after="200" w:line="400" w:lineRule="atLeast"/>
      </w:pPr>
      <w:r>
        <w:fldChar w:fldCharType="begin"/>
      </w:r>
      <w:r>
        <w:instrText xml:space="preserve"> HYPERLINK "https://chejiahao.autohome.com.cn/info/1529905" \h </w:instrText>
      </w:r>
      <w:r>
        <w:fldChar w:fldCharType="separate"/>
      </w:r>
      <w:r>
        <w:rPr>
          <w:rStyle w:val="13"/>
          <w:color w:val="0563C1"/>
        </w:rPr>
        <w:t>[94]. 2016自动驾驶汽车开发及测试技术研讨会</w:t>
      </w:r>
      <w:r>
        <w:rPr>
          <w:rStyle w:val="13"/>
          <w:color w:val="0563C1"/>
        </w:rPr>
        <w:fldChar w:fldCharType="end"/>
      </w:r>
    </w:p>
    <w:p w14:paraId="1A71BE05">
      <w:pPr>
        <w:spacing w:after="200" w:line="400" w:lineRule="atLeast"/>
      </w:pPr>
      <w:r>
        <w:fldChar w:fldCharType="begin"/>
      </w:r>
      <w:r>
        <w:instrText xml:space="preserve"> HYPERLINK "http://www.xinhuanet.com/tech/20210702/C96E91D5EFD0000176EF9B00E76FB980/c.html" \h </w:instrText>
      </w:r>
      <w:r>
        <w:fldChar w:fldCharType="separate"/>
      </w:r>
      <w:r>
        <w:rPr>
          <w:rStyle w:val="13"/>
          <w:color w:val="0563C1"/>
        </w:rPr>
        <w:t>[96]. 国外自动驾驶保险模式及我国发展建议</w:t>
      </w:r>
      <w:r>
        <w:rPr>
          <w:rStyle w:val="13"/>
          <w:color w:val="0563C1"/>
        </w:rPr>
        <w:fldChar w:fldCharType="end"/>
      </w:r>
    </w:p>
    <w:p w14:paraId="3AEB29C6">
      <w:pPr>
        <w:spacing w:after="200" w:line="400" w:lineRule="atLeast"/>
      </w:pPr>
      <w:r>
        <w:fldChar w:fldCharType="begin"/>
      </w:r>
      <w:r>
        <w:instrText xml:space="preserve"> HYPERLINK "https://finance.sina.cn/2021-04-15/detail-ikmyaawa9786335.d.html" \h </w:instrText>
      </w:r>
      <w:r>
        <w:fldChar w:fldCharType="separate"/>
      </w:r>
      <w:r>
        <w:rPr>
          <w:rStyle w:val="13"/>
          <w:color w:val="0563C1"/>
        </w:rPr>
        <w:t>[97]. 赛迪智库｜国外自动驾驶保险模式对中国的启示</w:t>
      </w:r>
      <w:r>
        <w:rPr>
          <w:rStyle w:val="13"/>
          <w:color w:val="0563C1"/>
        </w:rPr>
        <w:fldChar w:fldCharType="end"/>
      </w:r>
    </w:p>
    <w:p w14:paraId="40FFF8DA">
      <w:pPr>
        <w:spacing w:after="200" w:line="400" w:lineRule="atLeast"/>
      </w:pPr>
      <w:r>
        <w:fldChar w:fldCharType="begin"/>
      </w:r>
      <w:r>
        <w:instrText xml:space="preserve"> HYPERLINK "https://www.aamva.org/getmedia/c95fd480-5917-471a-b7ee-da88ec6cb7b5/Guidelines-for-Regulating-Vehicles-with-Automated-Driving-Systems-Ed-4_final.pdf" \h </w:instrText>
      </w:r>
      <w:r>
        <w:fldChar w:fldCharType="separate"/>
      </w:r>
      <w:r>
        <w:rPr>
          <w:rStyle w:val="13"/>
          <w:color w:val="0563C1"/>
        </w:rPr>
        <w:t>[98,106]. Guidelines for Regulating Vehicles with Automated Driving Systems Edition 4</w:t>
      </w:r>
      <w:r>
        <w:rPr>
          <w:rStyle w:val="13"/>
          <w:color w:val="0563C1"/>
        </w:rPr>
        <w:fldChar w:fldCharType="end"/>
      </w:r>
    </w:p>
    <w:p w14:paraId="6ADDB6B5">
      <w:pPr>
        <w:spacing w:after="200" w:line="400" w:lineRule="atLeast"/>
      </w:pPr>
      <w:r>
        <w:fldChar w:fldCharType="begin"/>
      </w:r>
      <w:r>
        <w:instrText xml:space="preserve"> HYPERLINK "https://robots.law.miami.edu/2021/wp-content/uploads/2021/08/Millar_et_al_Driving-into-the-LoopAug-23.pdf" \h </w:instrText>
      </w:r>
      <w:r>
        <w:fldChar w:fldCharType="separate"/>
      </w:r>
      <w:r>
        <w:rPr>
          <w:rStyle w:val="13"/>
          <w:color w:val="0563C1"/>
        </w:rPr>
        <w:t>[103,114]. Driving into the Loop: Mapping Automation Bias &amp; Liability Issues for Advanced Driver Assistance Systems</w:t>
      </w:r>
      <w:r>
        <w:rPr>
          <w:rStyle w:val="13"/>
          <w:color w:val="0563C1"/>
        </w:rPr>
        <w:fldChar w:fldCharType="end"/>
      </w:r>
    </w:p>
    <w:p w14:paraId="741F69FE">
      <w:pPr>
        <w:spacing w:after="200" w:line="400" w:lineRule="atLeast"/>
      </w:pPr>
      <w:r>
        <w:fldChar w:fldCharType="begin"/>
      </w:r>
      <w:r>
        <w:instrText xml:space="preserve"> HYPERLINK "https://ir.lucidmotors.com/static-files/a64beaeb-8056-40e5-af1f-a7852d581cb1" \h </w:instrText>
      </w:r>
      <w:r>
        <w:fldChar w:fldCharType="separate"/>
      </w:r>
      <w:r>
        <w:rPr>
          <w:rStyle w:val="13"/>
          <w:color w:val="0563C1"/>
        </w:rPr>
        <w:t>[108,111]. QUARTERLY REPORT PURSUANT TO SECTION 13 OR 15(d) OF THE SECURITIES EXCHANGE ACT OF 1934</w:t>
      </w:r>
      <w:r>
        <w:rPr>
          <w:rStyle w:val="13"/>
          <w:color w:val="0563C1"/>
        </w:rPr>
        <w:fldChar w:fldCharType="end"/>
      </w:r>
    </w:p>
    <w:p w14:paraId="0CEAAD8C">
      <w:pPr>
        <w:spacing w:after="400" w:line="400" w:lineRule="atLeast"/>
      </w:pPr>
      <w:r>
        <w:rPr>
          <w:i/>
        </w:rPr>
        <w:t>以下来源未被直接引用</w:t>
      </w:r>
    </w:p>
    <w:p w14:paraId="13E3BF99">
      <w:pPr>
        <w:spacing w:after="200" w:line="400" w:lineRule="atLeast"/>
      </w:pPr>
      <w:r>
        <w:fldChar w:fldCharType="begin"/>
      </w:r>
      <w:r>
        <w:instrText xml:space="preserve"> HYPERLINK "https://wecanfigurethisout.org/ENERGY/Web_notes/Energy_Consumption/Greener_Cars_and_Trucks_Supporting_Files/Advanced%20driver-assistance%20systems%20-%20Wikipedia.pdf" \h </w:instrText>
      </w:r>
      <w:r>
        <w:fldChar w:fldCharType="separate"/>
      </w:r>
      <w:r>
        <w:rPr>
          <w:rStyle w:val="13"/>
          <w:color w:val="0563C1"/>
        </w:rPr>
        <w:t>Advanced driver-assistance systems - Wikipedia</w:t>
      </w:r>
      <w:r>
        <w:rPr>
          <w:rStyle w:val="13"/>
          <w:color w:val="0563C1"/>
        </w:rPr>
        <w:fldChar w:fldCharType="end"/>
      </w:r>
    </w:p>
    <w:p w14:paraId="03CEAAD7">
      <w:pPr>
        <w:spacing w:after="200" w:line="400" w:lineRule="atLeast"/>
      </w:pPr>
      <w:r>
        <w:fldChar w:fldCharType="begin"/>
      </w:r>
      <w:r>
        <w:instrText xml:space="preserve"> HYPERLINK "https://eur-lex.europa.eu/LexUriServ/LexUriServ.do?uri=OJ:L:2008:216:0001:0042:EN:PDF" \h </w:instrText>
      </w:r>
      <w:r>
        <w:fldChar w:fldCharType="separate"/>
      </w:r>
      <w:r>
        <w:rPr>
          <w:rStyle w:val="13"/>
          <w:color w:val="0563C1"/>
        </w:rPr>
        <w:t>COMMISSION RECOMMENDATION of 26 May 2008 on safe and efficient in-vehicle information and communication systems: update of the European Statement of Principles on human-machine interface</w:t>
      </w:r>
      <w:r>
        <w:rPr>
          <w:rStyle w:val="13"/>
          <w:color w:val="0563C1"/>
        </w:rPr>
        <w:fldChar w:fldCharType="end"/>
      </w:r>
    </w:p>
    <w:p w14:paraId="6B154DE4">
      <w:pPr>
        <w:spacing w:after="200" w:line="400" w:lineRule="atLeast"/>
      </w:pPr>
      <w:r>
        <w:fldChar w:fldCharType="begin"/>
      </w:r>
      <w:r>
        <w:instrText xml:space="preserve"> HYPERLINK "https://www.dongchedi.com/article/7484585997737427492" \h </w:instrText>
      </w:r>
      <w:r>
        <w:fldChar w:fldCharType="separate"/>
      </w:r>
      <w:r>
        <w:rPr>
          <w:rStyle w:val="13"/>
          <w:color w:val="0563C1"/>
        </w:rPr>
        <w:t>高级驾驶辅助系统（Advanced Driver Assistance Systems，ADAS）</w:t>
      </w:r>
      <w:r>
        <w:rPr>
          <w:rStyle w:val="13"/>
          <w:color w:val="0563C1"/>
        </w:rPr>
        <w:fldChar w:fldCharType="end"/>
      </w:r>
    </w:p>
    <w:p w14:paraId="10FCA0BA">
      <w:pPr>
        <w:spacing w:after="200" w:line="400" w:lineRule="atLeast"/>
      </w:pPr>
      <w:r>
        <w:fldChar w:fldCharType="begin"/>
      </w:r>
      <w:r>
        <w:instrText xml:space="preserve"> HYPERLINK "https://trabajosaludable.mutuauniversal.net/pdflink/es/5b8dffa2-cd5e-11e4-83f9-0022191a59db/Sistemas-avanzados-de-ayuda-a-la-conduccion-ADAS.pdf" \h </w:instrText>
      </w:r>
      <w:r>
        <w:fldChar w:fldCharType="separate"/>
      </w:r>
      <w:r>
        <w:rPr>
          <w:rStyle w:val="13"/>
          <w:color w:val="0563C1"/>
        </w:rPr>
        <w:t>Sistemas avanzados de ayuda a la conducción (ADAS)</w:t>
      </w:r>
      <w:r>
        <w:rPr>
          <w:rStyle w:val="13"/>
          <w:color w:val="0563C1"/>
        </w:rPr>
        <w:fldChar w:fldCharType="end"/>
      </w:r>
    </w:p>
    <w:p w14:paraId="59796F09">
      <w:pPr>
        <w:spacing w:after="200" w:line="400" w:lineRule="atLeast"/>
      </w:pPr>
      <w:r>
        <w:fldChar w:fldCharType="begin"/>
      </w:r>
      <w:r>
        <w:instrText xml:space="preserve"> HYPERLINK "https://essremodel.com/whats-adas-and-how-does-it-affect-the-dent-repair-process/" \h </w:instrText>
      </w:r>
      <w:r>
        <w:fldChar w:fldCharType="separate"/>
      </w:r>
      <w:r>
        <w:rPr>
          <w:rStyle w:val="13"/>
          <w:color w:val="0563C1"/>
        </w:rPr>
        <w:t>Understanding ADAS: Advanced Driver Assistance Systems Explained</w:t>
      </w:r>
      <w:r>
        <w:rPr>
          <w:rStyle w:val="13"/>
          <w:color w:val="0563C1"/>
        </w:rPr>
        <w:fldChar w:fldCharType="end"/>
      </w:r>
    </w:p>
    <w:p w14:paraId="02015987">
      <w:pPr>
        <w:spacing w:after="200" w:line="400" w:lineRule="atLeast"/>
      </w:pPr>
      <w:r>
        <w:fldChar w:fldCharType="begin"/>
      </w:r>
      <w:r>
        <w:instrText xml:space="preserve"> HYPERLINK "https://www.chinesestandard.net/PDF-EN/GBT39263-2020EN-P06P-H5002H-155732.pdf" \h </w:instrText>
      </w:r>
      <w:r>
        <w:fldChar w:fldCharType="separate"/>
      </w:r>
      <w:r>
        <w:rPr>
          <w:rStyle w:val="13"/>
          <w:color w:val="0563C1"/>
        </w:rPr>
        <w:t>GB/T 39263-2020 Road Vehicles - Advanced Driver Assistance Systems - Terms and Definitions</w:t>
      </w:r>
      <w:r>
        <w:rPr>
          <w:rStyle w:val="13"/>
          <w:color w:val="0563C1"/>
        </w:rPr>
        <w:fldChar w:fldCharType="end"/>
      </w:r>
    </w:p>
    <w:p w14:paraId="66B3F670">
      <w:pPr>
        <w:spacing w:after="200" w:line="400" w:lineRule="atLeast"/>
      </w:pPr>
      <w:r>
        <w:fldChar w:fldCharType="begin"/>
      </w:r>
      <w:r>
        <w:instrText xml:space="preserve"> HYPERLINK "https://www.asmltd.com/wp-content/uploads/2019/09/ASM-japanese-brochure-26092019-1.pdf" \h </w:instrText>
      </w:r>
      <w:r>
        <w:fldChar w:fldCharType="separate"/>
      </w:r>
      <w:r>
        <w:rPr>
          <w:rStyle w:val="13"/>
          <w:color w:val="0563C1"/>
        </w:rPr>
        <w:t>ASM TECHNOLOGIES</w:t>
      </w:r>
      <w:r>
        <w:rPr>
          <w:rStyle w:val="13"/>
          <w:color w:val="0563C1"/>
        </w:rPr>
        <w:fldChar w:fldCharType="end"/>
      </w:r>
    </w:p>
    <w:p w14:paraId="31E7FE8B">
      <w:pPr>
        <w:spacing w:after="200" w:line="400" w:lineRule="atLeast"/>
      </w:pPr>
      <w:r>
        <w:fldChar w:fldCharType="begin"/>
      </w:r>
      <w:r>
        <w:instrText xml:space="preserve"> HYPERLINK "https://feedsee.com/aiw/Advanced_driver-assistance_system/" \h </w:instrText>
      </w:r>
      <w:r>
        <w:fldChar w:fldCharType="separate"/>
      </w:r>
      <w:r>
        <w:rPr>
          <w:rStyle w:val="13"/>
          <w:color w:val="0563C1"/>
        </w:rPr>
        <w:t>Advanced driver-assistance system</w:t>
      </w:r>
      <w:r>
        <w:rPr>
          <w:rStyle w:val="13"/>
          <w:color w:val="0563C1"/>
        </w:rPr>
        <w:fldChar w:fldCharType="end"/>
      </w:r>
    </w:p>
    <w:p w14:paraId="672F21AE">
      <w:pPr>
        <w:spacing w:after="200" w:line="400" w:lineRule="atLeast"/>
      </w:pPr>
      <w:r>
        <w:fldChar w:fldCharType="begin"/>
      </w:r>
      <w:r>
        <w:instrText xml:space="preserve"> HYPERLINK "https://ijrpr.com/uploads/V5ISSUE3/IJRPR23463.pdf" \h </w:instrText>
      </w:r>
      <w:r>
        <w:fldChar w:fldCharType="separate"/>
      </w:r>
      <w:r>
        <w:rPr>
          <w:rStyle w:val="13"/>
          <w:color w:val="0563C1"/>
        </w:rPr>
        <w:t>Advanced Driver Assistance System Using Machine Learning</w:t>
      </w:r>
      <w:r>
        <w:rPr>
          <w:rStyle w:val="13"/>
          <w:color w:val="0563C1"/>
        </w:rPr>
        <w:fldChar w:fldCharType="end"/>
      </w:r>
    </w:p>
    <w:p w14:paraId="2F9BDE5C">
      <w:pPr>
        <w:spacing w:after="200" w:line="400" w:lineRule="atLeast"/>
      </w:pPr>
      <w:r>
        <w:fldChar w:fldCharType="begin"/>
      </w:r>
      <w:r>
        <w:instrText xml:space="preserve"> HYPERLINK "https://universitypress.unisob.na.it/ojs/index.php/ejplt/article/download/1565/1077" \h </w:instrText>
      </w:r>
      <w:r>
        <w:fldChar w:fldCharType="separate"/>
      </w:r>
      <w:r>
        <w:rPr>
          <w:rStyle w:val="13"/>
          <w:color w:val="0563C1"/>
        </w:rPr>
        <w:t>The regulation of certain aspects of autonomous driving in the Italian legal system</w:t>
      </w:r>
      <w:r>
        <w:rPr>
          <w:rStyle w:val="13"/>
          <w:color w:val="0563C1"/>
        </w:rPr>
        <w:fldChar w:fldCharType="end"/>
      </w:r>
    </w:p>
    <w:p w14:paraId="49A52A5E">
      <w:pPr>
        <w:spacing w:after="200" w:line="400" w:lineRule="atLeast"/>
      </w:pPr>
      <w:r>
        <w:fldChar w:fldCharType="begin"/>
      </w:r>
      <w:r>
        <w:instrText xml:space="preserve"> HYPERLINK "https://www.cpmlegal.com/media/news/15117_Tesla_Autopilot_Complaint.pdf" \h </w:instrText>
      </w:r>
      <w:r>
        <w:fldChar w:fldCharType="separate"/>
      </w:r>
      <w:r>
        <w:rPr>
          <w:rStyle w:val="13"/>
          <w:color w:val="0563C1"/>
        </w:rPr>
        <w:t>CLASS ACTION COMPLAINT</w:t>
      </w:r>
      <w:r>
        <w:rPr>
          <w:rStyle w:val="13"/>
          <w:color w:val="0563C1"/>
        </w:rPr>
        <w:fldChar w:fldCharType="end"/>
      </w:r>
    </w:p>
    <w:p w14:paraId="6EF3FD75">
      <w:pPr>
        <w:spacing w:after="200" w:line="400" w:lineRule="atLeast"/>
      </w:pPr>
      <w:r>
        <w:fldChar w:fldCharType="begin"/>
      </w:r>
      <w:r>
        <w:instrText xml:space="preserve"> HYPERLINK "https://rosap.ntl.bts.gov/view/dot/82811/dot_82811_DS1.pdf" \h </w:instrText>
      </w:r>
      <w:r>
        <w:fldChar w:fldCharType="separate"/>
      </w:r>
      <w:r>
        <w:rPr>
          <w:rStyle w:val="13"/>
          <w:color w:val="0563C1"/>
        </w:rPr>
        <w:t>An Investigation of the Factors Surrounding Crashes and Near-Crashes of ADAS-Equipped Vehicles</w:t>
      </w:r>
      <w:r>
        <w:rPr>
          <w:rStyle w:val="13"/>
          <w:color w:val="0563C1"/>
        </w:rPr>
        <w:fldChar w:fldCharType="end"/>
      </w:r>
    </w:p>
    <w:p w14:paraId="51842C91">
      <w:pPr>
        <w:spacing w:after="200" w:line="400" w:lineRule="atLeast"/>
      </w:pPr>
      <w:r>
        <w:fldChar w:fldCharType="begin"/>
      </w:r>
      <w:r>
        <w:instrText xml:space="preserve"> HYPERLINK "https://files.metaso.cn/api/public-file/preview?fileName=8687761029347983360.pdf" \h </w:instrText>
      </w:r>
      <w:r>
        <w:fldChar w:fldCharType="separate"/>
      </w:r>
      <w:r>
        <w:rPr>
          <w:rStyle w:val="13"/>
          <w:color w:val="0563C1"/>
        </w:rPr>
        <w:t>情感化设计</w:t>
      </w:r>
      <w:r>
        <w:rPr>
          <w:rStyle w:val="13"/>
          <w:color w:val="0563C1"/>
        </w:rPr>
        <w:fldChar w:fldCharType="end"/>
      </w:r>
    </w:p>
    <w:p w14:paraId="023502ED">
      <w:pPr>
        <w:spacing w:after="200" w:line="400" w:lineRule="atLeast"/>
      </w:pPr>
      <w:r>
        <w:fldChar w:fldCharType="begin"/>
      </w:r>
      <w:r>
        <w:instrText xml:space="preserve"> HYPERLINK "https://repository.tudelft.nl/file/File_919b48c1-6abd-4314-9ce3-b629b475d3d4" \h </w:instrText>
      </w:r>
      <w:r>
        <w:fldChar w:fldCharType="separate"/>
      </w:r>
      <w:r>
        <w:rPr>
          <w:rStyle w:val="13"/>
          <w:color w:val="0563C1"/>
        </w:rPr>
        <w:t>Realising Meaningful Human Control Over Automated Driving Systems: A Multidisciplinary Approach</w:t>
      </w:r>
      <w:r>
        <w:rPr>
          <w:rStyle w:val="13"/>
          <w:color w:val="0563C1"/>
        </w:rPr>
        <w:fldChar w:fldCharType="end"/>
      </w:r>
    </w:p>
    <w:p w14:paraId="032A157E">
      <w:pPr>
        <w:spacing w:after="200" w:line="400" w:lineRule="atLeast"/>
      </w:pPr>
      <w:r>
        <w:fldChar w:fldCharType="begin"/>
      </w:r>
      <w:r>
        <w:instrText xml:space="preserve"> HYPERLINK "https://www.dongchedi.com/article/7490543973635818011" \h </w:instrText>
      </w:r>
      <w:r>
        <w:fldChar w:fldCharType="separate"/>
      </w:r>
      <w:r>
        <w:rPr>
          <w:rStyle w:val="13"/>
          <w:color w:val="0563C1"/>
        </w:rPr>
        <w:t>智能驾驶的安全边界：从事故中反思技术与责任</w:t>
      </w:r>
      <w:r>
        <w:rPr>
          <w:rStyle w:val="13"/>
          <w:color w:val="0563C1"/>
        </w:rPr>
        <w:fldChar w:fldCharType="end"/>
      </w:r>
    </w:p>
    <w:p w14:paraId="38BB8553">
      <w:pPr>
        <w:spacing w:after="200" w:line="400" w:lineRule="atLeast"/>
      </w:pPr>
      <w:r>
        <w:fldChar w:fldCharType="begin"/>
      </w:r>
      <w:r>
        <w:instrText xml:space="preserve"> HYPERLINK "https://onlinepubs.trb.org/onlinepubs/circulars/ec232.pdf" \h </w:instrText>
      </w:r>
      <w:r>
        <w:fldChar w:fldCharType="separate"/>
      </w:r>
      <w:r>
        <w:rPr>
          <w:rStyle w:val="13"/>
          <w:color w:val="0563C1"/>
        </w:rPr>
        <w:t>Automated Vehicles Symposium 2017 Summary of a Symposium</w:t>
      </w:r>
      <w:r>
        <w:rPr>
          <w:rStyle w:val="13"/>
          <w:color w:val="0563C1"/>
        </w:rPr>
        <w:fldChar w:fldCharType="end"/>
      </w:r>
    </w:p>
    <w:p w14:paraId="679D70BB">
      <w:pPr>
        <w:spacing w:after="200" w:line="400" w:lineRule="atLeast"/>
      </w:pPr>
      <w:r>
        <w:fldChar w:fldCharType="begin"/>
      </w:r>
      <w:r>
        <w:instrText xml:space="preserve"> HYPERLINK "https://www.sohu.com/a/128849895_297710" \h </w:instrText>
      </w:r>
      <w:r>
        <w:fldChar w:fldCharType="separate"/>
      </w:r>
      <w:r>
        <w:rPr>
          <w:rStyle w:val="13"/>
          <w:color w:val="0563C1"/>
        </w:rPr>
        <w:t>汽车安全法规助力ADAS快速发展</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6802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5043B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2656</Words>
  <Characters>15561</Characters>
  <TotalTime>0</TotalTime>
  <ScaleCrop>false</ScaleCrop>
  <LinksUpToDate>false</LinksUpToDate>
  <CharactersWithSpaces>18174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2026-01-04T18:35:17Z</dcterms:created>
  <dc:creator>86188</dc:creator>
  <cp:lastModifiedBy>dyx</cp:lastModifiedBy>
  <dcterms:modified xsi:type="dcterms:W3CDTF">2026-01-04T18:35:29Z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a6b53423-18ff-4df2-8f0e-cf59b3bdf221","Lable":"1","ReservedCode1":"e27395c4dd62edf64979a63140467d75","ReservedCode2":"e27395c4dd62edf64979a63140467d75","PropagateID":"Metasota_docx_694914cd86ee47b771420197_1_a6b53423-18ff-4df2-8f0e-cf59b3bdf221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54B26D78AB0740428890E987D1FC5C1C_12</vt:lpwstr>
  </property>
</Properties>
</file>