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Accountability: Liability Allocation in Advanced Driver-Assistance Systems and Shared Human-Machine Driving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purely human-operated vehicles to shared driving contexts, defined by Advanced Driver-Assistance Systems (ADAS), represents a fundamental shift in the legal and technical landscape of automotive safety. As of early 2026, the global automotive sector is navigating a complex "human-machine responsibility entanglement" wherein the dynamic driving task (DDT) is no longer exclusively the province of a human operator.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evolution necessitates a rigorous re-examination of how liability is apportioned when accidents occur, balancing the traditional fault-based negligence of drivers against the emerging strict liability of manufacturers and software developers.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complexity is compounded by the fact that ADAS technologies do not replace the driver but rather augment human capacity, creating a symbiotic relationship where the boundaries of control—and thus the boundaries of responsibility—are often opaque to both users and the judiciary.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Foundations and Sensor Constraints in Shared Driving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comprehensive understanding of liability allocation begins with the technical architecture of ADAS. These systems operate through a sophisticated cycle of information acquisition, analysis, decision-making, and action implementation.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efficacy of this cycle is entirely dependent on the physical sensors, the software fusion algorithms, and the defined Operational Design Domain (ODD), which collectively define the system's "vision" and "judgment".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Sensor Modalities and Perception Failures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ADAS suites rely on a fusion of cameras, RADAR, LiDAR, and ultrasonic sensors to perceive the environment. Each modality possesses inherent physical limitations that directly influence the legal assessment of "system failure" versus "driver over-reliance".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Sensor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Limitations and Failure Modes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 Implication for Liability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Cameras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 spectrum processing via high-res lenses.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Blinded by sun glare, heavy rain, or lens obstruction (road grime/ice).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Manufacturers may face "failure to warn" claims if limitations in low-light/glare are not disclosed.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Radio wave reflection for distance and velocity.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Filters out stationary objects at high speeds to avoid false positives; struggles with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Contributes to "stationary object crashes" where AEB fails to engage despite the hazard being present.</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Light pulses creating 3D "point clouds."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Performance is significantly degraded by atmospheric particulates like heavy fog, smoke, or thick snow.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Defects in laser-based mapping can lead to "design defect" claims in adverse weather.</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Ultrasonic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Short-range sound wave proximity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Limited range (typically &lt;10m); sensitive to acoustic noise and wind.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Primarily relevant for low-speed parking accidents and pedestrian detection failures.</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Technical failures often stem from sensor fusion errors where conflicting data leads the system to discard a legitimate obstacle. For instance, in the 2018 Uber ATG fatality, the system detected a pedestrian six seconds before impact but cycled through various erroneous classifications—at one point assuming the pedestrian was a stationary object and then a vehicle—before the software's "preemptive priority scheduling" failed to initiate an emergency maneuver.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highlights that liability is not merely a matter of hardware functioning, but of the software's ability to prioritize and interpret critical safety data correctly.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Design Domain (ODD) as a Legal Boundary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ODD serves as the technical and legal "contract" under which an ADAS feature is authorized to function. It encompasses specific road types (e.g., restricted-access highways), weather conditions, and speed ranges.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 a vehicle operates outside its ODD—such as an "Autopilot" system engaged on a road with no lane markings or a "Traffic Jam Pilot" activated in a construction zone—the legal responsibility for any subsequent accident typically reverts to the driver for "misuse" or "over-reliance".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nuance of the ODD is increasingly relevant in litigation. Courts must determine if the system should have prevented its own engagement when conditions were outside the ODD or if the manufacturer provided sufficient HMI alerts to signal that the ODD had been exceeded.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For example, the NTSB's investigation into the Mountain View Tesla crash found that the system's inability to correctly navigate a highway "gore area" was a limitation of its ODD, yet the system permitted engagement, which "facilitated the driver's complacency".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Human-Machine Interface (HMI) and the "Transition of Control"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HMI is the conduit through which responsibility is handed back and forth between human and machine. In Level 3 systems, such as Automated Lane Keeping Systems (ALKS), the "Transition Demand" is the most legally fraught moment in the driving task.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UNECE Regulation No. 157 establishes a 10-second transition window during which the vehicle must remain in control while the driver re-engages.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breakdown in the HMI—whether through subtle alerts that fail to gain a distracted driver's attention or through "mode confusion" where the driver believes the car is in control when it is not—is a primary driver of ADAS-related litigation.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has led to the emergence of Driver Monitoring Systems (DMS) as a mandatory component of the safety architecture. DMS use infrared cameras to track eye gaze and head position, ensuring the human remains "available" to take over.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If a manufacturer implements a DMS that is easily bypassed (e.g., by hanging a weight on the steering wheel or wearing sunglasses that hide eye closure), they may be held liable for an "ineffective monitoring of driver engagement".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Realities and Claim Trends in the ADAS Era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allocation of liability is not occurring in a vacuum; it is shaped by significant shifts in the insurance and claims landscape. As ADAS-equipped vehicles become more prevalent, the frequency and severity of claims are evolving in ways that directly impact policy and litigation strategy.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Claim Metric (Q1 2024 vs Q1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Statistical Trend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Liability Allocation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Bodily Injury (BI) Claim Severity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 increase since Q4 2023; 36% increase since Q4 2020.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Higher damage awards increase the incentive for drivers' insurers to seek indemnity from manufacturers.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Loss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22.6% of all losses (up 0.9 points year-over-year).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Complex ADAS sensors make repairs so costly that minor accidents result in total losses, shifting focus to "economic waste" in design.</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Medical Bill Inflation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8.9% increase in bill line severity since Q1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Rising medical costs heighten the "stakes" of establishing manufacturer defect vs. driver negligence.</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 Written Premium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14.4% in 2023; 12.8% in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premium growth reflects insurers' attempts to price in the unknown risks of shared driving liability.</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trends suggest that while ADAS may eventually reduce claim frequency, the accidents that </w:t>
      </w:r>
      <w:r w:rsidDel="00000000" w:rsidR="00000000" w:rsidRPr="00000000">
        <w:rPr>
          <w:rFonts w:ascii="Google Sans" w:cs="Google Sans" w:eastAsia="Google Sans" w:hAnsi="Google Sans"/>
          <w:i w:val="1"/>
          <w:iCs w:val="1"/>
          <w:color w:val="1f1f1f"/>
          <w:rtl w:val="0"/>
        </w:rPr>
        <w:t xml:space="preserve">do</w:t>
      </w:r>
      <w:r w:rsidDel="00000000" w:rsidR="00000000" w:rsidRPr="00000000">
        <w:rPr>
          <w:rFonts w:ascii="Google Sans" w:cs="Google Sans" w:eastAsia="Google Sans" w:hAnsi="Google Sans"/>
          <w:color w:val="1f1f1f"/>
          <w:rtl w:val="0"/>
        </w:rPr>
        <w:t xml:space="preserve"> occur are becoming significantly more expensive to resolve. This "high-severity/low-frequency" paradigm places a premium on the ability of forensic investigators to use vehicle data to establish the precise cause of a crash.</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Frameworks: The Intersection of Tort and Product Liability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Liability for ADAS accidents is generally governed by two established legal doctrines: the law of negligence (for drivers) and the law of products liability (for manufacturers and developers). However, as of 2025, these doctrines are being stretched to accommodate the "agency" of software systems.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Negligence and the "Reasonable Augmented Driver"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Traditionally, negligence is assessed by comparing a defendant's conduct to that of a "reasonable person".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the ADAS context, a new standard of care is emerging: the "reasonable person using available safety technology." Evidence suggests that as ADAS features like AEB become standard, the failure to engage these systems, or the decision to drive a vehicle lacking them, could be seen as a breach of the duty of care.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of negligence in ADAS cases typically hinges on:</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Foreseeability</w:t>
      </w:r>
      <w:r w:rsidDel="00000000" w:rsidR="00000000" w:rsidRPr="00000000">
        <w:rPr>
          <w:rFonts w:ascii="Google Sans" w:cs="Google Sans" w:eastAsia="Google Sans" w:hAnsi="Google Sans"/>
          <w:color w:val="1f1f1f"/>
          <w:rtl w:val="0"/>
        </w:rPr>
        <w:t xml:space="preserve">: Did the driver know (or should they have known) that the system was struggling with current conditions (e.g., heavy rain or worn lane lines)?.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Contributory Negligence</w:t>
      </w:r>
      <w:r w:rsidDel="00000000" w:rsidR="00000000" w:rsidRPr="00000000">
        <w:rPr>
          <w:rFonts w:ascii="Google Sans" w:cs="Google Sans" w:eastAsia="Google Sans" w:hAnsi="Google Sans"/>
          <w:color w:val="1f1f1f"/>
          <w:rtl w:val="0"/>
        </w:rPr>
        <w:t xml:space="preserve">: In jurisdictions like Washington, D.C., even 1% fault can bar a victim's recovery. ADAS data (EDR reports) is being used to prove that a victim was "not even 1% at fault" by showing the vehicle was in a self-driving mode that failed to respond to a hazard.</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Supervision Duty</w:t>
      </w:r>
      <w:r w:rsidDel="00000000" w:rsidR="00000000" w:rsidRPr="00000000">
        <w:rPr>
          <w:rFonts w:ascii="Google Sans" w:cs="Google Sans" w:eastAsia="Google Sans" w:hAnsi="Google Sans"/>
          <w:color w:val="1f1f1f"/>
          <w:rtl w:val="0"/>
        </w:rPr>
        <w:t xml:space="preserve">: Courts in Spain and Germany have maintained that the presence of assistance systems does not exempt the driver from the continuous obligation to supervise the vehicle.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Ignoring alerts or deactivating safety systems is considered prima facie evidence of driver negligence.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Products Liability and the Digital Shift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 ADAS fails to perform its intended function, the manufacturer may be strictly liable for injuries under three primary theories: design defects, manufacturing defects, or warning defects.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shift in products liability is the explicit inclusion of software in the definition of a "product." The </w:t>
      </w:r>
      <w:r w:rsidDel="00000000" w:rsidR="00000000" w:rsidRPr="00000000">
        <w:rPr>
          <w:rFonts w:ascii="Google Sans" w:cs="Google Sans" w:eastAsia="Google Sans" w:hAnsi="Google Sans"/>
          <w:b w:val="1"/>
          <w:bCs w:val="1"/>
          <w:color w:val="1f1f1f"/>
          <w:rtl w:val="0"/>
        </w:rPr>
        <w:t xml:space="preserve">EU Product Liability Directive (EU) 2024/2853 (PLD)</w:t>
      </w:r>
      <w:r w:rsidDel="00000000" w:rsidR="00000000" w:rsidRPr="00000000">
        <w:rPr>
          <w:rFonts w:ascii="Google Sans" w:cs="Google Sans" w:eastAsia="Google Sans" w:hAnsi="Google Sans"/>
          <w:color w:val="1f1f1f"/>
          <w:rtl w:val="0"/>
        </w:rPr>
        <w:t xml:space="preserve"> is a landmark regulation that mandates strict liability for defects in firmware, AI algorithms, and even cloud-based updates.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of EU PLD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 of Liability Allocation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Software as a Product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Covers not just the physical car but also OTA updates and digital navigation services.</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Cybersecurity Vulnerabilities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Failure to provide a necessary security update is a defect trigger.</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Rebuttable Presumptions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If the tech is "scientifically complex," the court can presume a defect exists if the plaintiff faces "excessive difficulties" in proving it.</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Substantial Modification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Any party (e.g., a third-party shop) that modifies software after it is on the market can be deemed a "manufacturer" for liability purposes.</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framework prevents manufacturers from hiding behind the complexity of their AI. By shifting the burden of proof through "rebuttable presumptions," the EU has made it considerably easier for victims of ADAS failures to seek redress.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National Regulatory Regimes: The 2024-2026 Landscape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Several jurisdictions have moved beyond common law to enact specific statutes that allocate liability between the human "user-in-charge" and the corporate "self-driving entity."</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United Kingdom: The Automated Vehicles Act 2024</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UK’s AV Act 2024 provides the clearest roadmap for the future of shared driving liability. It introduces two revolutionary legal actors: the </w:t>
      </w:r>
      <w:r w:rsidDel="00000000" w:rsidR="00000000" w:rsidRPr="00000000">
        <w:rPr>
          <w:rFonts w:ascii="Google Sans" w:cs="Google Sans" w:eastAsia="Google Sans" w:hAnsi="Google Sans"/>
          <w:b w:val="1"/>
          <w:bCs w:val="1"/>
          <w:color w:val="1f1f1f"/>
          <w:rtl w:val="0"/>
        </w:rPr>
        <w:t xml:space="preserve">Authorised Self-Driving Entity (ASDE)</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User-in-Charge (UiC)</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ASDE (The "Corporate Driver")</w:t>
      </w:r>
      <w:r w:rsidDel="00000000" w:rsidR="00000000" w:rsidRPr="00000000">
        <w:rPr>
          <w:rFonts w:ascii="Google Sans" w:cs="Google Sans" w:eastAsia="Google Sans" w:hAnsi="Google Sans"/>
          <w:color w:val="1f1f1f"/>
          <w:rtl w:val="0"/>
        </w:rPr>
        <w:t xml:space="preserve">: Typically the car manufacturer or software developer. The ASDE is responsible for the vehicle's behavior whenever an "authorised self-driving feature" is engaged. If the vehicle commits a traffic infraction (e.g., running a red light) while in this mode, the ASDE is liable, and the human operator is granted criminal immunity for that specific act.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User-in-Charge (The "Supervisory User")</w:t>
      </w:r>
      <w:r w:rsidDel="00000000" w:rsidR="00000000" w:rsidRPr="00000000">
        <w:rPr>
          <w:rFonts w:ascii="Google Sans" w:cs="Google Sans" w:eastAsia="Google Sans" w:hAnsi="Google Sans"/>
          <w:color w:val="1f1f1f"/>
          <w:rtl w:val="0"/>
        </w:rPr>
        <w:t xml:space="preserve">: This individual is not a "driver" in the traditional sense while the system is engaged. They are immune from prosecution for the vehicle's movement but remain liable for non-driving offenses (e.g., vehicle maintenance, proper insurance, or failing to take control when a valid "transition demand" is issued).</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model effectively creates a "corporate liability" framework for the dynamic driving task, allowing the human to disengage from active control while holding the manufacturer accountable for the vehicle's safe navigation.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Germany: The StVG Amendments and "Technical Supervision"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Germany has enacted a separate framework for Level 3 and Level 4 automation, focusing on the role of the </w:t>
      </w:r>
      <w:r w:rsidDel="00000000" w:rsidR="00000000" w:rsidRPr="00000000">
        <w:rPr>
          <w:rFonts w:ascii="Google Sans" w:cs="Google Sans" w:eastAsia="Google Sans" w:hAnsi="Google Sans"/>
          <w:b w:val="1"/>
          <w:bCs w:val="1"/>
          <w:color w:val="1f1f1f"/>
          <w:rtl w:val="0"/>
        </w:rPr>
        <w:t xml:space="preserve">Technical Supervisor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Level 3 (Highly Automated)</w:t>
      </w:r>
      <w:r w:rsidDel="00000000" w:rsidR="00000000" w:rsidRPr="00000000">
        <w:rPr>
          <w:rFonts w:ascii="Google Sans" w:cs="Google Sans" w:eastAsia="Google Sans" w:hAnsi="Google Sans"/>
          <w:color w:val="1f1f1f"/>
          <w:rtl w:val="0"/>
        </w:rPr>
        <w:t xml:space="preserve">: The driver may turn away from the road but must remain "ready to intervene." Under Sections 1a and 1b of the Road Traffic Act (StVG), the driver's monitoring duty is explicitly modified: they do not need to monitor the system ongoingly but must resume control if "obvious circumstances" (e.g., a sensor failure warning) indicate it is necessary.</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Level 4 (Fully Automated/Driverless)</w:t>
      </w:r>
      <w:r w:rsidDel="00000000" w:rsidR="00000000" w:rsidRPr="00000000">
        <w:rPr>
          <w:rFonts w:ascii="Google Sans" w:cs="Google Sans" w:eastAsia="Google Sans" w:hAnsi="Google Sans"/>
          <w:color w:val="1f1f1f"/>
          <w:rtl w:val="0"/>
        </w:rPr>
        <w:t xml:space="preserve">: These vehicles operate in "approved operating areas" without a driver. However, they must be overseen by a "Technical Supervisor"—a natural person who monitors the vehicle remotely and can deactivate it or issue maneuvers in emergencies.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Teledriving (StVFernLV)</w:t>
      </w:r>
      <w:r w:rsidDel="00000000" w:rsidR="00000000" w:rsidRPr="00000000">
        <w:rPr>
          <w:rFonts w:ascii="Google Sans" w:cs="Google Sans" w:eastAsia="Google Sans" w:hAnsi="Google Sans"/>
          <w:color w:val="1f1f1f"/>
          <w:rtl w:val="0"/>
        </w:rPr>
        <w:t xml:space="preserve">: Enacted in December 2025, this regulation treats the remote operator as the "driver within the meaning of the StVG," despite their physical absence from the vehicle. This creates unique challenges, such as how a remote driver can fulfill the duty to "wait at the scene of an accident" or "secure a warning triangle".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Japan and the Asian Frameworks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Japan's approach relies heavily on the </w:t>
      </w:r>
      <w:r w:rsidDel="00000000" w:rsidR="00000000" w:rsidRPr="00000000">
        <w:rPr>
          <w:rFonts w:ascii="Google Sans" w:cs="Google Sans" w:eastAsia="Google Sans" w:hAnsi="Google Sans"/>
          <w:b w:val="1"/>
          <w:bCs w:val="1"/>
          <w:color w:val="1f1f1f"/>
          <w:rtl w:val="0"/>
        </w:rPr>
        <w:t xml:space="preserve">Act on Securing Compensation for Automobile Accidents (ASCAA)</w:t>
      </w:r>
      <w:r w:rsidDel="00000000" w:rsidR="00000000" w:rsidRPr="00000000">
        <w:rPr>
          <w:rFonts w:ascii="Google Sans" w:cs="Google Sans" w:eastAsia="Google Sans" w:hAnsi="Google Sans"/>
          <w:color w:val="1f1f1f"/>
          <w:rtl w:val="0"/>
        </w:rPr>
        <w:t xml:space="preserve">. For Level 3 systems, such as the Honda Legend's "Traffic Jam Pilot," Japan maintains a "semi-strict" liability for the vehicle owner. However, insurers like Tokio Marine &amp; Nichido Fire have implemented policies where accidents occurring during autonomous mode do not result in premium increases for the owner, effectively socializing the risk of system failure across the insurance pool.</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China, the proposed framework for 2025 emphasizes "proportional fault." Liability is assigned to the driver at Levels 0-2 and is "divided between the driver and manufacturer" at Level 3, depending on whether the driver intervened in time.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suggests a more granular, fact-intensive approach to liability than the blanket immunity model seen in the UK.</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Critical Investigations: Uber and Tesla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findings from the National Transportation Safety Board (NTSB) in the United States offer profound insights into the "probable cause" of shared driving accidents and the failures that lead to liability.</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2018 Uber ATG Fatality (Tempe, AZ)</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crash remains the seminal case in ADAS liability. The NTSB's investigation (HAR-20/01) identified a catastrophic failure in both software design and safety culture.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Software Inhibition</w:t>
      </w:r>
      <w:r w:rsidDel="00000000" w:rsidR="00000000" w:rsidRPr="00000000">
        <w:rPr>
          <w:rFonts w:ascii="Google Sans" w:cs="Google Sans" w:eastAsia="Google Sans" w:hAnsi="Google Sans"/>
          <w:color w:val="1f1f1f"/>
          <w:rtl w:val="0"/>
        </w:rPr>
        <w:t xml:space="preserve">: Uber's software detected the pedestrian but was programmed to "preclude braking in emergency situations" when a crash was unavoidable to prevent erratic behavior. Furthermore, the system did not accurately classify the pedestrian as a human until one second before the crash.</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Safety Culture Failure</w:t>
      </w:r>
      <w:r w:rsidDel="00000000" w:rsidR="00000000" w:rsidRPr="00000000">
        <w:rPr>
          <w:rFonts w:ascii="Google Sans" w:cs="Google Sans" w:eastAsia="Google Sans" w:hAnsi="Google Sans"/>
          <w:color w:val="1f1f1f"/>
          <w:rtl w:val="0"/>
        </w:rPr>
        <w:t xml:space="preserve">: Uber had removed the second backup safety operator and deactivated the vehicle's factory Volvo AEB and Forward Collision Warning (FCW) systems. The NTSB found that Uber's "inadequate safety culture" contributed to the operator's extreme distraction—she looked at her phone 204 times in 27 minutes.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Infrastructure Contribution</w:t>
      </w:r>
      <w:r w:rsidDel="00000000" w:rsidR="00000000" w:rsidRPr="00000000">
        <w:rPr>
          <w:rFonts w:ascii="Google Sans" w:cs="Google Sans" w:eastAsia="Google Sans" w:hAnsi="Google Sans"/>
          <w:color w:val="1f1f1f"/>
          <w:rtl w:val="0"/>
        </w:rPr>
        <w:t xml:space="preserve">: The NTSB also cited the State of Arizona's lack of oversight and "self-driving sanctuary" policies as contributing factors, highlighting that liability can extend to governmental bodies that fail to establish safety-focused testing protocols.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2018 Tesla Mountain View and Culver City Crashes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Tesla's "Autopilot" (Level 2) has been the subject of multiple NTSB investigations that highlight the dangers of "mode confusion" and "automation complacency".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Mountain View</w:t>
      </w:r>
      <w:r w:rsidDel="00000000" w:rsidR="00000000" w:rsidRPr="00000000">
        <w:rPr>
          <w:rFonts w:ascii="Google Sans" w:cs="Google Sans" w:eastAsia="Google Sans" w:hAnsi="Google Sans"/>
          <w:color w:val="1f1f1f"/>
          <w:rtl w:val="0"/>
        </w:rPr>
        <w:t xml:space="preserve">: The SUV struck a highway gore area at 71 mph. The system limitation caused the car to move into the gore area, while the driver was likely playing a "cell phone game application".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NTSB found the "ineffective monitoring of driver engagement" was a contributing cause. Importantly, the severity of the crash was increased because a highway crash attenuator had been damaged 11 days prior and not repaired by Caltrans, demonstrating how maintenance of infrastructure is inextricably linked to AV liability.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Culver City</w:t>
      </w:r>
      <w:r w:rsidDel="00000000" w:rsidR="00000000" w:rsidRPr="00000000">
        <w:rPr>
          <w:rFonts w:ascii="Google Sans" w:cs="Google Sans" w:eastAsia="Google Sans" w:hAnsi="Google Sans"/>
          <w:color w:val="1f1f1f"/>
          <w:rtl w:val="0"/>
        </w:rPr>
        <w:t xml:space="preserve">: A Tesla Model S struck a stationary fire truck. The radar system's design, which ignored stationary objects to avoid false braking, combined with the driver's "overreliance" on the system, led to the crash.</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cases collectively establish that liability for ADAS accidents is rarely singular. It is a "web of responsibility" involving the software developer (for classification failures), the manufacturer (for poor HMI/monitoring), the driver (for distraction), and even the state (for infrastructure maintenance).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Forensic Analysis: The Data Storage Gap</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Determining who was "in control" at the time of an accident is the most critical hurdle in ADAS litigation. This has necessitated the development of new data logging standards.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EDR vs. DSSAD: The Evidentiary Matrix</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 Data Recorder (EDR)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Storage System for Automated Driving (DSSAD)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 Federal Regulations; EU M/N Categories.</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UNECE Regulation No. 157.</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Significant crash event (ΔV/Airbag).</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System activation, transition demands, malfunctions.</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 to 20 seconds pre-crash.</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Minimum of 6 months or 2,500 records.</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Accident reconstruction (Physical dynamics).</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Clarifying liability between driver and vehicle.</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Elements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Speed, throttle, braking, ΔV.</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Automation status, HMI interactions, software errors.</w:t>
            </w:r>
            <w:r w:rsidDel="00000000" w:rsidR="00000000" w:rsidRPr="00000000">
              <w:rPr>
                <w:rFonts w:ascii="Google Sans" w:cs="Google Sans" w:eastAsia="Google Sans" w:hAnsi="Google Sans"/>
                <w:color w:val="444746"/>
                <w:sz w:val="24"/>
                <w:szCs w:val="24"/>
                <w:vertAlign w:val="superscript"/>
                <w:rtl w:val="0"/>
              </w:rPr>
              <w:t xml:space="preserve">36</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SAE J3197</w:t>
      </w:r>
      <w:r w:rsidDel="00000000" w:rsidR="00000000" w:rsidRPr="00000000">
        <w:rPr>
          <w:rFonts w:ascii="Google Sans" w:cs="Google Sans" w:eastAsia="Google Sans" w:hAnsi="Google Sans"/>
          <w:color w:val="1f1f1f"/>
          <w:rtl w:val="0"/>
        </w:rPr>
        <w:t xml:space="preserve"> standard ("Automated Driving System Data Logger") provides a common format for these records, ensuring that accident reconstructionists can see through the vehicle's "eyes" (cameras/LiDAR) when no human witness is present.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 significant legal risk for shops and manufacturers is the "make inoperative" rule (49 USC §30122); if a technician fails to properly calibrate these sensors after a repair, and the DSSAD proves the system was "blind" during a crash, the repair facility becomes primary for liability.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Systematic Responsibility Boundaries: The ADAS Levels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allocate liability effectively, one must look at the "contractual" shift in tasks defined by the SAE J3016 levels.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Level 0-2 (Assistance)</w:t>
      </w:r>
      <w:r w:rsidDel="00000000" w:rsidR="00000000" w:rsidRPr="00000000">
        <w:rPr>
          <w:rFonts w:ascii="Google Sans" w:cs="Google Sans" w:eastAsia="Google Sans" w:hAnsi="Google Sans"/>
          <w:color w:val="1f1f1f"/>
          <w:rtl w:val="0"/>
        </w:rPr>
        <w:t xml:space="preserve">: The human handles the Object and Event Detection and Response (OEDR). Liability remains with the driver unless the ADAS </w:t>
      </w:r>
      <w:r w:rsidDel="00000000" w:rsidR="00000000" w:rsidRPr="00000000">
        <w:rPr>
          <w:rFonts w:ascii="Google Sans" w:cs="Google Sans" w:eastAsia="Google Sans" w:hAnsi="Google Sans"/>
          <w:i w:val="1"/>
          <w:iCs w:val="1"/>
          <w:color w:val="1f1f1f"/>
          <w:rtl w:val="0"/>
        </w:rPr>
        <w:t xml:space="preserve">actively</w:t>
      </w:r>
      <w:r w:rsidDel="00000000" w:rsidR="00000000" w:rsidRPr="00000000">
        <w:rPr>
          <w:rFonts w:ascii="Google Sans" w:cs="Google Sans" w:eastAsia="Google Sans" w:hAnsi="Google Sans"/>
          <w:color w:val="1f1f1f"/>
          <w:rtl w:val="0"/>
        </w:rPr>
        <w:t xml:space="preserve"> causes harm (e.g., unintended steering) or fails due to a design defect in a scenario it was explicitly marketed to handle.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Level 3 (Conditional)</w:t>
      </w:r>
      <w:r w:rsidDel="00000000" w:rsidR="00000000" w:rsidRPr="00000000">
        <w:rPr>
          <w:rFonts w:ascii="Google Sans" w:cs="Google Sans" w:eastAsia="Google Sans" w:hAnsi="Google Sans"/>
          <w:color w:val="1f1f1f"/>
          <w:rtl w:val="0"/>
        </w:rPr>
        <w:t xml:space="preserve">: The responsibility for OEDR shifts to the machine, but the human remains the "Fallback." Liability is split: the machine is liable for the crash, </w:t>
      </w:r>
      <w:r w:rsidDel="00000000" w:rsidR="00000000" w:rsidRPr="00000000">
        <w:rPr>
          <w:rFonts w:ascii="Google Sans" w:cs="Google Sans" w:eastAsia="Google Sans" w:hAnsi="Google Sans"/>
          <w:i w:val="1"/>
          <w:iCs w:val="1"/>
          <w:color w:val="1f1f1f"/>
          <w:rtl w:val="0"/>
        </w:rPr>
        <w:t xml:space="preserve">unless</w:t>
      </w:r>
      <w:r w:rsidDel="00000000" w:rsidR="00000000" w:rsidRPr="00000000">
        <w:rPr>
          <w:rFonts w:ascii="Google Sans" w:cs="Google Sans" w:eastAsia="Google Sans" w:hAnsi="Google Sans"/>
          <w:color w:val="1f1f1f"/>
          <w:rtl w:val="0"/>
        </w:rPr>
        <w:t xml:space="preserve"> it issued a timely 10-second transition demand that the human ignored.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Level 4-5 (Autonomous)</w:t>
      </w:r>
      <w:r w:rsidDel="00000000" w:rsidR="00000000" w:rsidRPr="00000000">
        <w:rPr>
          <w:rFonts w:ascii="Google Sans" w:cs="Google Sans" w:eastAsia="Google Sans" w:hAnsi="Google Sans"/>
          <w:color w:val="1f1f1f"/>
          <w:rtl w:val="0"/>
        </w:rPr>
        <w:t xml:space="preserve">: The machine handles the DDT and the Fallback. The human is a "passenger." Liability is purely commercial and falls to the ASDE and the Technical Supervisor.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Actionable Regulatory Recommendations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synthesis of technical limitations, legal trends, and investigative findings, the following regulatory guidelines are recommended for a robust liability framework:</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Mandatory HMI Standardization and "Gaze-Locking"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Regulators must move beyond "hands-on" monitoring. For Level 2 and Level 3 systems, the presence of an active Driver Monitoring System (DMS) that tracks eye gaze should be a prerequisite for type approval.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Standards should require "HMI Gaze-Locking," where the automated system automatically disengages (following a safe maneuver) if the driver's eyes are off the road for more than 4-6 seconds, regardless of steering wheel torque.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Statutory "Right to Data" for Insurers and Victims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"information asymmetry" in litigation, governments should mandate that DSSAD and EDR data be made available to insurers and victims within 30 days of a crash.</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UK’s model of mandating data sharing between ASDEs and insurers should be adopted globally to ensure affordable premiums and fair claims handling.</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Certification of Secondary Task Infotainment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Level 3 systems, regulators must certify exactly which secondary tasks (e.g., web surfing) are safe. These tasks should only be accessible via the vehicle’s integrated infotainment screen, which the system can "lock out" instantly if a transition demand is issued.</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prevents the "cell phone game" distraction seen in the Mountain View case by centralizing all permitted activities through the HMI.</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Calibration Audits and "Digital Birth Certificates"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that a one-degree sensor misalignment can cause a catastrophic detection failure, legislation should require that all ADAS-related repairs (windshield, bumper, suspension) conclude with a certified calibration report.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report should be uploaded to a digital vehicle record (a "digital birth certificate") that is accessible by regulators and future buyers, ensuring the "chain of responsibility" is maintained during the vehicle's life.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Ethical Algorithm Transparency and AI Act Compliance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line with the EU AI Act and Germany’s ethical guidelines, manufacturers should be required to disclose the "priority scheduling" of their crash-avoidance algorithms.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Algorithms must not discriminate based on age, gender, or health status, and should prioritize human life over property.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Transparency in how AI handles "edge cases" (e.g., the Uber jaywalker scenario) is essential for building public trust and clarifying "design defect" claims.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Conclusion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of accountability in the ADAS era is no longer a simple binary of "driver vs. machine." It is a multi-actor framework involving the ASDE, the User-in-Charge, the Technical Supervisor, and the infrastructure provider.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evidence from 2024-2026 suggests that while human error remains the primary "probable cause" in current Level 2 crashes, the burden of liability is shifting toward manufacturers as the complexity of software—and the potential for "automation complacency"—grows.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path forward requires a harmonization of international standards (UNECE R157), robust data storage requirements (DSSAD), and a clear legal distinction between "assisted" and "automated" modes.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establishing clear "rules of the road" for corporate drivers and providing immunity for the users who supervise them, the legal system can support the transition to a safer, more efficient mobility future without sacrificing the fundamental principle of accountability. Liability must follow control; as the machine takes the wheel, the manufacturer must take the blame.</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Autonomous Vehicles: Legal Governance of Civil Liability Risks - ResearchGate, accessed March 2, 2026, </w:t>
      </w:r>
      <w:hyperlink r:id="rId6">
        <w:r w:rsidDel="00000000" w:rsidR="00000000" w:rsidRPr="00000000">
          <w:rPr>
            <w:rFonts w:ascii="Google Sans" w:cs="Google Sans" w:eastAsia="Google Sans" w:hAnsi="Google Sans"/>
            <w:color w:val="0000ee"/>
            <w:sz w:val="24"/>
            <w:szCs w:val="24"/>
            <w:u w:val="single"/>
            <w:rtl w:val="0"/>
          </w:rPr>
          <w:t xml:space="preserve">https://www.researchgate.net/publication/392884508_Autonomous_Vehicles_Legal_Governance_of_Civil_Liability_Risks</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 and tech collide: foreseeability, reasonableness and advanced driver assistance systems | Policy and Society | Oxford Academic, accessed March 2, 2026, </w:t>
      </w:r>
      <w:hyperlink r:id="rId7">
        <w:r w:rsidDel="00000000" w:rsidR="00000000" w:rsidRPr="00000000">
          <w:rPr>
            <w:rFonts w:ascii="Google Sans" w:cs="Google Sans" w:eastAsia="Google Sans" w:hAnsi="Google Sans"/>
            <w:color w:val="0000ee"/>
            <w:sz w:val="24"/>
            <w:szCs w:val="24"/>
            <w:u w:val="single"/>
            <w:rtl w:val="0"/>
          </w:rPr>
          <w:t xml:space="preserve">https://academic.oup.com/policyandsociety/article/40/2/250/6509329</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Advanced Driver Assistance Systems (ADAS) Impact Liability in Car Accidents - TFLcar, accessed March 2, 2026, </w:t>
      </w:r>
      <w:hyperlink r:id="rId8">
        <w:r w:rsidDel="00000000" w:rsidR="00000000" w:rsidRPr="00000000">
          <w:rPr>
            <w:rFonts w:ascii="Google Sans" w:cs="Google Sans" w:eastAsia="Google Sans" w:hAnsi="Google Sans"/>
            <w:color w:val="0000ee"/>
            <w:sz w:val="24"/>
            <w:szCs w:val="24"/>
            <w:u w:val="single"/>
            <w:rtl w:val="0"/>
          </w:rPr>
          <w:t xml:space="preserve">https://tflcar.com/2025/03/how-advanced-driver-assistance-systems-adas-impact-liability/</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Liability for Defective Advanced Driver Assistance Systems | Hurwitz Fine P.C., accessed March 2, 2026, </w:t>
      </w:r>
      <w:hyperlink r:id="rId9">
        <w:r w:rsidDel="00000000" w:rsidR="00000000" w:rsidRPr="00000000">
          <w:rPr>
            <w:rFonts w:ascii="Google Sans" w:cs="Google Sans" w:eastAsia="Google Sans" w:hAnsi="Google Sans"/>
            <w:color w:val="0000ee"/>
            <w:sz w:val="24"/>
            <w:szCs w:val="24"/>
            <w:u w:val="single"/>
            <w:rtl w:val="0"/>
          </w:rPr>
          <w:t xml:space="preserve">https://www.hurwitzfine.com/blog/liability-for-defective-advanced-driver-assistance-systems</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Liability and automation: legal issues in autonomous cars | Network Industries, accessed March 2, 2026, </w:t>
      </w:r>
      <w:hyperlink r:id="rId10">
        <w:r w:rsidDel="00000000" w:rsidR="00000000" w:rsidRPr="00000000">
          <w:rPr>
            <w:rFonts w:ascii="Google Sans" w:cs="Google Sans" w:eastAsia="Google Sans" w:hAnsi="Google Sans"/>
            <w:color w:val="0000ee"/>
            <w:sz w:val="24"/>
            <w:szCs w:val="24"/>
            <w:u w:val="single"/>
            <w:rtl w:val="0"/>
          </w:rPr>
          <w:t xml:space="preserve">https://www.network-industries.org/wp-content/uploads/2019/07/Liability-and-automation-legal-issues-in-autonomous-cars.pdf</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driver-assistance system - Wikipedia, accessed March 2, 2026, </w:t>
      </w:r>
      <w:hyperlink r:id="rId11">
        <w:r w:rsidDel="00000000" w:rsidR="00000000" w:rsidRPr="00000000">
          <w:rPr>
            <w:rFonts w:ascii="Google Sans" w:cs="Google Sans" w:eastAsia="Google Sans" w:hAnsi="Google Sans"/>
            <w:color w:val="0000ee"/>
            <w:sz w:val="24"/>
            <w:szCs w:val="24"/>
            <w:u w:val="single"/>
            <w:rtl w:val="0"/>
          </w:rPr>
          <w:t xml:space="preserve">https://en.wikipedia.org/wiki/Advanced_driver-assistance_system</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SAE J3016 User Guide - Carnegie Mellon University, accessed March 2, 2026, </w:t>
      </w:r>
      <w:hyperlink r:id="rId12">
        <w:r w:rsidDel="00000000" w:rsidR="00000000" w:rsidRPr="00000000">
          <w:rPr>
            <w:rFonts w:ascii="Google Sans" w:cs="Google Sans" w:eastAsia="Google Sans" w:hAnsi="Google Sans"/>
            <w:color w:val="0000ee"/>
            <w:sz w:val="24"/>
            <w:szCs w:val="24"/>
            <w:u w:val="single"/>
            <w:rtl w:val="0"/>
          </w:rPr>
          <w:t xml:space="preserve">https://users.ece.cmu.edu/~koopman/j3016/</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ADAS Sensors, FMVSS and Shop Liability | MOTOR, accessed March 2, 2026, </w:t>
      </w:r>
      <w:hyperlink r:id="rId13">
        <w:r w:rsidDel="00000000" w:rsidR="00000000" w:rsidRPr="00000000">
          <w:rPr>
            <w:rFonts w:ascii="Google Sans" w:cs="Google Sans" w:eastAsia="Google Sans" w:hAnsi="Google Sans"/>
            <w:color w:val="0000ee"/>
            <w:sz w:val="24"/>
            <w:szCs w:val="24"/>
            <w:u w:val="single"/>
            <w:rtl w:val="0"/>
          </w:rPr>
          <w:t xml:space="preserve">https://www.motor.com/2026/01/adas-sensors-fmvss-shop-liability/</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and Autonomous Driving. Legal Framework. | Mercedes-Benz Group, accessed March 2, 2026, </w:t>
      </w:r>
      <w:hyperlink r:id="rId14">
        <w:r w:rsidDel="00000000" w:rsidR="00000000" w:rsidRPr="00000000">
          <w:rPr>
            <w:rFonts w:ascii="Google Sans" w:cs="Google Sans" w:eastAsia="Google Sans" w:hAnsi="Google Sans"/>
            <w:color w:val="0000ee"/>
            <w:sz w:val="24"/>
            <w:szCs w:val="24"/>
            <w:u w:val="single"/>
            <w:rtl w:val="0"/>
          </w:rPr>
          <w:t xml:space="preserve">https://group.mercedes-benz.com/technology/autonomous-driving/driving/legal-framework.html</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HWY18FH004.aspx - NTSB, accessed March 2, 2026, </w:t>
      </w:r>
      <w:hyperlink r:id="rId15">
        <w:r w:rsidDel="00000000" w:rsidR="00000000" w:rsidRPr="00000000">
          <w:rPr>
            <w:rFonts w:ascii="Google Sans" w:cs="Google Sans" w:eastAsia="Google Sans" w:hAnsi="Google Sans"/>
            <w:color w:val="0000ee"/>
            <w:sz w:val="24"/>
            <w:szCs w:val="24"/>
            <w:u w:val="single"/>
            <w:rtl w:val="0"/>
          </w:rPr>
          <w:t xml:space="preserve">https://www.ntsb.gov/investigations/Pages/HWY18FH004.aspx</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 paper | Developing trustworthy ADAS and AV technologies | Siemens, accessed March 2, 2026, </w:t>
      </w:r>
      <w:hyperlink r:id="rId16">
        <w:r w:rsidDel="00000000" w:rsidR="00000000" w:rsidRPr="00000000">
          <w:rPr>
            <w:rFonts w:ascii="Google Sans" w:cs="Google Sans" w:eastAsia="Google Sans" w:hAnsi="Google Sans"/>
            <w:color w:val="0000ee"/>
            <w:sz w:val="24"/>
            <w:szCs w:val="24"/>
            <w:u w:val="single"/>
            <w:rtl w:val="0"/>
          </w:rPr>
          <w:t xml:space="preserve">https://resources.sw.siemens.com/es-MX/white-paper-developing-trustworthy-adas-and-av-technologies/</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NTSB Shares Investigation Findings and Recommendations Regarding March 2018 Uber ATG Fatality | Eckert Seamans, accessed March 2, 2026, </w:t>
      </w:r>
      <w:hyperlink r:id="rId17">
        <w:r w:rsidDel="00000000" w:rsidR="00000000" w:rsidRPr="00000000">
          <w:rPr>
            <w:rFonts w:ascii="Google Sans" w:cs="Google Sans" w:eastAsia="Google Sans" w:hAnsi="Google Sans"/>
            <w:color w:val="0000ee"/>
            <w:sz w:val="24"/>
            <w:szCs w:val="24"/>
            <w:u w:val="single"/>
            <w:rtl w:val="0"/>
          </w:rPr>
          <w:t xml:space="preserve">https://www.eckertseamans.com/legal-updates/ntsb-shares-investigation-findings-and-recommendations-regarding-march-2018-uber-atg-fatality</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NTSB report released on deadly 2018 crash involving self-driving Uber - YouTube, accessed March 2, 2026, </w:t>
      </w:r>
      <w:hyperlink r:id="rId18">
        <w:r w:rsidDel="00000000" w:rsidR="00000000" w:rsidRPr="00000000">
          <w:rPr>
            <w:rFonts w:ascii="Google Sans" w:cs="Google Sans" w:eastAsia="Google Sans" w:hAnsi="Google Sans"/>
            <w:color w:val="0000ee"/>
            <w:sz w:val="24"/>
            <w:szCs w:val="24"/>
            <w:u w:val="single"/>
            <w:rtl w:val="0"/>
          </w:rPr>
          <w:t xml:space="preserve">https://www.youtube.com/watch?v=tBZrYp3z8G0</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lane keeping systems - Wikipedia, accessed March 2, 2026, </w:t>
      </w:r>
      <w:hyperlink r:id="rId19">
        <w:r w:rsidDel="00000000" w:rsidR="00000000" w:rsidRPr="00000000">
          <w:rPr>
            <w:rFonts w:ascii="Google Sans" w:cs="Google Sans" w:eastAsia="Google Sans" w:hAnsi="Google Sans"/>
            <w:color w:val="0000ee"/>
            <w:sz w:val="24"/>
            <w:szCs w:val="24"/>
            <w:u w:val="single"/>
            <w:rtl w:val="0"/>
          </w:rPr>
          <w:t xml:space="preserve">https://en.wikipedia.org/wiki/Automated_lane_keeping_systems</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Technological Advancements on Accident Liability: My Perspective, accessed March 2, 2026, </w:t>
      </w:r>
      <w:hyperlink r:id="rId20">
        <w:r w:rsidDel="00000000" w:rsidR="00000000" w:rsidRPr="00000000">
          <w:rPr>
            <w:rFonts w:ascii="Google Sans" w:cs="Google Sans" w:eastAsia="Google Sans" w:hAnsi="Google Sans"/>
            <w:color w:val="0000ee"/>
            <w:sz w:val="24"/>
            <w:szCs w:val="24"/>
            <w:u w:val="single"/>
            <w:rtl w:val="0"/>
          </w:rPr>
          <w:t xml:space="preserve">https://bannisterandwyatt.com/the-impact-of-technological-advancements-on-accident-liability-my-perspective/</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HWY18FH011.aspx - NTSB, accessed March 2, 2026, </w:t>
      </w:r>
      <w:hyperlink r:id="rId21">
        <w:r w:rsidDel="00000000" w:rsidR="00000000" w:rsidRPr="00000000">
          <w:rPr>
            <w:rFonts w:ascii="Google Sans" w:cs="Google Sans" w:eastAsia="Google Sans" w:hAnsi="Google Sans"/>
            <w:color w:val="0000ee"/>
            <w:sz w:val="24"/>
            <w:szCs w:val="24"/>
            <w:u w:val="single"/>
            <w:rtl w:val="0"/>
          </w:rPr>
          <w:t xml:space="preserve">https://www.ntsb.gov/investigations/Pages/HWY18FH011.aspx</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NTSB published the results of its investigation of the 2018 Tesla car accident, accessed March 2, 2026, </w:t>
      </w:r>
      <w:hyperlink r:id="rId22">
        <w:r w:rsidDel="00000000" w:rsidR="00000000" w:rsidRPr="00000000">
          <w:rPr>
            <w:rFonts w:ascii="Google Sans" w:cs="Google Sans" w:eastAsia="Google Sans" w:hAnsi="Google Sans"/>
            <w:color w:val="0000ee"/>
            <w:sz w:val="24"/>
            <w:szCs w:val="24"/>
            <w:u w:val="single"/>
            <w:rtl w:val="0"/>
          </w:rPr>
          <w:t xml:space="preserve">https://dig.watch/updates/ntsb-published-results-its-investigation-2018-tesla-car-accident</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In Progress: Exploring Human-Machine Interfaces (HMIs) - Regulations.gov, accessed March 2, 2026, </w:t>
      </w:r>
      <w:hyperlink r:id="rId23">
        <w:r w:rsidDel="00000000" w:rsidR="00000000" w:rsidRPr="00000000">
          <w:rPr>
            <w:rFonts w:ascii="Google Sans" w:cs="Google Sans" w:eastAsia="Google Sans" w:hAnsi="Google Sans"/>
            <w:color w:val="0000ee"/>
            <w:sz w:val="24"/>
            <w:szCs w:val="24"/>
            <w:u w:val="single"/>
            <w:rtl w:val="0"/>
          </w:rPr>
          <w:t xml:space="preserve">https://downloads.regulations.gov/NHTSA-2025-0325-0004/attachment_9.pdf</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Crash Course - Q2 2025 - CCC Intelligent Solutions, accessed March 2, 2026, </w:t>
      </w:r>
      <w:hyperlink r:id="rId24">
        <w:r w:rsidDel="00000000" w:rsidR="00000000" w:rsidRPr="00000000">
          <w:rPr>
            <w:rFonts w:ascii="Google Sans" w:cs="Google Sans" w:eastAsia="Google Sans" w:hAnsi="Google Sans"/>
            <w:color w:val="0000ee"/>
            <w:sz w:val="24"/>
            <w:szCs w:val="24"/>
            <w:u w:val="single"/>
            <w:rtl w:val="0"/>
          </w:rPr>
          <w:t xml:space="preserve">https://www.cccis.com/reports/crash-course-2025/q2</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Whitepaper Finds Precise ADAS Calibrations Key to Safety - Autobody News, accessed March 2, 2026, </w:t>
      </w:r>
      <w:hyperlink r:id="rId25">
        <w:r w:rsidDel="00000000" w:rsidR="00000000" w:rsidRPr="00000000">
          <w:rPr>
            <w:rFonts w:ascii="Google Sans" w:cs="Google Sans" w:eastAsia="Google Sans" w:hAnsi="Google Sans"/>
            <w:color w:val="0000ee"/>
            <w:sz w:val="24"/>
            <w:szCs w:val="24"/>
            <w:u w:val="single"/>
            <w:rtl w:val="0"/>
          </w:rPr>
          <w:t xml:space="preserve">https://www.autobodynews.com/news/new-whitepaper-finds-precise-adas-calibrations-key-to-safety</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EDR and DSSAD: A Look at Vehicle Accident Analysis Tools - AUTOCRYPT, accessed March 2, 2026, </w:t>
      </w:r>
      <w:hyperlink r:id="rId26">
        <w:r w:rsidDel="00000000" w:rsidR="00000000" w:rsidRPr="00000000">
          <w:rPr>
            <w:rFonts w:ascii="Google Sans" w:cs="Google Sans" w:eastAsia="Google Sans" w:hAnsi="Google Sans"/>
            <w:color w:val="0000ee"/>
            <w:sz w:val="24"/>
            <w:szCs w:val="24"/>
            <w:u w:val="single"/>
            <w:rtl w:val="0"/>
          </w:rPr>
          <w:t xml:space="preserve">https://autocrypt.io/edr-dssad-vehicle-accident-analysis-tools/</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ADAS Calibration: Industry Benchmark Report 2025 - Revv, accessed March 2, 2026, </w:t>
      </w:r>
      <w:hyperlink r:id="rId27">
        <w:r w:rsidDel="00000000" w:rsidR="00000000" w:rsidRPr="00000000">
          <w:rPr>
            <w:rFonts w:ascii="Google Sans" w:cs="Google Sans" w:eastAsia="Google Sans" w:hAnsi="Google Sans"/>
            <w:color w:val="0000ee"/>
            <w:sz w:val="24"/>
            <w:szCs w:val="24"/>
            <w:u w:val="single"/>
            <w:rtl w:val="0"/>
          </w:rPr>
          <w:t xml:space="preserve">https://www.revvhq.com/ebooks/adas-calibration-industry-benchmark-report-2025</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Advanced Driver-Assistance Systems (ADAS) Affect Liability in Auto Accidents - Simeone &amp; Miller, LLP, accessed March 2, 2026, </w:t>
      </w:r>
      <w:hyperlink r:id="rId28">
        <w:r w:rsidDel="00000000" w:rsidR="00000000" w:rsidRPr="00000000">
          <w:rPr>
            <w:rFonts w:ascii="Google Sans" w:cs="Google Sans" w:eastAsia="Google Sans" w:hAnsi="Google Sans"/>
            <w:color w:val="0000ee"/>
            <w:sz w:val="24"/>
            <w:szCs w:val="24"/>
            <w:u w:val="single"/>
            <w:rtl w:val="0"/>
          </w:rPr>
          <w:t xml:space="preserve">https://www.simeonemiller.com/blog/how-advanced-driver-assistance-systems-adas-affect-liability-in-auto-accidents/</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Liability for Autonomous Vehicle Torts: Who Should Be Held ... - MDPI, accessed March 2, 2026, </w:t>
      </w:r>
      <w:hyperlink r:id="rId29">
        <w:r w:rsidDel="00000000" w:rsidR="00000000" w:rsidRPr="00000000">
          <w:rPr>
            <w:rFonts w:ascii="Google Sans" w:cs="Google Sans" w:eastAsia="Google Sans" w:hAnsi="Google Sans"/>
            <w:color w:val="0000ee"/>
            <w:sz w:val="24"/>
            <w:szCs w:val="24"/>
            <w:u w:val="single"/>
            <w:rtl w:val="0"/>
          </w:rPr>
          <w:t xml:space="preserve">https://www.mdpi.com/2032-6653/16/12/665</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Civil liability for accidents caused by autonomous vehicles and ..., accessed March 2, 2026, </w:t>
      </w:r>
      <w:hyperlink r:id="rId30">
        <w:r w:rsidDel="00000000" w:rsidR="00000000" w:rsidRPr="00000000">
          <w:rPr>
            <w:rFonts w:ascii="Google Sans" w:cs="Google Sans" w:eastAsia="Google Sans" w:hAnsi="Google Sans"/>
            <w:color w:val="0000ee"/>
            <w:sz w:val="24"/>
            <w:szCs w:val="24"/>
            <w:u w:val="single"/>
            <w:rtl w:val="0"/>
          </w:rPr>
          <w:t xml:space="preserve">https://insuralex.com/civil-liability-accidents-caused-autonomous-vehicles-adas/</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EU Product Liability Directive: key implications…, accessed March 2, 2026, </w:t>
      </w:r>
      <w:hyperlink r:id="rId31">
        <w:r w:rsidDel="00000000" w:rsidR="00000000" w:rsidRPr="00000000">
          <w:rPr>
            <w:rFonts w:ascii="Google Sans" w:cs="Google Sans" w:eastAsia="Google Sans" w:hAnsi="Google Sans"/>
            <w:color w:val="0000ee"/>
            <w:sz w:val="24"/>
            <w:szCs w:val="24"/>
            <w:u w:val="single"/>
            <w:rtl w:val="0"/>
          </w:rPr>
          <w:t xml:space="preserve">https://www.reedsmith.com/articles/the-new-eu-product-liability-key-implications-autonomous-vehicle/</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vehicles: statement of safety principles - GOV.UK, accessed March 2, 2026, </w:t>
      </w:r>
      <w:hyperlink r:id="rId32">
        <w:r w:rsidDel="00000000" w:rsidR="00000000" w:rsidRPr="00000000">
          <w:rPr>
            <w:rFonts w:ascii="Google Sans" w:cs="Google Sans" w:eastAsia="Google Sans" w:hAnsi="Google Sans"/>
            <w:color w:val="0000ee"/>
            <w:sz w:val="24"/>
            <w:szCs w:val="24"/>
            <w:u w:val="single"/>
            <w:rtl w:val="0"/>
          </w:rPr>
          <w:t xml:space="preserve">https://www.gov.uk/government/calls-for-evidence/automated-vehicles-statement-of-safety-principles/automated-vehicles-statement-of-safety-principles</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pays when no-one drives? UK insurers prepare for autonomous liability shake-up, accessed March 2, 2026, </w:t>
      </w:r>
      <w:hyperlink r:id="rId33">
        <w:r w:rsidDel="00000000" w:rsidR="00000000" w:rsidRPr="00000000">
          <w:rPr>
            <w:rFonts w:ascii="Google Sans" w:cs="Google Sans" w:eastAsia="Google Sans" w:hAnsi="Google Sans"/>
            <w:color w:val="0000ee"/>
            <w:sz w:val="24"/>
            <w:szCs w:val="24"/>
            <w:u w:val="single"/>
            <w:rtl w:val="0"/>
          </w:rPr>
          <w:t xml:space="preserve">https://www.insurancebusinessmag.com/uk/news/auto-motor/who-pays-when-noone-drives-uk-insurers-prepare-for-autonomous-liability-shakeup-564548.aspx</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Vehicles Act 2024 - Legislation.gov.uk, accessed March 2, 2026, </w:t>
      </w:r>
      <w:hyperlink r:id="rId34">
        <w:r w:rsidDel="00000000" w:rsidR="00000000" w:rsidRPr="00000000">
          <w:rPr>
            <w:rFonts w:ascii="Google Sans" w:cs="Google Sans" w:eastAsia="Google Sans" w:hAnsi="Google Sans"/>
            <w:color w:val="0000ee"/>
            <w:sz w:val="24"/>
            <w:szCs w:val="24"/>
            <w:u w:val="single"/>
            <w:rtl w:val="0"/>
          </w:rPr>
          <w:t xml:space="preserve">https://www.legislation.gov.uk/ukpga/2024/10/contents</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UK'S AUTOMATED VEHICLES ACT 2024 - HFW, accessed March 2, 2026, </w:t>
      </w:r>
      <w:hyperlink r:id="rId35">
        <w:r w:rsidDel="00000000" w:rsidR="00000000" w:rsidRPr="00000000">
          <w:rPr>
            <w:rFonts w:ascii="Google Sans" w:cs="Google Sans" w:eastAsia="Google Sans" w:hAnsi="Google Sans"/>
            <w:color w:val="0000ee"/>
            <w:sz w:val="24"/>
            <w:szCs w:val="24"/>
            <w:u w:val="single"/>
            <w:rtl w:val="0"/>
          </w:rPr>
          <w:t xml:space="preserve">https://www.hfw.com/app/uploads/2024/07/006179-HFW-UKs-Automated-Vehicles-Act-2024.pdf</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framework for automated and autonomous driving and teledriving in the EU and Germany - Taylor Wessing, accessed March 2, 2026, </w:t>
      </w:r>
      <w:hyperlink r:id="rId36">
        <w:r w:rsidDel="00000000" w:rsidR="00000000" w:rsidRPr="00000000">
          <w:rPr>
            <w:rFonts w:ascii="Google Sans" w:cs="Google Sans" w:eastAsia="Google Sans" w:hAnsi="Google Sans"/>
            <w:color w:val="0000ee"/>
            <w:sz w:val="24"/>
            <w:szCs w:val="24"/>
            <w:u w:val="single"/>
            <w:rtl w:val="0"/>
          </w:rPr>
          <w:t xml:space="preserve">https://www.taylorwessing.com/en/insights-and-events/insights/2026/02/legal-frameworks-for-autonomous-driving-and-teledriving</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Germany will be the world leader in autonomous driving - BMV, accessed March 2, 2026, </w:t>
      </w:r>
      <w:hyperlink r:id="rId37">
        <w:r w:rsidDel="00000000" w:rsidR="00000000" w:rsidRPr="00000000">
          <w:rPr>
            <w:rFonts w:ascii="Google Sans" w:cs="Google Sans" w:eastAsia="Google Sans" w:hAnsi="Google Sans"/>
            <w:color w:val="0000ee"/>
            <w:sz w:val="24"/>
            <w:szCs w:val="24"/>
            <w:u w:val="single"/>
            <w:rtl w:val="0"/>
          </w:rPr>
          <w:t xml:space="preserve">https://www.bmv.de/SharedDocs/EN/Articles/DG/act-on-autonomous-driving.html</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legal rules on automated driving | Gleiss Lutz, accessed March 2, 2026, </w:t>
      </w:r>
      <w:hyperlink r:id="rId38">
        <w:r w:rsidDel="00000000" w:rsidR="00000000" w:rsidRPr="00000000">
          <w:rPr>
            <w:rFonts w:ascii="Google Sans" w:cs="Google Sans" w:eastAsia="Google Sans" w:hAnsi="Google Sans"/>
            <w:color w:val="0000ee"/>
            <w:sz w:val="24"/>
            <w:szCs w:val="24"/>
            <w:u w:val="single"/>
            <w:rtl w:val="0"/>
          </w:rPr>
          <w:t xml:space="preserve">https://www.gleisslutz.com/en/know-how/new-legal-rules-automated-driving</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Teleoperiertes Fahren Straenverkehr-Fernlenk-Verordnung ..., accessed March 2, 2026, </w:t>
      </w:r>
      <w:hyperlink r:id="rId39">
        <w:r w:rsidDel="00000000" w:rsidR="00000000" w:rsidRPr="00000000">
          <w:rPr>
            <w:rFonts w:ascii="Google Sans" w:cs="Google Sans" w:eastAsia="Google Sans" w:hAnsi="Google Sans"/>
            <w:color w:val="0000ee"/>
            <w:sz w:val="24"/>
            <w:szCs w:val="24"/>
            <w:u w:val="single"/>
            <w:rtl w:val="0"/>
          </w:rPr>
          <w:t xml:space="preserve">https://www.twobirds.com/en/insights/2026/germany/teleoperiertes-fahren-straenverkehr-fernlenk-verordnung-(stvfernlv)-seit-dezember-2025-in-kraft</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driving in Japan – part 4: insurance, accessed March 2, 2026, </w:t>
      </w:r>
      <w:hyperlink r:id="rId40">
        <w:r w:rsidDel="00000000" w:rsidR="00000000" w:rsidRPr="00000000">
          <w:rPr>
            <w:rFonts w:ascii="Google Sans" w:cs="Google Sans" w:eastAsia="Google Sans" w:hAnsi="Google Sans"/>
            <w:color w:val="0000ee"/>
            <w:sz w:val="24"/>
            <w:szCs w:val="24"/>
            <w:u w:val="single"/>
            <w:rtl w:val="0"/>
          </w:rPr>
          <w:t xml:space="preserve">https://technologyquotient.freshfields.com/post/102gl6j/autonomous-driving-in-japan-part-4-insurance</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on Standardization of Data Retrieval Tools for DSSAD based on SAE J1698 - The Korean Society Of Automotive Engineers, accessed March 2, 2026, </w:t>
      </w:r>
      <w:hyperlink r:id="rId41">
        <w:r w:rsidDel="00000000" w:rsidR="00000000" w:rsidRPr="00000000">
          <w:rPr>
            <w:rFonts w:ascii="Google Sans" w:cs="Google Sans" w:eastAsia="Google Sans" w:hAnsi="Google Sans"/>
            <w:color w:val="0000ee"/>
            <w:sz w:val="24"/>
            <w:szCs w:val="24"/>
            <w:u w:val="single"/>
            <w:rtl w:val="0"/>
          </w:rPr>
          <w:t xml:space="preserve">http://journal.ksae.org/_common/do.php?a=full&amp;b=22&amp;bidx=4273&amp;aidx=47352</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J3197_202004 : Automated Driving System Data Logger - SAE International, accessed March 2, 2026, </w:t>
      </w:r>
      <w:hyperlink r:id="rId42">
        <w:r w:rsidDel="00000000" w:rsidR="00000000" w:rsidRPr="00000000">
          <w:rPr>
            <w:rFonts w:ascii="Google Sans" w:cs="Google Sans" w:eastAsia="Google Sans" w:hAnsi="Google Sans"/>
            <w:color w:val="0000ee"/>
            <w:sz w:val="24"/>
            <w:szCs w:val="24"/>
            <w:u w:val="single"/>
            <w:rtl w:val="0"/>
          </w:rPr>
          <w:t xml:space="preserve">https://www.sae.org/standards/j3197_202004-automated-driving-system-data-logger</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J3197_202107 : Automated Driving System Data Logger - SAE International, accessed March 2, 2026, </w:t>
      </w:r>
      <w:hyperlink r:id="rId43">
        <w:r w:rsidDel="00000000" w:rsidR="00000000" w:rsidRPr="00000000">
          <w:rPr>
            <w:rFonts w:ascii="Google Sans" w:cs="Google Sans" w:eastAsia="Google Sans" w:hAnsi="Google Sans"/>
            <w:color w:val="0000ee"/>
            <w:sz w:val="24"/>
            <w:szCs w:val="24"/>
            <w:u w:val="single"/>
            <w:rtl w:val="0"/>
          </w:rPr>
          <w:t xml:space="preserve">https://www.sae.org/standards/j3197_202107-automated-driving-system-data-logger</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Defining Safe Automated Driving - ABI, accessed March 2, 2026, </w:t>
      </w:r>
      <w:hyperlink r:id="rId44">
        <w:r w:rsidDel="00000000" w:rsidR="00000000" w:rsidRPr="00000000">
          <w:rPr>
            <w:rFonts w:ascii="Google Sans" w:cs="Google Sans" w:eastAsia="Google Sans" w:hAnsi="Google Sans"/>
            <w:color w:val="0000ee"/>
            <w:sz w:val="24"/>
            <w:szCs w:val="24"/>
            <w:u w:val="single"/>
            <w:rtl w:val="0"/>
          </w:rPr>
          <w:t xml:space="preserve">https://www.abi.org.uk/globalassets/files/publications/public/motor/2019/defining-safe-automation-technical-document-aug-2019.pdf</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Thatcham Research comments on Government Automated Vehicles consultation -, accessed March 2, 2026, </w:t>
      </w:r>
      <w:hyperlink r:id="rId45">
        <w:r w:rsidDel="00000000" w:rsidR="00000000" w:rsidRPr="00000000">
          <w:rPr>
            <w:rFonts w:ascii="Google Sans" w:cs="Google Sans" w:eastAsia="Google Sans" w:hAnsi="Google Sans"/>
            <w:color w:val="0000ee"/>
            <w:sz w:val="24"/>
            <w:szCs w:val="24"/>
            <w:u w:val="single"/>
            <w:rtl w:val="0"/>
          </w:rPr>
          <w:t xml:space="preserve">https://news.thatcham.org/thatcham-research-comments-on-latest-automated-vehicles-consultation/</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Driving Laws in Germany Explained - Automotive Digital Transformation, accessed March 2, 2026, </w:t>
      </w:r>
      <w:hyperlink r:id="rId46">
        <w:r w:rsidDel="00000000" w:rsidR="00000000" w:rsidRPr="00000000">
          <w:rPr>
            <w:rFonts w:ascii="Google Sans" w:cs="Google Sans" w:eastAsia="Google Sans" w:hAnsi="Google Sans"/>
            <w:color w:val="0000ee"/>
            <w:sz w:val="24"/>
            <w:szCs w:val="24"/>
            <w:u w:val="single"/>
            <w:rtl w:val="0"/>
          </w:rPr>
          <w:t xml:space="preserve">https://www.adt.media/autonomous-driving-systems/what-is-the-legal-situation-regarding-autonomous-driving/1596970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echnologyquotient.freshfields.com/post/102gl6j/autonomous-driving-in-japan-part-4-insurance" TargetMode="External"/><Relationship Id="rId20" Type="http://schemas.openxmlformats.org/officeDocument/2006/relationships/hyperlink" Target="https://bannisterandwyatt.com/the-impact-of-technological-advancements-on-accident-liability-my-perspective/" TargetMode="External"/><Relationship Id="rId42" Type="http://schemas.openxmlformats.org/officeDocument/2006/relationships/hyperlink" Target="https://www.sae.org/standards/j3197_202004-automated-driving-system-data-logger" TargetMode="External"/><Relationship Id="rId41" Type="http://schemas.openxmlformats.org/officeDocument/2006/relationships/hyperlink" Target="http://journal.ksae.org/_common/do.php?a=full&amp;b=22&amp;bidx=4273&amp;aidx=47352" TargetMode="External"/><Relationship Id="rId22" Type="http://schemas.openxmlformats.org/officeDocument/2006/relationships/hyperlink" Target="https://dig.watch/updates/ntsb-published-results-its-investigation-2018-tesla-car-accident" TargetMode="External"/><Relationship Id="rId44" Type="http://schemas.openxmlformats.org/officeDocument/2006/relationships/hyperlink" Target="https://www.abi.org.uk/globalassets/files/publications/public/motor/2019/defining-safe-automation-technical-document-aug-2019.pdf" TargetMode="External"/><Relationship Id="rId21" Type="http://schemas.openxmlformats.org/officeDocument/2006/relationships/hyperlink" Target="https://www.ntsb.gov/investigations/Pages/HWY18FH011.aspx" TargetMode="External"/><Relationship Id="rId43" Type="http://schemas.openxmlformats.org/officeDocument/2006/relationships/hyperlink" Target="https://www.sae.org/standards/j3197_202107-automated-driving-system-data-logger" TargetMode="External"/><Relationship Id="rId24" Type="http://schemas.openxmlformats.org/officeDocument/2006/relationships/hyperlink" Target="https://www.cccis.com/reports/crash-course-2025/q2" TargetMode="External"/><Relationship Id="rId46" Type="http://schemas.openxmlformats.org/officeDocument/2006/relationships/hyperlink" Target="https://www.adt.media/autonomous-driving-systems/what-is-the-legal-situation-regarding-autonomous-driving/1596970" TargetMode="External"/><Relationship Id="rId23" Type="http://schemas.openxmlformats.org/officeDocument/2006/relationships/hyperlink" Target="https://downloads.regulations.gov/NHTSA-2025-0325-0004/attachment_9.pdf" TargetMode="External"/><Relationship Id="rId45" Type="http://schemas.openxmlformats.org/officeDocument/2006/relationships/hyperlink" Target="https://news.thatcham.org/thatcham-research-comments-on-latest-automated-vehicles-consult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urwitzfine.com/blog/liability-for-defective-advanced-driver-assistance-systems" TargetMode="External"/><Relationship Id="rId26" Type="http://schemas.openxmlformats.org/officeDocument/2006/relationships/hyperlink" Target="https://autocrypt.io/edr-dssad-vehicle-accident-analysis-tools/" TargetMode="External"/><Relationship Id="rId25" Type="http://schemas.openxmlformats.org/officeDocument/2006/relationships/hyperlink" Target="https://www.autobodynews.com/news/new-whitepaper-finds-precise-adas-calibrations-key-to-safety" TargetMode="External"/><Relationship Id="rId28" Type="http://schemas.openxmlformats.org/officeDocument/2006/relationships/hyperlink" Target="https://www.simeonemiller.com/blog/how-advanced-driver-assistance-systems-adas-affect-liability-in-auto-accidents/" TargetMode="External"/><Relationship Id="rId27" Type="http://schemas.openxmlformats.org/officeDocument/2006/relationships/hyperlink" Target="https://www.revvhq.com/ebooks/adas-calibration-industry-benchmark-report-2025" TargetMode="External"/><Relationship Id="rId5" Type="http://schemas.openxmlformats.org/officeDocument/2006/relationships/styles" Target="styles.xml"/><Relationship Id="rId6" Type="http://schemas.openxmlformats.org/officeDocument/2006/relationships/hyperlink" Target="https://www.researchgate.net/publication/392884508_Autonomous_Vehicles_Legal_Governance_of_Civil_Liability_Risks" TargetMode="External"/><Relationship Id="rId29" Type="http://schemas.openxmlformats.org/officeDocument/2006/relationships/hyperlink" Target="https://www.mdpi.com/2032-6653/16/12/665" TargetMode="External"/><Relationship Id="rId7" Type="http://schemas.openxmlformats.org/officeDocument/2006/relationships/hyperlink" Target="https://academic.oup.com/policyandsociety/article/40/2/250/6509329" TargetMode="External"/><Relationship Id="rId8" Type="http://schemas.openxmlformats.org/officeDocument/2006/relationships/hyperlink" Target="https://tflcar.com/2025/03/how-advanced-driver-assistance-systems-adas-impact-liability/" TargetMode="External"/><Relationship Id="rId31" Type="http://schemas.openxmlformats.org/officeDocument/2006/relationships/hyperlink" Target="https://www.reedsmith.com/articles/the-new-eu-product-liability-key-implications-autonomous-vehicle/" TargetMode="External"/><Relationship Id="rId30" Type="http://schemas.openxmlformats.org/officeDocument/2006/relationships/hyperlink" Target="https://insuralex.com/civil-liability-accidents-caused-autonomous-vehicles-adas/" TargetMode="External"/><Relationship Id="rId11" Type="http://schemas.openxmlformats.org/officeDocument/2006/relationships/hyperlink" Target="https://en.wikipedia.org/wiki/Advanced_driver-assistance_system" TargetMode="External"/><Relationship Id="rId33" Type="http://schemas.openxmlformats.org/officeDocument/2006/relationships/hyperlink" Target="https://www.insurancebusinessmag.com/uk/news/auto-motor/who-pays-when-noone-drives-uk-insurers-prepare-for-autonomous-liability-shakeup-564548.aspx" TargetMode="External"/><Relationship Id="rId10" Type="http://schemas.openxmlformats.org/officeDocument/2006/relationships/hyperlink" Target="https://www.network-industries.org/wp-content/uploads/2019/07/Liability-and-automation-legal-issues-in-autonomous-cars.pdf" TargetMode="External"/><Relationship Id="rId32" Type="http://schemas.openxmlformats.org/officeDocument/2006/relationships/hyperlink" Target="https://www.gov.uk/government/calls-for-evidence/automated-vehicles-statement-of-safety-principles/automated-vehicles-statement-of-safety-principles" TargetMode="External"/><Relationship Id="rId13" Type="http://schemas.openxmlformats.org/officeDocument/2006/relationships/hyperlink" Target="https://www.motor.com/2026/01/adas-sensors-fmvss-shop-liability/" TargetMode="External"/><Relationship Id="rId35" Type="http://schemas.openxmlformats.org/officeDocument/2006/relationships/hyperlink" Target="https://www.hfw.com/app/uploads/2024/07/006179-HFW-UKs-Automated-Vehicles-Act-2024.pdf" TargetMode="External"/><Relationship Id="rId12" Type="http://schemas.openxmlformats.org/officeDocument/2006/relationships/hyperlink" Target="https://users.ece.cmu.edu/~koopman/j3016/" TargetMode="External"/><Relationship Id="rId34" Type="http://schemas.openxmlformats.org/officeDocument/2006/relationships/hyperlink" Target="https://www.legislation.gov.uk/ukpga/2024/10/contents" TargetMode="External"/><Relationship Id="rId15" Type="http://schemas.openxmlformats.org/officeDocument/2006/relationships/hyperlink" Target="https://www.ntsb.gov/investigations/Pages/HWY18FH004.aspx" TargetMode="External"/><Relationship Id="rId37" Type="http://schemas.openxmlformats.org/officeDocument/2006/relationships/hyperlink" Target="https://www.bmv.de/SharedDocs/EN/Articles/DG/act-on-autonomous-driving.html" TargetMode="External"/><Relationship Id="rId14" Type="http://schemas.openxmlformats.org/officeDocument/2006/relationships/hyperlink" Target="https://group.mercedes-benz.com/technology/autonomous-driving/driving/legal-framework.html" TargetMode="External"/><Relationship Id="rId36" Type="http://schemas.openxmlformats.org/officeDocument/2006/relationships/hyperlink" Target="https://www.taylorwessing.com/en/insights-and-events/insights/2026/02/legal-frameworks-for-autonomous-driving-and-teledriving" TargetMode="External"/><Relationship Id="rId17" Type="http://schemas.openxmlformats.org/officeDocument/2006/relationships/hyperlink" Target="https://www.eckertseamans.com/legal-updates/ntsb-shares-investigation-findings-and-recommendations-regarding-march-2018-uber-atg-fatality" TargetMode="External"/><Relationship Id="rId39" Type="http://schemas.openxmlformats.org/officeDocument/2006/relationships/hyperlink" Target="https://www.twobirds.com/en/insights/2026/germany/teleoperiertes-fahren-straenverkehr-fernlenk-verordnung-(stvfernlv)-seit-dezember-2025-in-kraft" TargetMode="External"/><Relationship Id="rId16" Type="http://schemas.openxmlformats.org/officeDocument/2006/relationships/hyperlink" Target="https://resources.sw.siemens.com/es-MX/white-paper-developing-trustworthy-adas-and-av-technologies/" TargetMode="External"/><Relationship Id="rId38" Type="http://schemas.openxmlformats.org/officeDocument/2006/relationships/hyperlink" Target="https://www.gleisslutz.com/en/know-how/new-legal-rules-automated-driving" TargetMode="External"/><Relationship Id="rId19" Type="http://schemas.openxmlformats.org/officeDocument/2006/relationships/hyperlink" Target="https://en.wikipedia.org/wiki/Automated_lane_keeping_systems" TargetMode="External"/><Relationship Id="rId18" Type="http://schemas.openxmlformats.org/officeDocument/2006/relationships/hyperlink" Target="https://www.youtube.com/watch?v=tBZrYp3z8G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