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5D421">
      <w:pPr>
        <w:spacing w:before="315" w:after="105" w:line="360" w:lineRule="auto"/>
        <w:ind w:left="-30"/>
        <w:jc w:val="left"/>
      </w:pPr>
      <w:bookmarkStart w:id="0" w:name="机器学习_深度学习在材料元素组合配比优化中的研究进展与产业化前景"/>
      <w:r>
        <w:rPr>
          <w:rFonts w:ascii="inter" w:hAnsi="inter" w:eastAsia="inter" w:cs="inter"/>
          <w:b/>
          <w:color w:val="000000"/>
          <w:sz w:val="24"/>
        </w:rPr>
        <w:t>机器学习/深度学习在材料元素组合配比优化中的研究进展与产业化前景</w:t>
      </w:r>
      <w:bookmarkEnd w:id="0"/>
    </w:p>
    <w:p w14:paraId="45179BFC">
      <w:pPr>
        <w:spacing w:before="315" w:after="105" w:line="360" w:lineRule="auto"/>
        <w:ind w:left="-30"/>
        <w:jc w:val="left"/>
      </w:pPr>
      <w:bookmarkStart w:id="1" w:name="bm_1_研究进展与应用现状概述"/>
      <w:r>
        <w:rPr>
          <w:rFonts w:ascii="inter" w:hAnsi="inter" w:eastAsia="inter" w:cs="inter"/>
          <w:b/>
          <w:color w:val="000000"/>
          <w:sz w:val="24"/>
        </w:rPr>
        <w:t>1. 研究进展与应用现状概述</w:t>
      </w:r>
      <w:bookmarkEnd w:id="1"/>
    </w:p>
    <w:p w14:paraId="14DA0C34">
      <w:pPr>
        <w:spacing w:before="315" w:after="105" w:line="360" w:lineRule="auto"/>
        <w:ind w:left="-30"/>
        <w:jc w:val="left"/>
      </w:pPr>
      <w:bookmarkStart w:id="2" w:name="bm_1_1_主要研究方向与关键技术突破"/>
      <w:r>
        <w:rPr>
          <w:rFonts w:ascii="inter" w:hAnsi="inter" w:eastAsia="inter" w:cs="inter"/>
          <w:b/>
          <w:color w:val="000000"/>
          <w:sz w:val="24"/>
        </w:rPr>
        <w:t>1.1 主要研究方向与关键技术突破</w:t>
      </w:r>
      <w:bookmarkEnd w:id="2"/>
    </w:p>
    <w:p w14:paraId="2A4B12F4">
      <w:pPr>
        <w:spacing w:after="210" w:line="360" w:lineRule="auto"/>
      </w:pPr>
      <w:r>
        <w:rPr>
          <w:rFonts w:ascii="inter" w:hAnsi="inter" w:eastAsia="inter" w:cs="inter"/>
          <w:color w:val="000000"/>
        </w:rPr>
        <w:t>机器学习和深度学习在材料配比优化领域的研究进展已进入高速发展阶段，形成了多个相互补充的研究方向。当前的核心技术突破主要集中在三个方面：</w:t>
      </w:r>
    </w:p>
    <w:p w14:paraId="0B3F5460">
      <w:pPr>
        <w:spacing w:after="210" w:line="360" w:lineRule="auto"/>
      </w:pPr>
      <w:r>
        <w:rPr>
          <w:rFonts w:ascii="inter" w:hAnsi="inter" w:eastAsia="inter" w:cs="inter"/>
          <w:b/>
          <w:color w:val="000000"/>
        </w:rPr>
        <w:t>数据驱动的材料发现</w:t>
      </w:r>
      <w:r>
        <w:rPr>
          <w:rFonts w:ascii="inter" w:hAnsi="inter" w:eastAsia="inter" w:cs="inter"/>
          <w:color w:val="000000"/>
        </w:rPr>
        <w:t>——通过大规模DFT计算生成的材料数据库（如Materials Project、AFLOW、OQMD），结合机器学习模型进行高通量筛选，已实现从纳秒级预测到微秒级甚至更快的性能计算。例如，Google DeepMind的GNoME系统在一次运行中发现了2.2百万个新的晶体结构，其中380,000个被认为是热力学稳定的。相比之下，传统材料研究在过去数十年中仅发现了约48,000个计算稳定的晶体。</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8BF55E9">
      <w:pPr>
        <w:spacing w:after="210" w:line="360" w:lineRule="auto"/>
      </w:pPr>
      <w:r>
        <w:rPr>
          <w:rFonts w:ascii="inter" w:hAnsi="inter" w:eastAsia="inter" w:cs="inter"/>
          <w:b/>
          <w:color w:val="000000"/>
        </w:rPr>
        <w:t>生成式模型的应用</w:t>
      </w:r>
      <w:r>
        <w:rPr>
          <w:rFonts w:ascii="inter" w:hAnsi="inter" w:eastAsia="inter" w:cs="inter"/>
          <w:color w:val="000000"/>
        </w:rPr>
        <w:t>——从VAE、GAN到最新的扩散模型，生成式模型已实现从零开始的新材料设计。Microsoft Research和Google DeepMind联合开发的MatterGen模型展示了在受约束条件下生成新材料的能力，生成的结构与局部能量极小值的距离比先前模型减少了15倍。</w:t>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7" w:name="fnref5"/>
      <w:bookmarkEnd w:id="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58DC14B8">
      <w:pPr>
        <w:spacing w:after="210" w:line="360" w:lineRule="auto"/>
      </w:pPr>
      <w:r>
        <w:rPr>
          <w:rFonts w:ascii="inter" w:hAnsi="inter" w:eastAsia="inter" w:cs="inter"/>
          <w:b/>
          <w:color w:val="000000"/>
        </w:rPr>
        <w:t>多目标优化框架</w:t>
      </w:r>
      <w:r>
        <w:rPr>
          <w:rFonts w:ascii="inter" w:hAnsi="inter" w:eastAsia="inter" w:cs="inter"/>
          <w:color w:val="000000"/>
        </w:rPr>
        <w:t>——通过结合机器学习模型与多目标优化算法（MOEA、贝叶斯优化），已能同时优化多个相互制约的性能指标。例如，在高熵合金设计中，研究者成功预测并实验验证了同时具有高饱和磁化强度和硬度的合金组合。</w:t>
      </w:r>
      <w:bookmarkStart w:id="8" w:name="fnref6"/>
      <w:bookmarkEnd w:id="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1043B020">
      <w:pPr>
        <w:spacing w:before="315" w:after="105" w:line="360" w:lineRule="auto"/>
        <w:ind w:left="-30"/>
        <w:jc w:val="left"/>
      </w:pPr>
      <w:bookmarkStart w:id="9" w:name="bm_1_2_不同材料类型中的应用范围"/>
      <w:r>
        <w:rPr>
          <w:rFonts w:ascii="inter" w:hAnsi="inter" w:eastAsia="inter" w:cs="inter"/>
          <w:b/>
          <w:color w:val="000000"/>
          <w:sz w:val="24"/>
        </w:rPr>
        <w:t>1.2 不同材料类型中的应用范围</w:t>
      </w:r>
      <w:bookmarkEnd w:id="9"/>
    </w:p>
    <w:p w14:paraId="04B74259">
      <w:pPr>
        <w:spacing w:after="210" w:line="360" w:lineRule="auto"/>
      </w:pPr>
      <w:r>
        <w:rPr>
          <w:rFonts w:ascii="inter" w:hAnsi="inter" w:eastAsia="inter" w:cs="inter"/>
          <w:b/>
          <w:color w:val="000000"/>
        </w:rPr>
        <w:t>合金材料</w:t>
      </w:r>
      <w:r>
        <w:rPr>
          <w:rFonts w:ascii="inter" w:hAnsi="inter" w:eastAsia="inter" w:cs="inter"/>
          <w:color w:val="000000"/>
        </w:rPr>
        <w:t>：高熵合金（HEA）和耐火高熵合金（RHEA）的设计已成为该领域最成熟的应用。研究表明，通过机器学习框架结合多目标优化，可以从1.31百万个虚拟样本空间中发现新的高性能合金组合，并通过实验验证其优越的机械性能。典型案例包括：在1000°C优化的RHEA组合中，Mo和V的浓度显著增加，而Nb、Ti和Zr的浓度降低，实验验证显示室温和高温屈服强度均有提升。</w:t>
      </w:r>
      <w:bookmarkStart w:id="10" w:name="fnref7"/>
      <w:bookmarkEnd w:id="1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1" w:name="fnref6_1"/>
      <w:bookmarkEnd w:id="1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DA72C61">
      <w:pPr>
        <w:spacing w:after="210" w:line="360" w:lineRule="auto"/>
      </w:pPr>
      <w:r>
        <w:rPr>
          <w:rFonts w:ascii="inter" w:hAnsi="inter" w:eastAsia="inter" w:cs="inter"/>
          <w:b/>
          <w:color w:val="000000"/>
        </w:rPr>
        <w:t>陶瓷及复杂氧化物材料</w:t>
      </w:r>
      <w:r>
        <w:rPr>
          <w:rFonts w:ascii="inter" w:hAnsi="inter" w:eastAsia="inter" w:cs="inter"/>
          <w:color w:val="000000"/>
        </w:rPr>
        <w:t>：对于复杂的陶瓷系统，基于GNN的方法已能准确预测晶体结构和电子性质。在高熵氮化物涂层设计中，通过机器学习预测硬度和杨氏模量，结合多目标优化，成功制备了同时具有高硬度和低杨氏模量的新型涂层。</w:t>
      </w:r>
      <w:bookmarkStart w:id="12" w:name="fnref6_2"/>
      <w:bookmarkEnd w:id="1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EEAB865">
      <w:pPr>
        <w:spacing w:after="210" w:line="360" w:lineRule="auto"/>
      </w:pPr>
      <w:r>
        <w:rPr>
          <w:rFonts w:ascii="inter" w:hAnsi="inter" w:eastAsia="inter" w:cs="inter"/>
          <w:b/>
          <w:color w:val="000000"/>
        </w:rPr>
        <w:t>聚合物及复合材料</w:t>
      </w:r>
      <w:r>
        <w:rPr>
          <w:rFonts w:ascii="inter" w:hAnsi="inter" w:eastAsia="inter" w:cs="inter"/>
          <w:color w:val="000000"/>
        </w:rPr>
        <w:t>：机器学习在聚合物配比优化中的应用包括神经网络、支持向量机和随机森林等传统方法的应用，用于预测复杂配方的性能。通过贝叶斯优化与3D打印材料配方的迭代调整，已能在三次迭代内找到优化配方。</w:t>
      </w:r>
      <w:bookmarkStart w:id="13" w:name="fnref8"/>
      <w:bookmarkEnd w:id="1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BACED48">
      <w:pPr>
        <w:spacing w:after="210" w:line="360" w:lineRule="auto"/>
      </w:pPr>
      <w:r>
        <w:rPr>
          <w:rFonts w:ascii="inter" w:hAnsi="inter" w:eastAsia="inter" w:cs="inter"/>
          <w:b/>
          <w:color w:val="000000"/>
        </w:rPr>
        <w:t>钎焊材料与功能材料</w:t>
      </w:r>
      <w:r>
        <w:rPr>
          <w:rFonts w:ascii="inter" w:hAnsi="inter" w:eastAsia="inter" w:cs="inter"/>
          <w:color w:val="000000"/>
        </w:rPr>
        <w:t>：对Cu-Ag-Zn-Mn-Ni-Si-B-P钎焊材料的多目标优化案例中，通过机器学习策略的三次迭代实验验证，发现了具有高接头强度和大扩展面积的最优配方，并通过回归模型与迭代优化的耦合实现了连续改进。</w:t>
      </w:r>
      <w:bookmarkStart w:id="14" w:name="fnref6_3"/>
      <w:bookmarkEnd w:id="1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3286604">
      <w:pPr>
        <w:spacing w:before="315" w:after="105" w:line="360" w:lineRule="auto"/>
        <w:ind w:left="-30"/>
        <w:jc w:val="left"/>
      </w:pPr>
      <w:bookmarkStart w:id="15" w:name="bm_2_活跃研究课题组及其研究方向"/>
      <w:r>
        <w:rPr>
          <w:rFonts w:ascii="inter" w:hAnsi="inter" w:eastAsia="inter" w:cs="inter"/>
          <w:b/>
          <w:color w:val="000000"/>
          <w:sz w:val="24"/>
        </w:rPr>
        <w:t>2. 活跃研究课题组及其研究方向</w:t>
      </w:r>
      <w:bookmarkEnd w:id="15"/>
    </w:p>
    <w:p w14:paraId="46FDA7FD">
      <w:pPr>
        <w:spacing w:before="315" w:after="105" w:line="360" w:lineRule="auto"/>
        <w:ind w:left="-30"/>
        <w:jc w:val="left"/>
      </w:pPr>
      <w:bookmarkStart w:id="16" w:name="bm_2_1_materials_project团队_lawren_54e83d"/>
      <w:r>
        <w:rPr>
          <w:rFonts w:ascii="inter" w:hAnsi="inter" w:eastAsia="inter" w:cs="inter"/>
          <w:b/>
          <w:color w:val="000000"/>
          <w:sz w:val="24"/>
        </w:rPr>
        <w:t>2.1 Materials Project团队（Lawrence Berkeley National Lab）</w:t>
      </w:r>
      <w:bookmarkEnd w:id="16"/>
    </w:p>
    <w:p w14:paraId="6A9D8C01">
      <w:pPr>
        <w:spacing w:after="210" w:line="360" w:lineRule="auto"/>
      </w:pPr>
      <w:r>
        <w:rPr>
          <w:rFonts w:ascii="inter" w:hAnsi="inter" w:eastAsia="inter" w:cs="inter"/>
          <w:b/>
          <w:color w:val="000000"/>
        </w:rPr>
        <w:t>研究核心</w:t>
      </w:r>
      <w:r>
        <w:rPr>
          <w:rFonts w:ascii="inter" w:hAnsi="inter" w:eastAsia="inter" w:cs="inter"/>
          <w:color w:val="000000"/>
        </w:rPr>
        <w:t>：由Kristin Persson领导的Materials Project是全球最具影响力的材料数据库与计算材料学平台。该项目的主要聚焦点包括：</w:t>
      </w:r>
    </w:p>
    <w:p w14:paraId="53EDB3B1">
      <w:pPr>
        <w:numPr>
          <w:ilvl w:val="0"/>
          <w:numId w:val="1"/>
        </w:numPr>
        <w:spacing w:before="105" w:after="105" w:line="360" w:lineRule="auto"/>
      </w:pPr>
      <w:r>
        <w:rPr>
          <w:rFonts w:ascii="inter" w:hAnsi="inter" w:eastAsia="inter" w:cs="inter"/>
          <w:color w:val="000000"/>
          <w:sz w:val="21"/>
        </w:rPr>
        <w:t>建立包含超过178,627种材料的高质量DFT数据库，覆盖228个空间群和大部分元素空间。</w:t>
      </w:r>
      <w:bookmarkStart w:id="17" w:name="fnref9"/>
      <w:bookmarkEnd w:id="17"/>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457BF5EB">
      <w:pPr>
        <w:numPr>
          <w:ilvl w:val="0"/>
          <w:numId w:val="1"/>
        </w:numPr>
        <w:spacing w:before="105" w:after="105" w:line="360" w:lineRule="auto"/>
      </w:pPr>
      <w:r>
        <w:rPr>
          <w:rFonts w:ascii="inter" w:hAnsi="inter" w:eastAsia="inter" w:cs="inter"/>
          <w:color w:val="000000"/>
          <w:sz w:val="21"/>
        </w:rPr>
        <w:t>开发并维护pymatgen和Fireworks等广泛应用的开源软件，支持高通量计算工作流。</w:t>
      </w:r>
      <w:bookmarkStart w:id="18" w:name="fnref10"/>
      <w:bookmarkEnd w:id="18"/>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090E9875">
      <w:pPr>
        <w:numPr>
          <w:ilvl w:val="0"/>
          <w:numId w:val="1"/>
        </w:numPr>
        <w:spacing w:before="105" w:after="105" w:line="360" w:lineRule="auto"/>
      </w:pPr>
      <w:r>
        <w:rPr>
          <w:rFonts w:ascii="inter" w:hAnsi="inter" w:eastAsia="inter" w:cs="inter"/>
          <w:color w:val="000000"/>
          <w:sz w:val="21"/>
        </w:rPr>
        <w:t>在电池材料、热电材料、光催化材料等能源相关领域的应用研究，已有超过200,000注册用户。</w:t>
      </w:r>
      <w:bookmarkStart w:id="19" w:name="fnref11"/>
      <w:bookmarkEnd w:id="19"/>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72F7CA01">
      <w:pPr>
        <w:spacing w:after="210" w:line="360" w:lineRule="auto"/>
      </w:pPr>
      <w:r>
        <w:rPr>
          <w:rFonts w:ascii="inter" w:hAnsi="inter" w:eastAsia="inter" w:cs="inter"/>
          <w:b/>
          <w:color w:val="000000"/>
        </w:rPr>
        <w:t>贡献特色</w:t>
      </w:r>
      <w:r>
        <w:rPr>
          <w:rFonts w:ascii="inter" w:hAnsi="inter" w:eastAsia="inter" w:cs="inter"/>
          <w:color w:val="000000"/>
        </w:rPr>
        <w:t>：通过与Anubhav Jain领导的Hacking Materials研究组合作，该团队在应用自然语言处理从数百万篇科学文献中提取材料知识方面取得突破，为数据驱动的材料设计提供了前所未有的知识基础。</w:t>
      </w:r>
      <w:bookmarkStart w:id="20" w:name="fnref12"/>
      <w:bookmarkEnd w:id="2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1" w:name="fnref13"/>
      <w:bookmarkEnd w:id="2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0CDC1EE1">
      <w:pPr>
        <w:spacing w:before="315" w:after="105" w:line="360" w:lineRule="auto"/>
        <w:ind w:left="-30"/>
        <w:jc w:val="left"/>
      </w:pPr>
      <w:bookmarkStart w:id="22" w:name="bm_2_2_northwestern_university_ch_3a1273"/>
      <w:r>
        <w:rPr>
          <w:rFonts w:ascii="inter" w:hAnsi="inter" w:eastAsia="inter" w:cs="inter"/>
          <w:b/>
          <w:color w:val="000000"/>
          <w:sz w:val="24"/>
        </w:rPr>
        <w:t>2.2 Northwestern University - Chris Wolverton研究组</w:t>
      </w:r>
      <w:bookmarkEnd w:id="22"/>
    </w:p>
    <w:p w14:paraId="23F4B15E">
      <w:pPr>
        <w:spacing w:after="210" w:line="360" w:lineRule="auto"/>
      </w:pPr>
      <w:r>
        <w:rPr>
          <w:rFonts w:ascii="inter" w:hAnsi="inter" w:eastAsia="inter" w:cs="inter"/>
          <w:b/>
          <w:color w:val="000000"/>
        </w:rPr>
        <w:t>研究核心</w:t>
      </w:r>
      <w:r>
        <w:rPr>
          <w:rFonts w:ascii="inter" w:hAnsi="inter" w:eastAsia="inter" w:cs="inter"/>
          <w:color w:val="000000"/>
        </w:rPr>
        <w:t>：Chris Wolverton是开放量子材料数据库（OQMD）的创始人和OQMD包含约297,000个DFT计算结构，涵盖90多种元素。该研究组的主要特色包括：</w:t>
      </w:r>
      <w:bookmarkStart w:id="23" w:name="fnref14"/>
      <w:bookmarkEnd w:id="2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573564D8">
      <w:pPr>
        <w:numPr>
          <w:ilvl w:val="0"/>
          <w:numId w:val="2"/>
        </w:numPr>
        <w:spacing w:before="105" w:after="105" w:line="360" w:lineRule="auto"/>
      </w:pPr>
      <w:r>
        <w:rPr>
          <w:rFonts w:ascii="inter" w:hAnsi="inter" w:eastAsia="inter" w:cs="inter"/>
          <w:color w:val="000000"/>
          <w:sz w:val="21"/>
        </w:rPr>
        <w:t>在氢存储材料、轻金属合金和相稳定性预测方面的深入研究。</w:t>
      </w:r>
      <w:bookmarkStart w:id="24" w:name="fnref15"/>
      <w:bookmarkEnd w:id="24"/>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6ABE37F7">
      <w:pPr>
        <w:numPr>
          <w:ilvl w:val="0"/>
          <w:numId w:val="2"/>
        </w:numPr>
        <w:spacing w:before="105" w:after="105" w:line="360" w:lineRule="auto"/>
      </w:pPr>
      <w:r>
        <w:rPr>
          <w:rFonts w:ascii="inter" w:hAnsi="inter" w:eastAsia="inter" w:cs="inter"/>
          <w:color w:val="000000"/>
          <w:sz w:val="21"/>
        </w:rPr>
        <w:t>开发了高通量DFT计算的标准化流程和验证方法，确保数据可靠性。</w:t>
      </w:r>
      <w:bookmarkStart w:id="25" w:name="fnref16"/>
      <w:bookmarkEnd w:id="25"/>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2FA22589">
      <w:pPr>
        <w:numPr>
          <w:ilvl w:val="0"/>
          <w:numId w:val="2"/>
        </w:numPr>
        <w:spacing w:before="105" w:after="105" w:line="360" w:lineRule="auto"/>
      </w:pPr>
      <w:r>
        <w:rPr>
          <w:rFonts w:ascii="inter" w:hAnsi="inter" w:eastAsia="inter" w:cs="inter"/>
          <w:color w:val="000000"/>
          <w:sz w:val="21"/>
        </w:rPr>
        <w:t>与材料学界建立了广泛的合作网络，推动计算结果向产业应用转化。</w:t>
      </w:r>
    </w:p>
    <w:p w14:paraId="04C479D4">
      <w:pPr>
        <w:spacing w:after="210" w:line="360" w:lineRule="auto"/>
      </w:pPr>
      <w:r>
        <w:rPr>
          <w:rFonts w:ascii="inter" w:hAnsi="inter" w:eastAsia="inter" w:cs="inter"/>
          <w:b/>
          <w:color w:val="000000"/>
        </w:rPr>
        <w:t>贡献特色</w:t>
      </w:r>
      <w:r>
        <w:rPr>
          <w:rFonts w:ascii="inter" w:hAnsi="inter" w:eastAsia="inter" w:cs="inter"/>
          <w:color w:val="000000"/>
        </w:rPr>
        <w:t>：Wolverton在2025年获得美国MRS材料理论奖，认可了他在ab initio材料预测方法和高通量计算方法方面的卓越贡献。</w:t>
      </w:r>
      <w:bookmarkStart w:id="26" w:name="fnref17"/>
      <w:bookmarkEnd w:id="26"/>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04C9CB5E">
      <w:pPr>
        <w:spacing w:before="315" w:after="105" w:line="360" w:lineRule="auto"/>
        <w:ind w:left="-30"/>
        <w:jc w:val="left"/>
      </w:pPr>
      <w:bookmarkStart w:id="27" w:name="bm_2_3_ucsd_shyue_ping_ong研究组_mat_f44c82"/>
      <w:r>
        <w:rPr>
          <w:rFonts w:ascii="inter" w:hAnsi="inter" w:eastAsia="inter" w:cs="inter"/>
          <w:b/>
          <w:color w:val="000000"/>
          <w:sz w:val="24"/>
        </w:rPr>
        <w:t>2.3 UCSD - Shyue Ping Ong研究组（Materials Virtual Lab）</w:t>
      </w:r>
      <w:bookmarkEnd w:id="27"/>
    </w:p>
    <w:p w14:paraId="6A35B40E">
      <w:pPr>
        <w:spacing w:after="210" w:line="360" w:lineRule="auto"/>
      </w:pPr>
      <w:r>
        <w:rPr>
          <w:rFonts w:ascii="inter" w:hAnsi="inter" w:eastAsia="inter" w:cs="inter"/>
          <w:b/>
          <w:color w:val="000000"/>
        </w:rPr>
        <w:t>研究核心</w:t>
      </w:r>
      <w:r>
        <w:rPr>
          <w:rFonts w:ascii="inter" w:hAnsi="inter" w:eastAsia="inter" w:cs="inter"/>
          <w:color w:val="000000"/>
        </w:rPr>
        <w:t>：该研究组在材料信息学领域具有领先地位，特别是在图神经网络的应用方面：</w:t>
      </w:r>
    </w:p>
    <w:p w14:paraId="3A77896D">
      <w:pPr>
        <w:numPr>
          <w:ilvl w:val="0"/>
          <w:numId w:val="3"/>
        </w:numPr>
        <w:spacing w:before="105" w:after="105" w:line="360" w:lineRule="auto"/>
      </w:pPr>
      <w:r>
        <w:rPr>
          <w:rFonts w:ascii="inter" w:hAnsi="inter" w:eastAsia="inter" w:cs="inter"/>
          <w:color w:val="000000"/>
          <w:sz w:val="21"/>
        </w:rPr>
        <w:t>在2019年与Chi Chen共同发表的工作证明了GNN可用于准确预测分子和晶体的性质，并学习元素嵌入以编码周期化学趋势。</w:t>
      </w:r>
      <w:bookmarkStart w:id="28" w:name="fnref18"/>
      <w:bookmarkEnd w:id="28"/>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33FBDBDF">
      <w:pPr>
        <w:numPr>
          <w:ilvl w:val="0"/>
          <w:numId w:val="3"/>
        </w:numPr>
        <w:spacing w:before="105" w:after="105" w:line="360" w:lineRule="auto"/>
      </w:pPr>
      <w:r>
        <w:rPr>
          <w:rFonts w:ascii="inter" w:hAnsi="inter" w:eastAsia="inter" w:cs="inter"/>
          <w:color w:val="000000"/>
          <w:sz w:val="21"/>
        </w:rPr>
        <w:t>开发了pymatgen工具，使数千名研究人员能够进行高效的材料计算和数据分析。</w:t>
      </w:r>
      <w:bookmarkStart w:id="29" w:name="fnref18_1"/>
      <w:bookmarkEnd w:id="29"/>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3573B1C0">
      <w:pPr>
        <w:numPr>
          <w:ilvl w:val="0"/>
          <w:numId w:val="3"/>
        </w:numPr>
        <w:spacing w:before="105" w:after="105" w:line="360" w:lineRule="auto"/>
      </w:pPr>
      <w:r>
        <w:rPr>
          <w:rFonts w:ascii="inter" w:hAnsi="inter" w:eastAsia="inter" w:cs="inter"/>
          <w:color w:val="000000"/>
          <w:sz w:val="21"/>
        </w:rPr>
        <w:t>在碱金属离子电池、固态照明材料和高熵材料领域的发现应用。</w:t>
      </w:r>
      <w:bookmarkStart w:id="30" w:name="fnref18_2"/>
      <w:bookmarkEnd w:id="30"/>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2EFCAD83">
      <w:pPr>
        <w:spacing w:after="210" w:line="360" w:lineRule="auto"/>
      </w:pPr>
      <w:r>
        <w:rPr>
          <w:rFonts w:ascii="inter" w:hAnsi="inter" w:eastAsia="inter" w:cs="inter"/>
          <w:b/>
          <w:color w:val="000000"/>
        </w:rPr>
        <w:t>贡献特色</w:t>
      </w:r>
      <w:r>
        <w:rPr>
          <w:rFonts w:ascii="inter" w:hAnsi="inter" w:eastAsia="inter" w:cs="inter"/>
          <w:color w:val="000000"/>
        </w:rPr>
        <w:t>：强调开放数据和软件对民主化和可重复材料科学的重要性，推动了可再生能源和可持续性材料的发现。</w:t>
      </w:r>
      <w:bookmarkStart w:id="31" w:name="fnref19"/>
      <w:bookmarkEnd w:id="3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3989A64B">
      <w:pPr>
        <w:spacing w:before="315" w:after="105" w:line="360" w:lineRule="auto"/>
        <w:ind w:left="-30"/>
        <w:jc w:val="left"/>
      </w:pPr>
      <w:bookmarkStart w:id="32" w:name="bm_2_4_duke_university_stefano_cu_571c56"/>
      <w:r>
        <w:rPr>
          <w:rFonts w:ascii="inter" w:hAnsi="inter" w:eastAsia="inter" w:cs="inter"/>
          <w:b/>
          <w:color w:val="000000"/>
          <w:sz w:val="24"/>
        </w:rPr>
        <w:t>2.4 Duke University - Stefano Curtarolo研究组（AFLOW协作）</w:t>
      </w:r>
      <w:bookmarkEnd w:id="32"/>
    </w:p>
    <w:p w14:paraId="0576DA92">
      <w:pPr>
        <w:spacing w:after="210" w:line="360" w:lineRule="auto"/>
      </w:pPr>
      <w:r>
        <w:rPr>
          <w:rFonts w:ascii="inter" w:hAnsi="inter" w:eastAsia="inter" w:cs="inter"/>
          <w:b/>
          <w:color w:val="000000"/>
        </w:rPr>
        <w:t>研究核心</w:t>
      </w:r>
      <w:r>
        <w:rPr>
          <w:rFonts w:ascii="inter" w:hAnsi="inter" w:eastAsia="inter" w:cs="inter"/>
          <w:color w:val="000000"/>
        </w:rPr>
        <w:t>：开发并维护AFLOW高通量计算框架，现包含超过1.8百万个材料条目。该研究组的主要特色：</w:t>
      </w:r>
      <w:bookmarkStart w:id="33" w:name="fnref20"/>
      <w:bookmarkEnd w:id="33"/>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04C70F9B">
      <w:pPr>
        <w:numPr>
          <w:ilvl w:val="0"/>
          <w:numId w:val="4"/>
        </w:numPr>
        <w:spacing w:before="105" w:after="105" w:line="360" w:lineRule="auto"/>
      </w:pPr>
      <w:r>
        <w:rPr>
          <w:rFonts w:ascii="inter" w:hAnsi="inter" w:eastAsia="inter" w:cs="inter"/>
          <w:color w:val="000000"/>
          <w:sz w:val="21"/>
        </w:rPr>
        <w:t>建立了多个自动化计算模块，包括AFLOW-AGL（热学性质）、AFLOW-AEL（弹性性质）等。</w:t>
      </w:r>
      <w:bookmarkStart w:id="34" w:name="fnref20_1"/>
      <w:bookmarkEnd w:id="34"/>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6488E7EF">
      <w:pPr>
        <w:numPr>
          <w:ilvl w:val="0"/>
          <w:numId w:val="4"/>
        </w:numPr>
        <w:spacing w:before="105" w:after="105" w:line="360" w:lineRule="auto"/>
      </w:pPr>
      <w:r>
        <w:rPr>
          <w:rFonts w:ascii="inter" w:hAnsi="inter" w:eastAsia="inter" w:cs="inter"/>
          <w:color w:val="000000"/>
          <w:sz w:val="21"/>
        </w:rPr>
        <w:t>创新性地利用对称性和代表性结构装饰来扩展材料搜索空间。</w:t>
      </w:r>
      <w:bookmarkStart w:id="35" w:name="fnref21"/>
      <w:bookmarkEnd w:id="35"/>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240E32D6">
      <w:pPr>
        <w:numPr>
          <w:ilvl w:val="0"/>
          <w:numId w:val="4"/>
        </w:numPr>
        <w:spacing w:before="105" w:after="105" w:line="360" w:lineRule="auto"/>
      </w:pPr>
      <w:r>
        <w:rPr>
          <w:rFonts w:ascii="inter" w:hAnsi="inter" w:eastAsia="inter" w:cs="inter"/>
          <w:color w:val="000000"/>
          <w:sz w:val="21"/>
        </w:rPr>
        <w:t>在高通量数据生成、验证和传播中建立了行业标准。</w:t>
      </w:r>
      <w:bookmarkStart w:id="36" w:name="fnref16_1"/>
      <w:bookmarkEnd w:id="36"/>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756DF512">
      <w:pPr>
        <w:spacing w:after="210" w:line="360" w:lineRule="auto"/>
      </w:pPr>
      <w:r>
        <w:rPr>
          <w:rFonts w:ascii="inter" w:hAnsi="inter" w:eastAsia="inter" w:cs="inter"/>
          <w:b/>
          <w:color w:val="000000"/>
        </w:rPr>
        <w:t>贡献特色</w:t>
      </w:r>
      <w:r>
        <w:rPr>
          <w:rFonts w:ascii="inter" w:hAnsi="inter" w:eastAsia="inter" w:cs="inter"/>
          <w:color w:val="000000"/>
        </w:rPr>
        <w:t>：在结合第一性原理计算与机器学习方面的系统性工作，已成为国际高通量计算的参考范例。</w:t>
      </w:r>
      <w:bookmarkStart w:id="37" w:name="fnref20_2"/>
      <w:bookmarkEnd w:id="3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229201A8">
      <w:pPr>
        <w:spacing w:before="315" w:after="105" w:line="360" w:lineRule="auto"/>
        <w:ind w:left="-30"/>
        <w:jc w:val="left"/>
      </w:pPr>
      <w:bookmarkStart w:id="38" w:name="bm_2_5_吉林大学_jian_lv研究组"/>
      <w:r>
        <w:rPr>
          <w:rFonts w:ascii="inter" w:hAnsi="inter" w:eastAsia="inter" w:cs="inter"/>
          <w:b/>
          <w:color w:val="000000"/>
          <w:sz w:val="24"/>
        </w:rPr>
        <w:t>2.5 吉林大学-Jian Lv研究组</w:t>
      </w:r>
      <w:bookmarkEnd w:id="38"/>
    </w:p>
    <w:p w14:paraId="20488386">
      <w:pPr>
        <w:spacing w:after="210" w:line="360" w:lineRule="auto"/>
      </w:pPr>
      <w:r>
        <w:rPr>
          <w:rFonts w:ascii="inter" w:hAnsi="inter" w:eastAsia="inter" w:cs="inter"/>
          <w:b/>
          <w:color w:val="000000"/>
        </w:rPr>
        <w:t>研究核心</w:t>
      </w:r>
      <w:r>
        <w:rPr>
          <w:rFonts w:ascii="inter" w:hAnsi="inter" w:eastAsia="inter" w:cs="inter"/>
          <w:color w:val="000000"/>
        </w:rPr>
        <w:t>：在晶体结构预测方面具有重要贡献，特别是开发了利用对称性约束的生成模型：</w:t>
      </w:r>
    </w:p>
    <w:p w14:paraId="14C615D1">
      <w:pPr>
        <w:numPr>
          <w:ilvl w:val="0"/>
          <w:numId w:val="5"/>
        </w:numPr>
        <w:spacing w:before="105" w:after="105" w:line="360" w:lineRule="auto"/>
      </w:pPr>
      <w:r>
        <w:rPr>
          <w:rFonts w:ascii="inter" w:hAnsi="inter" w:eastAsia="inter" w:cs="inter"/>
          <w:color w:val="000000"/>
          <w:sz w:val="21"/>
        </w:rPr>
        <w:t>CrystalFormer模型显式利用空间群对称性进行晶体生成，通过Wyckoff位置的直接预测大幅降低晶体空间的有效复杂性。</w:t>
      </w:r>
      <w:bookmarkStart w:id="39" w:name="fnref22"/>
      <w:bookmarkEnd w:id="39"/>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p>
    <w:p w14:paraId="3E2520BC">
      <w:pPr>
        <w:numPr>
          <w:ilvl w:val="0"/>
          <w:numId w:val="5"/>
        </w:numPr>
        <w:spacing w:before="105" w:after="105" w:line="360" w:lineRule="auto"/>
      </w:pPr>
      <w:r>
        <w:rPr>
          <w:rFonts w:ascii="inter" w:hAnsi="inter" w:eastAsia="inter" w:cs="inter"/>
          <w:color w:val="000000"/>
          <w:sz w:val="21"/>
        </w:rPr>
        <w:t>开发了高效的全局结构搜索方法，已应用于极端条件和纳米尺度材料的结构预测。</w:t>
      </w:r>
      <w:bookmarkStart w:id="40" w:name="fnref23"/>
      <w:bookmarkEnd w:id="40"/>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4B5098BF">
      <w:pPr>
        <w:spacing w:after="210" w:line="360" w:lineRule="auto"/>
      </w:pPr>
      <w:r>
        <w:rPr>
          <w:rFonts w:ascii="inter" w:hAnsi="inter" w:eastAsia="inter" w:cs="inter"/>
          <w:b/>
          <w:color w:val="000000"/>
        </w:rPr>
        <w:t>贡献特色</w:t>
      </w:r>
      <w:r>
        <w:rPr>
          <w:rFonts w:ascii="inter" w:hAnsi="inter" w:eastAsia="inter" w:cs="inter"/>
          <w:color w:val="000000"/>
        </w:rPr>
        <w:t>：在利用晶体学基本约束进行数据高效生成模型设计方面的创新，为后续的结构预测研究奠定了基础。</w:t>
      </w:r>
    </w:p>
    <w:p w14:paraId="04FA0D7F">
      <w:pPr>
        <w:spacing w:before="315" w:after="105" w:line="360" w:lineRule="auto"/>
        <w:ind w:left="-30"/>
        <w:jc w:val="left"/>
      </w:pPr>
      <w:bookmarkStart w:id="41" w:name="bm_3_代表性已发表论文与关键案例"/>
      <w:r>
        <w:rPr>
          <w:rFonts w:ascii="inter" w:hAnsi="inter" w:eastAsia="inter" w:cs="inter"/>
          <w:b/>
          <w:color w:val="000000"/>
          <w:sz w:val="24"/>
        </w:rPr>
        <w:t>3. 代表性已发表论文与关键案例</w:t>
      </w:r>
      <w:bookmarkEnd w:id="41"/>
    </w:p>
    <w:p w14:paraId="16A7EC18">
      <w:pPr>
        <w:spacing w:before="315" w:after="105" w:line="360" w:lineRule="auto"/>
        <w:ind w:left="-30"/>
        <w:jc w:val="left"/>
      </w:pPr>
      <w:bookmarkStart w:id="42" w:name="bm_3_1_生成模型的突破"/>
      <w:r>
        <w:rPr>
          <w:rFonts w:ascii="inter" w:hAnsi="inter" w:eastAsia="inter" w:cs="inter"/>
          <w:b/>
          <w:color w:val="000000"/>
          <w:sz w:val="24"/>
        </w:rPr>
        <w:t>3.1 生成模型的突破</w:t>
      </w:r>
      <w:bookmarkEnd w:id="42"/>
    </w:p>
    <w:p w14:paraId="03BC835C">
      <w:pPr>
        <w:spacing w:after="210" w:line="360" w:lineRule="auto"/>
      </w:pPr>
      <w:r>
        <w:rPr>
          <w:rFonts w:ascii="inter" w:hAnsi="inter" w:eastAsia="inter" w:cs="inter"/>
          <w:b/>
          <w:color w:val="000000"/>
        </w:rPr>
        <w:t>MatterGen（Microsoft Research &amp; Google DeepMind, 2025）</w:t>
      </w:r>
      <w:r>
        <w:rPr>
          <w:rFonts w:ascii="inter" w:hAnsi="inter" w:eastAsia="inter" w:cs="inter"/>
          <w:color w:val="000000"/>
        </w:rPr>
        <w:t>：这是目前最先进的条件生成模型，采用扩散式生成过程逐步精化原子类型、坐标和周期晶胞参数。相较于先前模型：</w:t>
      </w:r>
      <w:bookmarkStart w:id="43" w:name="fnref5_1"/>
      <w:bookmarkEnd w:id="4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44" w:name="fnref4_1"/>
      <w:bookmarkEnd w:id="4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2AC89E3F">
      <w:pPr>
        <w:numPr>
          <w:ilvl w:val="0"/>
          <w:numId w:val="6"/>
        </w:numPr>
        <w:spacing w:before="105" w:after="105" w:line="360" w:lineRule="auto"/>
      </w:pPr>
      <w:r>
        <w:rPr>
          <w:rFonts w:ascii="inter" w:hAnsi="inter" w:eastAsia="inter" w:cs="inter"/>
          <w:color w:val="000000"/>
          <w:sz w:val="21"/>
        </w:rPr>
        <w:t>生成的结构中有超过两倍的新颖且稳定材料</w:t>
      </w:r>
    </w:p>
    <w:p w14:paraId="1CEEA781">
      <w:pPr>
        <w:numPr>
          <w:ilvl w:val="0"/>
          <w:numId w:val="6"/>
        </w:numPr>
        <w:spacing w:before="105" w:after="105" w:line="360" w:lineRule="auto"/>
      </w:pPr>
      <w:r>
        <w:rPr>
          <w:rFonts w:ascii="inter" w:hAnsi="inter" w:eastAsia="inter" w:cs="inter"/>
          <w:color w:val="000000"/>
          <w:sz w:val="21"/>
        </w:rPr>
        <w:t>与局部能量极小值的距离减少了15倍</w:t>
      </w:r>
    </w:p>
    <w:p w14:paraId="47042499">
      <w:pPr>
        <w:numPr>
          <w:ilvl w:val="0"/>
          <w:numId w:val="6"/>
        </w:numPr>
        <w:spacing w:before="105" w:after="105" w:line="360" w:lineRule="auto"/>
      </w:pPr>
      <w:r>
        <w:rPr>
          <w:rFonts w:ascii="inter" w:hAnsi="inter" w:eastAsia="inter" w:cs="inter"/>
          <w:color w:val="000000"/>
          <w:sz w:val="21"/>
        </w:rPr>
        <w:t>通过ControlNet风格的适配器模块实现多约束条件的微调</w:t>
      </w:r>
    </w:p>
    <w:p w14:paraId="4F60C01C">
      <w:pPr>
        <w:numPr>
          <w:ilvl w:val="0"/>
          <w:numId w:val="6"/>
        </w:numPr>
        <w:spacing w:before="105" w:after="105" w:line="360" w:lineRule="auto"/>
      </w:pPr>
      <w:r>
        <w:rPr>
          <w:rFonts w:ascii="inter" w:hAnsi="inter" w:eastAsia="inter" w:cs="inter"/>
          <w:color w:val="000000"/>
          <w:sz w:val="21"/>
        </w:rPr>
        <w:t>成功合成并实验验证了TaCr₂O₆材料，其体模量（222 GPa）与目标值的一致性证明了模型的预测能力（MAE=23 GPa，RMSE=32 GPa）</w:t>
      </w:r>
    </w:p>
    <w:p w14:paraId="683CB6C0">
      <w:pPr>
        <w:spacing w:after="210" w:line="360" w:lineRule="auto"/>
      </w:pPr>
      <w:r>
        <w:rPr>
          <w:rFonts w:ascii="inter" w:hAnsi="inter" w:eastAsia="inter" w:cs="inter"/>
          <w:b/>
          <w:color w:val="000000"/>
        </w:rPr>
        <w:t>GNoME（Google DeepMind, 2023）</w:t>
      </w:r>
      <w:r>
        <w:rPr>
          <w:rFonts w:ascii="inter" w:hAnsi="inter" w:eastAsia="inter" w:cs="inter"/>
          <w:color w:val="000000"/>
        </w:rPr>
        <w:t>：通过图神经网络的结构和组成双管道发现了380,000个稳定材料，这一成就标志着AI驱动的材料发现进入了新纪元。截至发表时，已有736个预测的GNoME材料在全球实验室中被合成和表征。</w:t>
      </w:r>
      <w:bookmarkStart w:id="45" w:name="fnref2_1"/>
      <w:bookmarkEnd w:id="4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6" w:name="fnref3_1"/>
      <w:bookmarkEnd w:id="4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47" w:name="fnref21_1"/>
      <w:bookmarkEnd w:id="47"/>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48" w:name="fnref1_1"/>
      <w:bookmarkEnd w:id="4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38FB0C63">
      <w:pPr>
        <w:spacing w:before="315" w:after="105" w:line="360" w:lineRule="auto"/>
        <w:ind w:left="-30"/>
        <w:jc w:val="left"/>
      </w:pPr>
      <w:bookmarkStart w:id="49" w:name="bm_3_2_图神经网络模型的性能比较"/>
      <w:r>
        <w:rPr>
          <w:rFonts w:ascii="inter" w:hAnsi="inter" w:eastAsia="inter" w:cs="inter"/>
          <w:b/>
          <w:color w:val="000000"/>
          <w:sz w:val="24"/>
        </w:rPr>
        <w:t>3.2 图神经网络模型的性能比较</w:t>
      </w:r>
      <w:bookmarkEnd w:id="49"/>
    </w:p>
    <w:p w14:paraId="350D2F10">
      <w:pPr>
        <w:spacing w:after="210" w:line="360" w:lineRule="auto"/>
      </w:pPr>
      <w:r>
        <w:rPr>
          <w:rFonts w:ascii="inter" w:hAnsi="inter" w:eastAsia="inter" w:cs="inter"/>
          <w:b/>
          <w:color w:val="000000"/>
        </w:rPr>
        <w:t>ALIGNN模型（Kamal Choudhary et al., 2021）</w:t>
      </w:r>
      <w:r>
        <w:rPr>
          <w:rFonts w:ascii="inter" w:hAnsi="inter" w:eastAsia="inter" w:cs="inter"/>
          <w:color w:val="000000"/>
        </w:rPr>
        <w:t>：在JARVIS-DFT数据库上，ALIGNN在形成能（Ef）预测中：</w:t>
      </w:r>
      <w:bookmarkStart w:id="50" w:name="fnref24"/>
      <w:bookmarkEnd w:id="50"/>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1E15695B">
      <w:pPr>
        <w:numPr>
          <w:ilvl w:val="0"/>
          <w:numId w:val="7"/>
        </w:numPr>
        <w:spacing w:before="105" w:after="105" w:line="360" w:lineRule="auto"/>
      </w:pPr>
      <w:r>
        <w:rPr>
          <w:rFonts w:ascii="inter" w:hAnsi="inter" w:eastAsia="inter" w:cs="inter"/>
          <w:color w:val="000000"/>
          <w:sz w:val="21"/>
        </w:rPr>
        <w:t>相比CGCNN性能提升43.6%</w:t>
      </w:r>
    </w:p>
    <w:p w14:paraId="0AFE7E3B">
      <w:pPr>
        <w:numPr>
          <w:ilvl w:val="0"/>
          <w:numId w:val="7"/>
        </w:numPr>
        <w:spacing w:before="105" w:after="105" w:line="360" w:lineRule="auto"/>
      </w:pPr>
      <w:r>
        <w:rPr>
          <w:rFonts w:ascii="inter" w:hAnsi="inter" w:eastAsia="inter" w:cs="inter"/>
          <w:color w:val="000000"/>
          <w:sz w:val="21"/>
        </w:rPr>
        <w:t>相比MEGNet性能提升21.4%</w:t>
      </w:r>
    </w:p>
    <w:p w14:paraId="02E979B3">
      <w:pPr>
        <w:numPr>
          <w:ilvl w:val="0"/>
          <w:numId w:val="7"/>
        </w:numPr>
        <w:spacing w:before="105" w:after="105" w:line="360" w:lineRule="auto"/>
      </w:pPr>
      <w:r>
        <w:rPr>
          <w:rFonts w:ascii="inter" w:hAnsi="inter" w:eastAsia="inter" w:cs="inter"/>
          <w:color w:val="000000"/>
          <w:sz w:val="21"/>
        </w:rPr>
        <w:t>相比SchNet性能提升37.1%</w:t>
      </w:r>
    </w:p>
    <w:p w14:paraId="1107A762">
      <w:pPr>
        <w:spacing w:after="210" w:line="360" w:lineRule="auto"/>
      </w:pPr>
      <w:r>
        <w:rPr>
          <w:rFonts w:ascii="inter" w:hAnsi="inter" w:eastAsia="inter" w:cs="inter"/>
          <w:color w:val="000000"/>
        </w:rPr>
        <w:t>在能带间隙（Eg）预测上，ALIGNN也分别超越CGCNN（43.8%）和MEGNet（33.9%）。模型仅需约300个训练周期就能收敛，显著低于其他模型的1000+周期，使得总体训练成本更低。</w:t>
      </w:r>
      <w:bookmarkStart w:id="51" w:name="fnref24_1"/>
      <w:bookmarkEnd w:id="5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605DFE97">
      <w:pPr>
        <w:spacing w:after="210" w:line="360" w:lineRule="auto"/>
      </w:pPr>
      <w:r>
        <w:rPr>
          <w:rFonts w:ascii="inter" w:hAnsi="inter" w:eastAsia="inter" w:cs="inter"/>
          <w:b/>
          <w:color w:val="000000"/>
        </w:rPr>
        <w:t>MEGNet与ALIGNN的结构特性分析（Science Advances, 2023）</w:t>
      </w:r>
      <w:r>
        <w:rPr>
          <w:rFonts w:ascii="inter" w:hAnsi="inter" w:eastAsia="inter" w:cs="inter"/>
          <w:color w:val="000000"/>
        </w:rPr>
        <w:t>：对多个GNN架构（CGCNN、ALIGNN、E3NN、MEGNet、Matformer）的系统性评估表明：</w:t>
      </w:r>
      <w:bookmarkStart w:id="52" w:name="fnref25"/>
      <w:bookmarkEnd w:id="52"/>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53" w:name="fnref24_2"/>
      <w:bookmarkEnd w:id="5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16AB1855">
      <w:pPr>
        <w:numPr>
          <w:ilvl w:val="0"/>
          <w:numId w:val="8"/>
        </w:numPr>
        <w:spacing w:before="105" w:after="105" w:line="360" w:lineRule="auto"/>
      </w:pPr>
      <w:r>
        <w:rPr>
          <w:rFonts w:ascii="inter" w:hAnsi="inter" w:eastAsia="inter" w:cs="inter"/>
          <w:color w:val="000000"/>
          <w:sz w:val="21"/>
        </w:rPr>
        <w:t>CGCNN在局部结构描述符预测中表现良好（R²≥0.8），但难以捕捉周期性特征和晶格常数</w:t>
      </w:r>
    </w:p>
    <w:p w14:paraId="18442EB7">
      <w:pPr>
        <w:numPr>
          <w:ilvl w:val="0"/>
          <w:numId w:val="8"/>
        </w:numPr>
        <w:spacing w:before="105" w:after="105" w:line="360" w:lineRule="auto"/>
      </w:pPr>
      <w:r>
        <w:rPr>
          <w:rFonts w:ascii="inter" w:hAnsi="inter" w:eastAsia="inter" w:cs="inter"/>
          <w:color w:val="000000"/>
          <w:sz w:val="21"/>
        </w:rPr>
        <w:t>ALIGNN通过显式编码键角信息（三体相互作用）的方式，在描述结构复杂性和Voronoi配位数时表现更优</w:t>
      </w:r>
    </w:p>
    <w:p w14:paraId="4CA9BD3A">
      <w:pPr>
        <w:numPr>
          <w:ilvl w:val="0"/>
          <w:numId w:val="8"/>
        </w:numPr>
        <w:spacing w:before="105" w:after="105" w:line="360" w:lineRule="auto"/>
      </w:pPr>
      <w:r>
        <w:rPr>
          <w:rFonts w:ascii="inter" w:hAnsi="inter" w:eastAsia="inter" w:cs="inter"/>
          <w:color w:val="000000"/>
          <w:sz w:val="21"/>
        </w:rPr>
        <w:t>在全局描述符方面，所有结构基础GNN均显著优于仅基于组成的ROOST模型</w:t>
      </w:r>
    </w:p>
    <w:p w14:paraId="205A85AB">
      <w:pPr>
        <w:spacing w:before="315" w:after="105" w:line="360" w:lineRule="auto"/>
        <w:ind w:left="-30"/>
        <w:jc w:val="left"/>
      </w:pPr>
      <w:bookmarkStart w:id="54" w:name="bm_3_3_多目标优化在合金设计中的应用"/>
      <w:r>
        <w:rPr>
          <w:rFonts w:ascii="inter" w:hAnsi="inter" w:eastAsia="inter" w:cs="inter"/>
          <w:b/>
          <w:color w:val="000000"/>
          <w:sz w:val="24"/>
        </w:rPr>
        <w:t>3.3 多目标优化在合金设计中的应用</w:t>
      </w:r>
      <w:bookmarkEnd w:id="54"/>
    </w:p>
    <w:p w14:paraId="00FD9B4E">
      <w:pPr>
        <w:spacing w:after="210" w:line="360" w:lineRule="auto"/>
      </w:pPr>
      <w:r>
        <w:rPr>
          <w:rFonts w:ascii="inter" w:hAnsi="inter" w:eastAsia="inter" w:cs="inter"/>
          <w:b/>
          <w:color w:val="000000"/>
        </w:rPr>
        <w:t>高熵合金的硬度-延展性优化（ACS Journal of Chemical Information and Modeling, 2023）</w:t>
      </w:r>
      <w:r>
        <w:rPr>
          <w:rFonts w:ascii="inter" w:hAnsi="inter" w:eastAsia="inter" w:cs="inter"/>
          <w:color w:val="000000"/>
        </w:rPr>
        <w:t>：</w:t>
      </w:r>
      <w:bookmarkStart w:id="55" w:name="fnref26"/>
      <w:bookmarkEnd w:id="55"/>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54F8AF4C">
      <w:pPr>
        <w:numPr>
          <w:ilvl w:val="0"/>
          <w:numId w:val="9"/>
        </w:numPr>
        <w:spacing w:before="105" w:after="105" w:line="360" w:lineRule="auto"/>
      </w:pPr>
      <w:r>
        <w:rPr>
          <w:rFonts w:ascii="inter" w:hAnsi="inter" w:eastAsia="inter" w:cs="inter"/>
          <w:color w:val="000000"/>
          <w:sz w:val="21"/>
        </w:rPr>
        <w:t>使用SVR和LightGBM建立172,467个样本的预测模型，其中判断延展性（D）的R²达0.76，硬度（H）达0.90</w:t>
      </w:r>
    </w:p>
    <w:p w14:paraId="43EEE4B6">
      <w:pPr>
        <w:numPr>
          <w:ilvl w:val="0"/>
          <w:numId w:val="9"/>
        </w:numPr>
        <w:spacing w:before="105" w:after="105" w:line="360" w:lineRule="auto"/>
      </w:pPr>
      <w:r>
        <w:rPr>
          <w:rFonts w:ascii="inter" w:hAnsi="inter" w:eastAsia="inter" w:cs="inter"/>
          <w:color w:val="000000"/>
          <w:sz w:val="21"/>
        </w:rPr>
        <w:t>通过NSGA-II和虚拟筛选搜索最优合金组成</w:t>
      </w:r>
    </w:p>
    <w:p w14:paraId="7624B34D">
      <w:pPr>
        <w:numPr>
          <w:ilvl w:val="0"/>
          <w:numId w:val="9"/>
        </w:numPr>
        <w:spacing w:before="105" w:after="105" w:line="360" w:lineRule="auto"/>
      </w:pPr>
      <w:r>
        <w:rPr>
          <w:rFonts w:ascii="inter" w:hAnsi="inter" w:eastAsia="inter" w:cs="inter"/>
          <w:color w:val="000000"/>
          <w:sz w:val="21"/>
        </w:rPr>
        <w:t>四个候选材料中三个的延展性改善了135.8%、282.4%和194.1%</w:t>
      </w:r>
    </w:p>
    <w:p w14:paraId="173BE000">
      <w:pPr>
        <w:numPr>
          <w:ilvl w:val="0"/>
          <w:numId w:val="9"/>
        </w:numPr>
        <w:spacing w:before="105" w:after="105" w:line="360" w:lineRule="auto"/>
      </w:pPr>
      <w:r>
        <w:rPr>
          <w:rFonts w:ascii="inter" w:hAnsi="inter" w:eastAsia="inter" w:cs="inter"/>
          <w:color w:val="000000"/>
          <w:sz w:val="21"/>
        </w:rPr>
        <w:t>建议的元素百分比范围：Al（2-14.8 at%）、Nb（4-25 at%）、Mo（3-9.9 at%）</w:t>
      </w:r>
    </w:p>
    <w:p w14:paraId="1F102DDD">
      <w:pPr>
        <w:spacing w:after="210" w:line="360" w:lineRule="auto"/>
      </w:pPr>
      <w:r>
        <w:rPr>
          <w:rFonts w:ascii="inter" w:hAnsi="inter" w:eastAsia="inter" w:cs="inter"/>
          <w:b/>
          <w:color w:val="000000"/>
        </w:rPr>
        <w:t>镁基耐火高熵合金的屈服强度定制（npj Computational Materials, 2022）</w:t>
      </w:r>
      <w:r>
        <w:rPr>
          <w:rFonts w:ascii="inter" w:hAnsi="inter" w:eastAsia="inter" w:cs="inter"/>
          <w:color w:val="000000"/>
        </w:rPr>
        <w:t>：</w:t>
      </w:r>
      <w:bookmarkStart w:id="56" w:name="fnref7_1"/>
      <w:bookmarkEnd w:id="56"/>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68173A30">
      <w:pPr>
        <w:numPr>
          <w:ilvl w:val="0"/>
          <w:numId w:val="10"/>
        </w:numPr>
        <w:spacing w:before="105" w:after="105" w:line="360" w:lineRule="auto"/>
      </w:pPr>
      <w:r>
        <w:rPr>
          <w:rFonts w:ascii="inter" w:hAnsi="inter" w:eastAsia="inter" w:cs="inter"/>
          <w:color w:val="000000"/>
          <w:sz w:val="21"/>
        </w:rPr>
        <w:t>通过提取关键描述符（从大量特征集中选择），建立了精准的屈服强度预测模型</w:t>
      </w:r>
    </w:p>
    <w:p w14:paraId="01FAA0A2">
      <w:pPr>
        <w:numPr>
          <w:ilvl w:val="0"/>
          <w:numId w:val="10"/>
        </w:numPr>
        <w:spacing w:before="105" w:after="105" w:line="360" w:lineRule="auto"/>
      </w:pPr>
      <w:r>
        <w:rPr>
          <w:rFonts w:ascii="inter" w:hAnsi="inter" w:eastAsia="inter" w:cs="inter"/>
          <w:color w:val="000000"/>
          <w:sz w:val="21"/>
        </w:rPr>
        <w:t>利用遗传算法进行多目标搜索，发现了在室温和1000°C下屈服强度均优化的合金组成</w:t>
      </w:r>
    </w:p>
    <w:p w14:paraId="357C9429">
      <w:pPr>
        <w:numPr>
          <w:ilvl w:val="0"/>
          <w:numId w:val="10"/>
        </w:numPr>
        <w:spacing w:before="105" w:after="105" w:line="360" w:lineRule="auto"/>
      </w:pPr>
      <w:r>
        <w:rPr>
          <w:rFonts w:ascii="inter" w:hAnsi="inter" w:eastAsia="inter" w:cs="inter"/>
          <w:color w:val="000000"/>
          <w:sz w:val="21"/>
        </w:rPr>
        <w:t>计算结果表明，提升室温强度的元素组成与提升高温强度的组成不同，需要针对特定温度进行优化设计</w:t>
      </w:r>
    </w:p>
    <w:p w14:paraId="40A2AA28">
      <w:pPr>
        <w:spacing w:before="315" w:after="105" w:line="360" w:lineRule="auto"/>
        <w:ind w:left="-30"/>
        <w:jc w:val="left"/>
      </w:pPr>
      <w:bookmarkStart w:id="57" w:name="bm_3_4_综合多学科的材料设计框架"/>
      <w:r>
        <w:rPr>
          <w:rFonts w:ascii="inter" w:hAnsi="inter" w:eastAsia="inter" w:cs="inter"/>
          <w:b/>
          <w:color w:val="000000"/>
          <w:sz w:val="24"/>
        </w:rPr>
        <w:t>3.4 综合多学科的材料设计框架</w:t>
      </w:r>
      <w:bookmarkEnd w:id="57"/>
    </w:p>
    <w:p w14:paraId="13FCAB5D">
      <w:pPr>
        <w:spacing w:after="210" w:line="360" w:lineRule="auto"/>
      </w:pPr>
      <w:r>
        <w:rPr>
          <w:rFonts w:ascii="inter" w:hAnsi="inter" w:eastAsia="inter" w:cs="inter"/>
          <w:b/>
          <w:color w:val="000000"/>
        </w:rPr>
        <w:t>HEADS框架（高熵合金设计与模拟）</w:t>
      </w:r>
      <w:r>
        <w:rPr>
          <w:rFonts w:ascii="inter" w:hAnsi="inter" w:eastAsia="inter" w:cs="inter"/>
          <w:color w:val="000000"/>
        </w:rPr>
        <w:t>：结合机器学习、分子动力学和多目标优化算法，完整地实现了高熵合金的预测-计算-优化闭环：</w:t>
      </w:r>
      <w:bookmarkStart w:id="58" w:name="fnref27"/>
      <w:bookmarkEnd w:id="58"/>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67832730">
      <w:pPr>
        <w:numPr>
          <w:ilvl w:val="0"/>
          <w:numId w:val="11"/>
        </w:numPr>
        <w:spacing w:before="105" w:after="105" w:line="360" w:lineRule="auto"/>
      </w:pPr>
      <w:r>
        <w:rPr>
          <w:rFonts w:ascii="inter" w:hAnsi="inter" w:eastAsia="inter" w:cs="inter"/>
          <w:color w:val="000000"/>
          <w:sz w:val="21"/>
        </w:rPr>
        <w:t>使用ML预测相结构，然后通过MD进行张力模拟</w:t>
      </w:r>
    </w:p>
    <w:p w14:paraId="2D484947">
      <w:pPr>
        <w:numPr>
          <w:ilvl w:val="0"/>
          <w:numId w:val="11"/>
        </w:numPr>
        <w:spacing w:before="105" w:after="105" w:line="360" w:lineRule="auto"/>
      </w:pPr>
      <w:r>
        <w:rPr>
          <w:rFonts w:ascii="inter" w:hAnsi="inter" w:eastAsia="inter" w:cs="inter"/>
          <w:color w:val="000000"/>
          <w:sz w:val="21"/>
        </w:rPr>
        <w:t>深度神经网络进行多任务回归，同时拟合弹性模量和抗拉强度</w:t>
      </w:r>
    </w:p>
    <w:p w14:paraId="7769D810">
      <w:pPr>
        <w:numPr>
          <w:ilvl w:val="0"/>
          <w:numId w:val="11"/>
        </w:numPr>
        <w:spacing w:before="105" w:after="105" w:line="360" w:lineRule="auto"/>
      </w:pPr>
      <w:r>
        <w:rPr>
          <w:rFonts w:ascii="inter" w:hAnsi="inter" w:eastAsia="inter" w:cs="inter"/>
          <w:color w:val="000000"/>
          <w:sz w:val="21"/>
        </w:rPr>
        <w:t>支持灵活的权重分配，允许根据不同应用需求进行定制化优化</w:t>
      </w:r>
    </w:p>
    <w:p w14:paraId="5B79334D">
      <w:pPr>
        <w:numPr>
          <w:ilvl w:val="0"/>
          <w:numId w:val="11"/>
        </w:numPr>
        <w:spacing w:before="105" w:after="105" w:line="360" w:lineRule="auto"/>
      </w:pPr>
      <w:r>
        <w:rPr>
          <w:rFonts w:ascii="inter" w:hAnsi="inter" w:eastAsia="inter" w:cs="inter"/>
          <w:color w:val="000000"/>
          <w:sz w:val="21"/>
        </w:rPr>
        <w:t>在FeNiCrCoCuAlMg合金验证中表现出强大的可用性</w:t>
      </w:r>
    </w:p>
    <w:p w14:paraId="40886FB1">
      <w:pPr>
        <w:spacing w:before="315" w:after="105" w:line="360" w:lineRule="auto"/>
        <w:ind w:left="-30"/>
        <w:jc w:val="left"/>
      </w:pPr>
      <w:bookmarkStart w:id="59" w:name="bm_4_所用数据库详细分析"/>
      <w:r>
        <w:rPr>
          <w:rFonts w:ascii="inter" w:hAnsi="inter" w:eastAsia="inter" w:cs="inter"/>
          <w:b/>
          <w:color w:val="000000"/>
          <w:sz w:val="24"/>
        </w:rPr>
        <w:t>4. 所用数据库详细分析</w:t>
      </w:r>
      <w:bookmarkEnd w:id="59"/>
    </w:p>
    <w:p w14:paraId="740F23FC">
      <w:pPr>
        <w:spacing w:before="315" w:after="105" w:line="360" w:lineRule="auto"/>
        <w:ind w:left="-30"/>
        <w:jc w:val="left"/>
      </w:pPr>
      <w:bookmarkStart w:id="60" w:name="bm_4_1_materials_project数据库"/>
      <w:r>
        <w:rPr>
          <w:rFonts w:ascii="inter" w:hAnsi="inter" w:eastAsia="inter" w:cs="inter"/>
          <w:b/>
          <w:color w:val="000000"/>
          <w:sz w:val="24"/>
        </w:rPr>
        <w:t>4.1 Materials Project数据库</w:t>
      </w:r>
      <w:bookmarkEnd w:id="60"/>
    </w:p>
    <w:p w14:paraId="29919D89">
      <w:pPr>
        <w:spacing w:after="210" w:line="360" w:lineRule="auto"/>
      </w:pPr>
      <w:r>
        <w:rPr>
          <w:rFonts w:ascii="inter" w:hAnsi="inter" w:eastAsia="inter" w:cs="inter"/>
          <w:b/>
          <w:color w:val="000000"/>
        </w:rPr>
        <w:t>规模与覆盖范围</w:t>
      </w:r>
      <w:r>
        <w:rPr>
          <w:rFonts w:ascii="inter" w:hAnsi="inter" w:eastAsia="inter" w:cs="inter"/>
          <w:color w:val="000000"/>
        </w:rPr>
        <w:t>：</w:t>
      </w:r>
      <w:bookmarkStart w:id="61" w:name="fnref28"/>
      <w:bookmarkEnd w:id="61"/>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62" w:name="fnref29"/>
      <w:bookmarkEnd w:id="62"/>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63" w:name="fnref9_1"/>
      <w:bookmarkEnd w:id="6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D95A9C5">
      <w:pPr>
        <w:numPr>
          <w:ilvl w:val="0"/>
          <w:numId w:val="12"/>
        </w:numPr>
        <w:spacing w:before="105" w:after="105" w:line="360" w:lineRule="auto"/>
      </w:pPr>
      <w:r>
        <w:rPr>
          <w:rFonts w:ascii="inter" w:hAnsi="inter" w:eastAsia="inter" w:cs="inter"/>
          <w:color w:val="000000"/>
          <w:sz w:val="21"/>
        </w:rPr>
        <w:t>截至2025年，包含178,627种无机材料，覆盖51,298个化学体系和228个空间群</w:t>
      </w:r>
    </w:p>
    <w:p w14:paraId="1FD08763">
      <w:pPr>
        <w:numPr>
          <w:ilvl w:val="0"/>
          <w:numId w:val="12"/>
        </w:numPr>
        <w:spacing w:before="105" w:after="105" w:line="360" w:lineRule="auto"/>
      </w:pPr>
      <w:r>
        <w:rPr>
          <w:rFonts w:ascii="inter" w:hAnsi="inter" w:eastAsia="inter" w:cs="inter"/>
          <w:color w:val="000000"/>
          <w:sz w:val="21"/>
        </w:rPr>
        <w:t>包含约35,000种分子和数百万个计算性质</w:t>
      </w:r>
    </w:p>
    <w:p w14:paraId="72CAB71E">
      <w:pPr>
        <w:numPr>
          <w:ilvl w:val="0"/>
          <w:numId w:val="12"/>
        </w:numPr>
        <w:spacing w:before="105" w:after="105" w:line="360" w:lineRule="auto"/>
      </w:pPr>
      <w:r>
        <w:rPr>
          <w:rFonts w:ascii="inter" w:hAnsi="inter" w:eastAsia="inter" w:cs="inter"/>
          <w:color w:val="000000"/>
          <w:sz w:val="21"/>
        </w:rPr>
        <w:t>历史版本更新频繁：v2025.06.09版本新增了约30,000个GNoME衍生材料</w:t>
      </w:r>
    </w:p>
    <w:p w14:paraId="1B3B80AA">
      <w:pPr>
        <w:spacing w:after="210" w:line="360" w:lineRule="auto"/>
      </w:pPr>
      <w:r>
        <w:rPr>
          <w:rFonts w:ascii="inter" w:hAnsi="inter" w:eastAsia="inter" w:cs="inter"/>
          <w:b/>
          <w:color w:val="000000"/>
        </w:rPr>
        <w:t>数据来源与计算方法</w:t>
      </w:r>
      <w:r>
        <w:rPr>
          <w:rFonts w:ascii="inter" w:hAnsi="inter" w:eastAsia="inter" w:cs="inter"/>
          <w:color w:val="000000"/>
        </w:rPr>
        <w:t>：</w:t>
      </w:r>
    </w:p>
    <w:p w14:paraId="612B6C53">
      <w:pPr>
        <w:numPr>
          <w:ilvl w:val="0"/>
          <w:numId w:val="13"/>
        </w:numPr>
        <w:spacing w:before="105" w:after="105" w:line="360" w:lineRule="auto"/>
      </w:pPr>
      <w:r>
        <w:rPr>
          <w:rFonts w:ascii="inter" w:hAnsi="inter" w:eastAsia="inter" w:cs="inter"/>
          <w:color w:val="000000"/>
          <w:sz w:val="21"/>
        </w:rPr>
        <w:t>使用密度泛函理论（DFT）进行第一性原理计算</w:t>
      </w:r>
    </w:p>
    <w:p w14:paraId="336474F0">
      <w:pPr>
        <w:numPr>
          <w:ilvl w:val="0"/>
          <w:numId w:val="13"/>
        </w:numPr>
        <w:spacing w:before="105" w:after="105" w:line="360" w:lineRule="auto"/>
      </w:pPr>
      <w:r>
        <w:rPr>
          <w:rFonts w:ascii="inter" w:hAnsi="inter" w:eastAsia="inter" w:cs="inter"/>
          <w:color w:val="000000"/>
          <w:sz w:val="21"/>
        </w:rPr>
        <w:t>主要使用PBE泛函进行结构弛豫和能量计算</w:t>
      </w:r>
    </w:p>
    <w:p w14:paraId="22ECD0DE">
      <w:pPr>
        <w:numPr>
          <w:ilvl w:val="0"/>
          <w:numId w:val="13"/>
        </w:numPr>
        <w:spacing w:before="105" w:after="105" w:line="360" w:lineRule="auto"/>
      </w:pPr>
      <w:r>
        <w:rPr>
          <w:rFonts w:ascii="inter" w:hAnsi="inter" w:eastAsia="inter" w:cs="inter"/>
          <w:color w:val="000000"/>
          <w:sz w:val="21"/>
        </w:rPr>
        <w:t>部分高级计算如混合泛函（HSE06）、GW近似等涵盖较小的材料子集</w:t>
      </w:r>
    </w:p>
    <w:p w14:paraId="623AD21C">
      <w:pPr>
        <w:numPr>
          <w:ilvl w:val="0"/>
          <w:numId w:val="13"/>
        </w:numPr>
        <w:spacing w:before="105" w:after="105" w:line="360" w:lineRule="auto"/>
      </w:pPr>
      <w:r>
        <w:rPr>
          <w:rFonts w:ascii="inter" w:hAnsi="inter" w:eastAsia="inter" w:cs="inter"/>
          <w:color w:val="000000"/>
          <w:sz w:val="21"/>
        </w:rPr>
        <w:t>与ICSD晶体结构数据库深度集成，确保涵盖所有已知晶体结构</w:t>
      </w:r>
    </w:p>
    <w:p w14:paraId="1E551812">
      <w:pPr>
        <w:spacing w:after="210" w:line="360" w:lineRule="auto"/>
      </w:pPr>
      <w:r>
        <w:rPr>
          <w:rFonts w:ascii="inter" w:hAnsi="inter" w:eastAsia="inter" w:cs="inter"/>
          <w:b/>
          <w:color w:val="000000"/>
        </w:rPr>
        <w:t>数据特点与局限性</w:t>
      </w:r>
      <w:r>
        <w:rPr>
          <w:rFonts w:ascii="inter" w:hAnsi="inter" w:eastAsia="inter" w:cs="inter"/>
          <w:color w:val="000000"/>
        </w:rPr>
        <w:t>：</w:t>
      </w:r>
      <w:bookmarkStart w:id="64" w:name="fnref30"/>
      <w:bookmarkEnd w:id="64"/>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4B2AD0D5">
      <w:pPr>
        <w:numPr>
          <w:ilvl w:val="0"/>
          <w:numId w:val="14"/>
        </w:numPr>
        <w:spacing w:before="105" w:after="105" w:line="360" w:lineRule="auto"/>
      </w:pPr>
      <w:r>
        <w:rPr>
          <w:rFonts w:ascii="inter" w:hAnsi="inter" w:eastAsia="inter" w:cs="inter"/>
          <w:color w:val="000000"/>
          <w:sz w:val="21"/>
        </w:rPr>
        <w:t>优势：统一的计算参数确保可比性，广泛的元素覆盖（90+种元素），多属性计算（电子结构、弹性、热学等）</w:t>
      </w:r>
    </w:p>
    <w:p w14:paraId="2DF52583">
      <w:pPr>
        <w:numPr>
          <w:ilvl w:val="0"/>
          <w:numId w:val="14"/>
        </w:numPr>
        <w:spacing w:before="105" w:after="105" w:line="360" w:lineRule="auto"/>
      </w:pPr>
      <w:r>
        <w:rPr>
          <w:rFonts w:ascii="inter" w:hAnsi="inter" w:eastAsia="inter" w:cs="inter"/>
          <w:color w:val="000000"/>
          <w:sz w:val="21"/>
        </w:rPr>
        <w:t>局限：GGA泛函倾向于低估能带间隙（通常误差~0.2-0.5 eV），对具有强关联电子系统（如d和f电子系统）的描述不精确。对于需要混合泛函的材料，数据覆盖有限</w:t>
      </w:r>
    </w:p>
    <w:p w14:paraId="30EBB3EB">
      <w:pPr>
        <w:numPr>
          <w:ilvl w:val="0"/>
          <w:numId w:val="14"/>
        </w:numPr>
        <w:spacing w:before="105" w:after="105" w:line="360" w:lineRule="auto"/>
      </w:pPr>
      <w:r>
        <w:rPr>
          <w:rFonts w:ascii="inter" w:hAnsi="inter" w:eastAsia="inter" w:cs="inter"/>
          <w:color w:val="000000"/>
          <w:sz w:val="21"/>
        </w:rPr>
        <w:t>数据稀疏性：某些复杂材料类别（高熵化合物、高度无序相）的数据相对稀少</w:t>
      </w:r>
    </w:p>
    <w:p w14:paraId="1F463278">
      <w:pPr>
        <w:spacing w:before="315" w:after="105" w:line="360" w:lineRule="auto"/>
        <w:ind w:left="-30"/>
        <w:jc w:val="left"/>
      </w:pPr>
      <w:bookmarkStart w:id="65" w:name="bm_4_2_oqmd_open_quantum_material_bf9f61"/>
      <w:r>
        <w:rPr>
          <w:rFonts w:ascii="inter" w:hAnsi="inter" w:eastAsia="inter" w:cs="inter"/>
          <w:b/>
          <w:color w:val="000000"/>
          <w:sz w:val="24"/>
        </w:rPr>
        <w:t>4.2 OQMD（Open Quantum Materials Database）</w:t>
      </w:r>
      <w:bookmarkEnd w:id="65"/>
    </w:p>
    <w:p w14:paraId="08972991">
      <w:pPr>
        <w:spacing w:after="210" w:line="360" w:lineRule="auto"/>
      </w:pPr>
      <w:r>
        <w:rPr>
          <w:rFonts w:ascii="inter" w:hAnsi="inter" w:eastAsia="inter" w:cs="inter"/>
          <w:b/>
          <w:color w:val="000000"/>
        </w:rPr>
        <w:t>规模与特点</w:t>
      </w:r>
      <w:r>
        <w:rPr>
          <w:rFonts w:ascii="inter" w:hAnsi="inter" w:eastAsia="inter" w:cs="inter"/>
          <w:color w:val="000000"/>
        </w:rPr>
        <w:t>：</w:t>
      </w:r>
      <w:bookmarkStart w:id="66" w:name="fnref14_1"/>
      <w:bookmarkEnd w:id="6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718998E1">
      <w:pPr>
        <w:numPr>
          <w:ilvl w:val="0"/>
          <w:numId w:val="15"/>
        </w:numPr>
        <w:spacing w:before="105" w:after="105" w:line="360" w:lineRule="auto"/>
      </w:pPr>
      <w:r>
        <w:rPr>
          <w:rFonts w:ascii="inter" w:hAnsi="inter" w:eastAsia="inter" w:cs="inter"/>
          <w:color w:val="000000"/>
          <w:sz w:val="21"/>
        </w:rPr>
        <w:t>包含297,099个结构，来自ICSD和常见晶体原型的装饰</w:t>
      </w:r>
    </w:p>
    <w:p w14:paraId="10FA7483">
      <w:pPr>
        <w:numPr>
          <w:ilvl w:val="0"/>
          <w:numId w:val="15"/>
        </w:numPr>
        <w:spacing w:before="105" w:after="105" w:line="360" w:lineRule="auto"/>
      </w:pPr>
      <w:r>
        <w:rPr>
          <w:rFonts w:ascii="inter" w:hAnsi="inter" w:eastAsia="inter" w:cs="inter"/>
          <w:color w:val="000000"/>
          <w:sz w:val="21"/>
        </w:rPr>
        <w:t>其中32,559个是实验已知ICSD化合物，其余259,511个是假设结构</w:t>
      </w:r>
    </w:p>
    <w:p w14:paraId="3B1F44BE">
      <w:pPr>
        <w:numPr>
          <w:ilvl w:val="0"/>
          <w:numId w:val="15"/>
        </w:numPr>
        <w:spacing w:before="105" w:after="105" w:line="360" w:lineRule="auto"/>
      </w:pPr>
      <w:r>
        <w:rPr>
          <w:rFonts w:ascii="inter" w:hAnsi="inter" w:eastAsia="inter" w:cs="inter"/>
          <w:color w:val="000000"/>
          <w:sz w:val="21"/>
        </w:rPr>
        <w:t>按原子数≤34个的约束进行筛选，避免超大超胞的计算成本</w:t>
      </w:r>
    </w:p>
    <w:p w14:paraId="00D908FA">
      <w:pPr>
        <w:spacing w:after="210" w:line="360" w:lineRule="auto"/>
      </w:pPr>
      <w:r>
        <w:rPr>
          <w:rFonts w:ascii="inter" w:hAnsi="inter" w:eastAsia="inter" w:cs="inter"/>
          <w:b/>
          <w:color w:val="000000"/>
        </w:rPr>
        <w:t>计算方法与准确性验证</w:t>
      </w:r>
      <w:r>
        <w:rPr>
          <w:rFonts w:ascii="inter" w:hAnsi="inter" w:eastAsia="inter" w:cs="inter"/>
          <w:color w:val="000000"/>
        </w:rPr>
        <w:t>：</w:t>
      </w:r>
    </w:p>
    <w:p w14:paraId="3791BEF9">
      <w:pPr>
        <w:numPr>
          <w:ilvl w:val="0"/>
          <w:numId w:val="16"/>
        </w:numPr>
        <w:spacing w:before="105" w:after="105" w:line="360" w:lineRule="auto"/>
      </w:pPr>
      <w:r>
        <w:rPr>
          <w:rFonts w:ascii="inter" w:hAnsi="inter" w:eastAsia="inter" w:cs="inter"/>
          <w:color w:val="000000"/>
          <w:sz w:val="21"/>
        </w:rPr>
        <w:t>使用GGA（VASP）进行结构弛豫和总能量计算</w:t>
      </w:r>
    </w:p>
    <w:p w14:paraId="1D2B86C7">
      <w:pPr>
        <w:numPr>
          <w:ilvl w:val="0"/>
          <w:numId w:val="16"/>
        </w:numPr>
        <w:spacing w:before="105" w:after="105" w:line="360" w:lineRule="auto"/>
      </w:pPr>
      <w:r>
        <w:rPr>
          <w:rFonts w:ascii="inter" w:hAnsi="inter" w:eastAsia="inter" w:cs="inter"/>
          <w:color w:val="000000"/>
          <w:sz w:val="21"/>
        </w:rPr>
        <w:t>对比2,233个不同组成的实验形成能，发现DFT预测与实验的差异主要来自DFT理论级和实验不确定性</w:t>
      </w:r>
      <w:bookmarkStart w:id="67" w:name="fnref14_2"/>
      <w:bookmarkEnd w:id="67"/>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1C5A5B0F">
      <w:pPr>
        <w:numPr>
          <w:ilvl w:val="0"/>
          <w:numId w:val="16"/>
        </w:numPr>
        <w:spacing w:before="105" w:after="105" w:line="360" w:lineRule="auto"/>
      </w:pPr>
      <w:r>
        <w:rPr>
          <w:rFonts w:ascii="inter" w:hAnsi="inter" w:eastAsia="inter" w:cs="inter"/>
          <w:color w:val="000000"/>
          <w:sz w:val="21"/>
        </w:rPr>
        <w:t>独特的多计算集合方法：通过多个数据库（OQMD、MP、AFLOW）的交叉验证来评估参数选择的影响</w:t>
      </w:r>
    </w:p>
    <w:p w14:paraId="6D8A9807">
      <w:pPr>
        <w:spacing w:after="210" w:line="360" w:lineRule="auto"/>
      </w:pPr>
      <w:r>
        <w:rPr>
          <w:rFonts w:ascii="inter" w:hAnsi="inter" w:eastAsia="inter" w:cs="inter"/>
          <w:b/>
          <w:color w:val="000000"/>
        </w:rPr>
        <w:t>局限性与改进策略</w:t>
      </w:r>
      <w:r>
        <w:rPr>
          <w:rFonts w:ascii="inter" w:hAnsi="inter" w:eastAsia="inter" w:cs="inter"/>
          <w:color w:val="000000"/>
        </w:rPr>
        <w:t>：</w:t>
      </w:r>
    </w:p>
    <w:p w14:paraId="1F7AB1EE">
      <w:pPr>
        <w:numPr>
          <w:ilvl w:val="0"/>
          <w:numId w:val="17"/>
        </w:numPr>
        <w:spacing w:before="105" w:after="105" w:line="360" w:lineRule="auto"/>
      </w:pPr>
      <w:r>
        <w:rPr>
          <w:rFonts w:ascii="inter" w:hAnsi="inter" w:eastAsia="inter" w:cs="inter"/>
          <w:color w:val="000000"/>
          <w:sz w:val="21"/>
        </w:rPr>
        <w:t>某些元素或化学系统的覆盖不足（如某些稀有元素合金）</w:t>
      </w:r>
    </w:p>
    <w:p w14:paraId="7CDB40C9">
      <w:pPr>
        <w:numPr>
          <w:ilvl w:val="0"/>
          <w:numId w:val="17"/>
        </w:numPr>
        <w:spacing w:before="105" w:after="105" w:line="360" w:lineRule="auto"/>
      </w:pPr>
      <w:r>
        <w:rPr>
          <w:rFonts w:ascii="inter" w:hAnsi="inter" w:eastAsia="inter" w:cs="inter"/>
          <w:color w:val="000000"/>
          <w:sz w:val="21"/>
        </w:rPr>
        <w:t>对非平衡相或亚稳相的计算有限</w:t>
      </w:r>
    </w:p>
    <w:p w14:paraId="3E1919B5">
      <w:pPr>
        <w:numPr>
          <w:ilvl w:val="0"/>
          <w:numId w:val="17"/>
        </w:numPr>
        <w:spacing w:before="105" w:after="105" w:line="360" w:lineRule="auto"/>
      </w:pPr>
      <w:r>
        <w:rPr>
          <w:rFonts w:ascii="inter" w:hAnsi="inter" w:eastAsia="inter" w:cs="inter"/>
          <w:color w:val="000000"/>
          <w:sz w:val="21"/>
        </w:rPr>
        <w:t>最近增加了混合泛函计算的小规模数据库（2024-2025年版本），用于改善某些难以用GGA描述的材料的预测</w:t>
      </w:r>
    </w:p>
    <w:p w14:paraId="5D1C0EFA">
      <w:pPr>
        <w:spacing w:before="315" w:after="105" w:line="360" w:lineRule="auto"/>
        <w:ind w:left="-30"/>
        <w:jc w:val="left"/>
      </w:pPr>
      <w:bookmarkStart w:id="68" w:name="bm_4_3_aflow数据库"/>
      <w:r>
        <w:rPr>
          <w:rFonts w:ascii="inter" w:hAnsi="inter" w:eastAsia="inter" w:cs="inter"/>
          <w:b/>
          <w:color w:val="000000"/>
          <w:sz w:val="24"/>
        </w:rPr>
        <w:t>4.3 AFLOW数据库</w:t>
      </w:r>
      <w:bookmarkEnd w:id="68"/>
    </w:p>
    <w:p w14:paraId="5059480E">
      <w:pPr>
        <w:spacing w:after="210" w:line="360" w:lineRule="auto"/>
      </w:pPr>
      <w:r>
        <w:rPr>
          <w:rFonts w:ascii="inter" w:hAnsi="inter" w:eastAsia="inter" w:cs="inter"/>
          <w:b/>
          <w:color w:val="000000"/>
        </w:rPr>
        <w:t>特点与优势</w:t>
      </w:r>
      <w:r>
        <w:rPr>
          <w:rFonts w:ascii="inter" w:hAnsi="inter" w:eastAsia="inter" w:cs="inter"/>
          <w:color w:val="000000"/>
        </w:rPr>
        <w:t>：</w:t>
      </w:r>
      <w:bookmarkStart w:id="69" w:name="fnref16_2"/>
      <w:bookmarkEnd w:id="6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70" w:name="fnref20_3"/>
      <w:bookmarkEnd w:id="70"/>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20338FF2">
      <w:pPr>
        <w:numPr>
          <w:ilvl w:val="0"/>
          <w:numId w:val="18"/>
        </w:numPr>
        <w:spacing w:before="105" w:after="105" w:line="360" w:lineRule="auto"/>
      </w:pPr>
      <w:r>
        <w:rPr>
          <w:rFonts w:ascii="inter" w:hAnsi="inter" w:eastAsia="inter" w:cs="inter"/>
          <w:color w:val="000000"/>
          <w:sz w:val="21"/>
        </w:rPr>
        <w:t>包含1.8百万个材料条目，是数据库中最大的</w:t>
      </w:r>
    </w:p>
    <w:p w14:paraId="0941A7B9">
      <w:pPr>
        <w:numPr>
          <w:ilvl w:val="0"/>
          <w:numId w:val="18"/>
        </w:numPr>
        <w:spacing w:before="105" w:after="105" w:line="360" w:lineRule="auto"/>
      </w:pPr>
      <w:r>
        <w:rPr>
          <w:rFonts w:ascii="inter" w:hAnsi="inter" w:eastAsia="inter" w:cs="inter"/>
          <w:color w:val="000000"/>
          <w:sz w:val="21"/>
        </w:rPr>
        <w:t>集成了多个自动化属性计算工作流（弹性、热学、电子结构等）</w:t>
      </w:r>
    </w:p>
    <w:p w14:paraId="2C9611E3">
      <w:pPr>
        <w:numPr>
          <w:ilvl w:val="0"/>
          <w:numId w:val="18"/>
        </w:numPr>
        <w:spacing w:before="105" w:after="105" w:line="360" w:lineRule="auto"/>
      </w:pPr>
      <w:r>
        <w:rPr>
          <w:rFonts w:ascii="inter" w:hAnsi="inter" w:eastAsia="inter" w:cs="inter"/>
          <w:color w:val="000000"/>
          <w:sz w:val="21"/>
        </w:rPr>
        <w:t>高度标准化的计算参数确保数据可比性和再现性</w:t>
      </w:r>
    </w:p>
    <w:p w14:paraId="56D20F17">
      <w:pPr>
        <w:numPr>
          <w:ilvl w:val="0"/>
          <w:numId w:val="18"/>
        </w:numPr>
        <w:spacing w:before="105" w:after="105" w:line="360" w:lineRule="auto"/>
      </w:pPr>
      <w:r>
        <w:rPr>
          <w:rFonts w:ascii="inter" w:hAnsi="inter" w:eastAsia="inter" w:cs="inter"/>
          <w:color w:val="000000"/>
          <w:sz w:val="21"/>
        </w:rPr>
        <w:t>AFLOW-CHULL工具可自动计算凸包、相图和热力学稳定性</w:t>
      </w:r>
    </w:p>
    <w:p w14:paraId="7F85D3C9">
      <w:pPr>
        <w:spacing w:after="210" w:line="360" w:lineRule="auto"/>
      </w:pPr>
      <w:r>
        <w:rPr>
          <w:rFonts w:ascii="inter" w:hAnsi="inter" w:eastAsia="inter" w:cs="inter"/>
          <w:b/>
          <w:color w:val="000000"/>
        </w:rPr>
        <w:t>计算流程创新</w:t>
      </w:r>
      <w:r>
        <w:rPr>
          <w:rFonts w:ascii="inter" w:hAnsi="inter" w:eastAsia="inter" w:cs="inter"/>
          <w:color w:val="000000"/>
        </w:rPr>
        <w:t>：</w:t>
      </w:r>
      <w:bookmarkStart w:id="71" w:name="fnref20_4"/>
      <w:bookmarkEnd w:id="7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14A87F43">
      <w:pPr>
        <w:numPr>
          <w:ilvl w:val="0"/>
          <w:numId w:val="19"/>
        </w:numPr>
        <w:spacing w:before="105" w:after="105" w:line="360" w:lineRule="auto"/>
      </w:pPr>
      <w:r>
        <w:rPr>
          <w:rFonts w:ascii="inter" w:hAnsi="inter" w:eastAsia="inter" w:cs="inter"/>
          <w:color w:val="000000"/>
          <w:sz w:val="21"/>
        </w:rPr>
        <w:t>AFLOW-AGL：通过拟合应变-能量曲线计算热学性质，避免了昂贵的有限位移方法</w:t>
      </w:r>
    </w:p>
    <w:p w14:paraId="4D0C1FE1">
      <w:pPr>
        <w:numPr>
          <w:ilvl w:val="0"/>
          <w:numId w:val="19"/>
        </w:numPr>
        <w:spacing w:before="105" w:after="105" w:line="360" w:lineRule="auto"/>
      </w:pPr>
      <w:r>
        <w:rPr>
          <w:rFonts w:ascii="inter" w:hAnsi="inter" w:eastAsia="inter" w:cs="inter"/>
          <w:color w:val="000000"/>
          <w:sz w:val="21"/>
        </w:rPr>
        <w:t>AFLOW-AEL：通过体积应变计算弹性张量</w:t>
      </w:r>
    </w:p>
    <w:p w14:paraId="7B61A58A">
      <w:pPr>
        <w:numPr>
          <w:ilvl w:val="0"/>
          <w:numId w:val="19"/>
        </w:numPr>
        <w:spacing w:before="105" w:after="105" w:line="360" w:lineRule="auto"/>
      </w:pPr>
      <w:r>
        <w:rPr>
          <w:rFonts w:ascii="inter" w:hAnsi="inter" w:eastAsia="inter" w:cs="inter"/>
          <w:color w:val="000000"/>
          <w:sz w:val="21"/>
        </w:rPr>
        <w:t>全自动错误检测和修正机制，提高了数据质量</w:t>
      </w:r>
    </w:p>
    <w:p w14:paraId="75257609">
      <w:pPr>
        <w:spacing w:before="315" w:after="105" w:line="360" w:lineRule="auto"/>
        <w:ind w:left="-30"/>
        <w:jc w:val="left"/>
      </w:pPr>
      <w:bookmarkStart w:id="72" w:name="bm_4_4_nomad与数据整合生态"/>
      <w:r>
        <w:rPr>
          <w:rFonts w:ascii="inter" w:hAnsi="inter" w:eastAsia="inter" w:cs="inter"/>
          <w:b/>
          <w:color w:val="000000"/>
          <w:sz w:val="24"/>
        </w:rPr>
        <w:t>4.4 NOMAD与数据整合生态</w:t>
      </w:r>
      <w:bookmarkEnd w:id="72"/>
    </w:p>
    <w:p w14:paraId="4F4AA450">
      <w:pPr>
        <w:spacing w:after="210" w:line="360" w:lineRule="auto"/>
      </w:pPr>
      <w:r>
        <w:rPr>
          <w:rFonts w:ascii="inter" w:hAnsi="inter" w:eastAsia="inter" w:cs="inter"/>
          <w:b/>
          <w:color w:val="000000"/>
        </w:rPr>
        <w:t>综合性数据平台</w:t>
      </w:r>
      <w:r>
        <w:rPr>
          <w:rFonts w:ascii="inter" w:hAnsi="inter" w:eastAsia="inter" w:cs="inter"/>
          <w:color w:val="000000"/>
        </w:rPr>
        <w:t>：NOMAD是迄今为止最大的此类数据库，整合了Materials Project、AFLOW、OQMD等多个来源的数据，支持60+种计算代码格式的数据提取和分析，为大规模数据挖掘和跨数据库比较提供了统一平台。</w:t>
      </w:r>
      <w:bookmarkStart w:id="73" w:name="fnref31"/>
      <w:bookmarkEnd w:id="73"/>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20642F40">
      <w:pPr>
        <w:spacing w:before="315" w:after="105" w:line="360" w:lineRule="auto"/>
        <w:ind w:left="-30"/>
        <w:jc w:val="left"/>
      </w:pPr>
      <w:bookmarkStart w:id="74" w:name="bm_4_5_数据质量与产业应用的关键问题"/>
      <w:r>
        <w:rPr>
          <w:rFonts w:ascii="inter" w:hAnsi="inter" w:eastAsia="inter" w:cs="inter"/>
          <w:b/>
          <w:color w:val="000000"/>
          <w:sz w:val="24"/>
        </w:rPr>
        <w:t>4.5 数据质量与产业应用的关键问题</w:t>
      </w:r>
      <w:bookmarkEnd w:id="74"/>
    </w:p>
    <w:p w14:paraId="73CAF9F1">
      <w:pPr>
        <w:spacing w:after="210" w:line="360" w:lineRule="auto"/>
      </w:pPr>
      <w:r>
        <w:rPr>
          <w:rFonts w:ascii="inter" w:hAnsi="inter" w:eastAsia="inter" w:cs="inter"/>
          <w:b/>
          <w:color w:val="000000"/>
        </w:rPr>
        <w:t>DFT泛函的偏差问题</w:t>
      </w:r>
      <w:r>
        <w:rPr>
          <w:rFonts w:ascii="inter" w:hAnsi="inter" w:eastAsia="inter" w:cs="inter"/>
          <w:color w:val="000000"/>
        </w:rPr>
        <w:t>：</w:t>
      </w:r>
      <w:bookmarkStart w:id="75" w:name="fnref32"/>
      <w:bookmarkEnd w:id="75"/>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76" w:name="fnref30_1"/>
      <w:bookmarkEnd w:id="76"/>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7E6103D6">
      <w:pPr>
        <w:numPr>
          <w:ilvl w:val="0"/>
          <w:numId w:val="20"/>
        </w:numPr>
        <w:spacing w:before="105" w:after="105" w:line="360" w:lineRule="auto"/>
      </w:pPr>
      <w:r>
        <w:rPr>
          <w:rFonts w:ascii="inter" w:hAnsi="inter" w:eastAsia="inter" w:cs="inter"/>
          <w:color w:val="000000"/>
          <w:sz w:val="21"/>
        </w:rPr>
        <w:t>不同泛函（GGA、PBE、SCAN等）对同一材料的能带间隙预测差异巨大（常超过1 eV）</w:t>
      </w:r>
    </w:p>
    <w:p w14:paraId="71DB3909">
      <w:pPr>
        <w:numPr>
          <w:ilvl w:val="0"/>
          <w:numId w:val="20"/>
        </w:numPr>
        <w:spacing w:before="105" w:after="105" w:line="360" w:lineRule="auto"/>
      </w:pPr>
      <w:r>
        <w:rPr>
          <w:rFonts w:ascii="inter" w:hAnsi="inter" w:eastAsia="inter" w:cs="inter"/>
          <w:color w:val="000000"/>
          <w:sz w:val="21"/>
        </w:rPr>
        <w:t>GGA系统性低估带隙，对d/f电子系统描述不准确</w:t>
      </w:r>
    </w:p>
    <w:p w14:paraId="31A4E19E">
      <w:pPr>
        <w:numPr>
          <w:ilvl w:val="0"/>
          <w:numId w:val="20"/>
        </w:numPr>
        <w:spacing w:before="105" w:after="105" w:line="360" w:lineRule="auto"/>
      </w:pPr>
      <w:r>
        <w:rPr>
          <w:rFonts w:ascii="inter" w:hAnsi="inter" w:eastAsia="inter" w:cs="inter"/>
          <w:color w:val="000000"/>
          <w:sz w:val="21"/>
        </w:rPr>
        <w:t>解决方案：采用共识策略（多泛函平均）或基于数据的泛函设计ML方法</w:t>
      </w:r>
    </w:p>
    <w:p w14:paraId="712A38EF">
      <w:pPr>
        <w:spacing w:after="210" w:line="360" w:lineRule="auto"/>
      </w:pPr>
      <w:r>
        <w:rPr>
          <w:rFonts w:ascii="inter" w:hAnsi="inter" w:eastAsia="inter" w:cs="inter"/>
          <w:b/>
          <w:color w:val="000000"/>
        </w:rPr>
        <w:t>数据稀疏性与偏差</w:t>
      </w:r>
      <w:r>
        <w:rPr>
          <w:rFonts w:ascii="inter" w:hAnsi="inter" w:eastAsia="inter" w:cs="inter"/>
          <w:color w:val="000000"/>
        </w:rPr>
        <w:t>：</w:t>
      </w:r>
      <w:bookmarkStart w:id="77" w:name="fnref33"/>
      <w:bookmarkEnd w:id="77"/>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3106B0D2">
      <w:pPr>
        <w:numPr>
          <w:ilvl w:val="0"/>
          <w:numId w:val="21"/>
        </w:numPr>
        <w:spacing w:before="105" w:after="105" w:line="360" w:lineRule="auto"/>
      </w:pPr>
      <w:r>
        <w:rPr>
          <w:rFonts w:ascii="inter" w:hAnsi="inter" w:eastAsia="inter" w:cs="inter"/>
          <w:color w:val="000000"/>
          <w:sz w:val="21"/>
        </w:rPr>
        <w:t>计算昂贵的高级方法（混合泛函、GW近似、蒙特卡洛）覆盖的材料数量极少</w:t>
      </w:r>
    </w:p>
    <w:p w14:paraId="36D2EC7B">
      <w:pPr>
        <w:numPr>
          <w:ilvl w:val="0"/>
          <w:numId w:val="21"/>
        </w:numPr>
        <w:spacing w:before="105" w:after="105" w:line="360" w:lineRule="auto"/>
      </w:pPr>
      <w:r>
        <w:rPr>
          <w:rFonts w:ascii="inter" w:hAnsi="inter" w:eastAsia="inter" w:cs="inter"/>
          <w:color w:val="000000"/>
          <w:sz w:val="21"/>
        </w:rPr>
        <w:t>某些有前景的功能材料类（具有挑战性电子结构的材料）在数据库中代表性不足</w:t>
      </w:r>
    </w:p>
    <w:p w14:paraId="48121550">
      <w:pPr>
        <w:numPr>
          <w:ilvl w:val="0"/>
          <w:numId w:val="21"/>
        </w:numPr>
        <w:spacing w:before="105" w:after="105" w:line="360" w:lineRule="auto"/>
      </w:pPr>
      <w:r>
        <w:rPr>
          <w:rFonts w:ascii="inter" w:hAnsi="inter" w:eastAsia="inter" w:cs="inter"/>
          <w:color w:val="000000"/>
          <w:sz w:val="21"/>
        </w:rPr>
        <w:t>假设结构与实验可合成结构的差异尚未充分解决</w:t>
      </w:r>
    </w:p>
    <w:p w14:paraId="6A2577E5">
      <w:pPr>
        <w:spacing w:before="315" w:after="105" w:line="360" w:lineRule="auto"/>
        <w:ind w:left="-30"/>
        <w:jc w:val="left"/>
      </w:pPr>
      <w:bookmarkStart w:id="78" w:name="bm_5_模型类型与应用细节"/>
      <w:r>
        <w:rPr>
          <w:rFonts w:ascii="inter" w:hAnsi="inter" w:eastAsia="inter" w:cs="inter"/>
          <w:b/>
          <w:color w:val="000000"/>
          <w:sz w:val="24"/>
        </w:rPr>
        <w:t>5. 模型类型与应用细节</w:t>
      </w:r>
      <w:bookmarkEnd w:id="78"/>
    </w:p>
    <w:p w14:paraId="6A08673F">
      <w:pPr>
        <w:spacing w:before="315" w:after="105" w:line="360" w:lineRule="auto"/>
        <w:ind w:left="-30"/>
        <w:jc w:val="left"/>
      </w:pPr>
      <w:bookmarkStart w:id="79" w:name="bm_5_1_图神经网络_gnn_模型族"/>
      <w:r>
        <w:rPr>
          <w:rFonts w:ascii="inter" w:hAnsi="inter" w:eastAsia="inter" w:cs="inter"/>
          <w:b/>
          <w:color w:val="000000"/>
          <w:sz w:val="24"/>
        </w:rPr>
        <w:t>5.1 图神经网络（GNN）模型族</w:t>
      </w:r>
      <w:bookmarkEnd w:id="79"/>
    </w:p>
    <w:p w14:paraId="4F26FEEC">
      <w:pPr>
        <w:spacing w:after="210" w:line="360" w:lineRule="auto"/>
      </w:pPr>
      <w:r>
        <w:rPr>
          <w:rFonts w:ascii="inter" w:hAnsi="inter" w:eastAsia="inter" w:cs="inter"/>
          <w:b/>
          <w:color w:val="000000"/>
        </w:rPr>
        <w:t>CGCNN（晶体图卷积神经网络）</w:t>
      </w:r>
      <w:r>
        <w:rPr>
          <w:rFonts w:ascii="inter" w:hAnsi="inter" w:eastAsia="inter" w:cs="inter"/>
          <w:color w:val="000000"/>
        </w:rPr>
        <w:t>：</w:t>
      </w:r>
      <w:bookmarkStart w:id="80" w:name="fnref25_1"/>
      <w:bookmarkEnd w:id="8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81" w:name="fnref24_3"/>
      <w:bookmarkEnd w:id="8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3690D36B">
      <w:pPr>
        <w:numPr>
          <w:ilvl w:val="0"/>
          <w:numId w:val="22"/>
        </w:numPr>
        <w:spacing w:before="105" w:after="105" w:line="360" w:lineRule="auto"/>
      </w:pPr>
      <w:r>
        <w:rPr>
          <w:rFonts w:ascii="inter" w:hAnsi="inter" w:eastAsia="inter" w:cs="inter"/>
          <w:color w:val="000000"/>
          <w:sz w:val="21"/>
        </w:rPr>
        <w:t>架构：将周期晶体结构转换为无向多重图，节点代表原子，边代表原子间相互作用</w:t>
      </w:r>
    </w:p>
    <w:p w14:paraId="1698F732">
      <w:pPr>
        <w:numPr>
          <w:ilvl w:val="0"/>
          <w:numId w:val="22"/>
        </w:numPr>
        <w:spacing w:before="105" w:after="105" w:line="360" w:lineRule="auto"/>
      </w:pPr>
      <w:r>
        <w:rPr>
          <w:rFonts w:ascii="inter" w:hAnsi="inter" w:eastAsia="inter" w:cs="inter"/>
          <w:color w:val="000000"/>
          <w:sz w:val="21"/>
        </w:rPr>
        <w:t>特点：仅利用原子距离信息，未显式编码键角</w:t>
      </w:r>
    </w:p>
    <w:p w14:paraId="352CC447">
      <w:pPr>
        <w:numPr>
          <w:ilvl w:val="0"/>
          <w:numId w:val="22"/>
        </w:numPr>
        <w:spacing w:before="105" w:after="105" w:line="360" w:lineRule="auto"/>
      </w:pPr>
      <w:r>
        <w:rPr>
          <w:rFonts w:ascii="inter" w:hAnsi="inter" w:eastAsia="inter" w:cs="inter"/>
          <w:color w:val="000000"/>
          <w:sz w:val="21"/>
        </w:rPr>
        <w:t>应用：广泛用于形成能、能带间隙和多种性质的预测</w:t>
      </w:r>
      <w:bookmarkStart w:id="82" w:name="fnref25_2"/>
      <w:bookmarkEnd w:id="82"/>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66DF9094">
      <w:pPr>
        <w:numPr>
          <w:ilvl w:val="0"/>
          <w:numId w:val="22"/>
        </w:numPr>
        <w:spacing w:before="105" w:after="105" w:line="360" w:lineRule="auto"/>
      </w:pPr>
      <w:r>
        <w:rPr>
          <w:rFonts w:ascii="inter" w:hAnsi="inter" w:eastAsia="inter" w:cs="inter"/>
          <w:color w:val="000000"/>
          <w:sz w:val="21"/>
        </w:rPr>
        <w:t>性能限制：难以捕捉周期性（晶格常数预测R²较低）和复杂的全局结构特征</w:t>
      </w:r>
      <w:bookmarkStart w:id="83" w:name="fnref25_3"/>
      <w:bookmarkEnd w:id="83"/>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41343272">
      <w:pPr>
        <w:spacing w:after="210" w:line="360" w:lineRule="auto"/>
      </w:pPr>
      <w:r>
        <w:rPr>
          <w:rFonts w:ascii="inter" w:hAnsi="inter" w:eastAsia="inter" w:cs="inter"/>
          <w:b/>
          <w:color w:val="000000"/>
        </w:rPr>
        <w:t>ALIGNN（原子线图神经网络）</w:t>
      </w:r>
      <w:r>
        <w:rPr>
          <w:rFonts w:ascii="inter" w:hAnsi="inter" w:eastAsia="inter" w:cs="inter"/>
          <w:color w:val="000000"/>
        </w:rPr>
        <w:t>：</w:t>
      </w:r>
      <w:bookmarkStart w:id="84" w:name="fnref24_4"/>
      <w:bookmarkEnd w:id="84"/>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5E404693">
      <w:pPr>
        <w:numPr>
          <w:ilvl w:val="0"/>
          <w:numId w:val="23"/>
        </w:numPr>
        <w:spacing w:before="105" w:after="105" w:line="360" w:lineRule="auto"/>
      </w:pPr>
      <w:r>
        <w:rPr>
          <w:rFonts w:ascii="inter" w:hAnsi="inter" w:eastAsia="inter" w:cs="inter"/>
          <w:color w:val="000000"/>
          <w:sz w:val="21"/>
        </w:rPr>
        <w:t>架构创新：同时使用原子图和其线图，显式编码键角和三体相互作用</w:t>
      </w:r>
    </w:p>
    <w:p w14:paraId="6A8F3FE4">
      <w:pPr>
        <w:numPr>
          <w:ilvl w:val="0"/>
          <w:numId w:val="23"/>
        </w:numPr>
        <w:spacing w:before="105" w:after="105" w:line="360" w:lineRule="auto"/>
      </w:pPr>
      <w:r>
        <w:rPr>
          <w:rFonts w:ascii="inter" w:hAnsi="inter" w:eastAsia="inter" w:cs="inter"/>
          <w:color w:val="000000"/>
          <w:sz w:val="21"/>
        </w:rPr>
        <w:t>性能优势：在形成能和能带间隙预测上相比CGCNN提升43.6%和43.8%</w:t>
      </w:r>
      <w:bookmarkStart w:id="85" w:name="fnref24_5"/>
      <w:bookmarkEnd w:id="85"/>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2A26EF18">
      <w:pPr>
        <w:numPr>
          <w:ilvl w:val="0"/>
          <w:numId w:val="23"/>
        </w:numPr>
        <w:spacing w:before="105" w:after="105" w:line="360" w:lineRule="auto"/>
      </w:pPr>
      <w:r>
        <w:rPr>
          <w:rFonts w:ascii="inter" w:hAnsi="inter" w:eastAsia="inter" w:cs="inter"/>
          <w:color w:val="000000"/>
          <w:sz w:val="21"/>
        </w:rPr>
        <w:t>计算效率：训练收敛快（~300个周期），单周期时间可通过层规范化优化减少1.7倍</w:t>
      </w:r>
      <w:bookmarkStart w:id="86" w:name="fnref24_6"/>
      <w:bookmarkEnd w:id="86"/>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353AB650">
      <w:pPr>
        <w:numPr>
          <w:ilvl w:val="0"/>
          <w:numId w:val="23"/>
        </w:numPr>
        <w:spacing w:before="105" w:after="105" w:line="360" w:lineRule="auto"/>
      </w:pPr>
      <w:r>
        <w:rPr>
          <w:rFonts w:ascii="inter" w:hAnsi="inter" w:eastAsia="inter" w:cs="inter"/>
          <w:color w:val="000000"/>
          <w:sz w:val="21"/>
        </w:rPr>
        <w:t>应用：QM9分子数据集、JARVIS-DFT晶体数据集等多个基准测试</w:t>
      </w:r>
    </w:p>
    <w:p w14:paraId="0C7A54DF">
      <w:pPr>
        <w:spacing w:after="210" w:line="360" w:lineRule="auto"/>
      </w:pPr>
      <w:r>
        <w:rPr>
          <w:rFonts w:ascii="inter" w:hAnsi="inter" w:eastAsia="inter" w:cs="inter"/>
          <w:b/>
          <w:color w:val="000000"/>
        </w:rPr>
        <w:t>MEGNet与Matformer</w:t>
      </w:r>
      <w:r>
        <w:rPr>
          <w:rFonts w:ascii="inter" w:hAnsi="inter" w:eastAsia="inter" w:cs="inter"/>
          <w:color w:val="000000"/>
        </w:rPr>
        <w:t>：</w:t>
      </w:r>
      <w:bookmarkStart w:id="87" w:name="fnref25_4"/>
      <w:bookmarkEnd w:id="87"/>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44650C99">
      <w:pPr>
        <w:numPr>
          <w:ilvl w:val="0"/>
          <w:numId w:val="24"/>
        </w:numPr>
        <w:spacing w:before="105" w:after="105" w:line="360" w:lineRule="auto"/>
      </w:pPr>
      <w:r>
        <w:rPr>
          <w:rFonts w:ascii="inter" w:hAnsi="inter" w:eastAsia="inter" w:cs="inter"/>
          <w:color w:val="000000"/>
          <w:sz w:val="21"/>
        </w:rPr>
        <w:t>MEGNet：引入全局注意力聚合，允许全局信息在池化阶段交换，性能在某些任务上超越CGCNN</w:t>
      </w:r>
      <w:bookmarkStart w:id="88" w:name="fnref25_5"/>
      <w:bookmarkEnd w:id="88"/>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6E3D85EF">
      <w:pPr>
        <w:numPr>
          <w:ilvl w:val="0"/>
          <w:numId w:val="24"/>
        </w:numPr>
        <w:spacing w:before="105" w:after="105" w:line="360" w:lineRule="auto"/>
      </w:pPr>
      <w:r>
        <w:rPr>
          <w:rFonts w:ascii="inter" w:hAnsi="inter" w:eastAsia="inter" w:cs="inter"/>
          <w:color w:val="000000"/>
          <w:sz w:val="21"/>
        </w:rPr>
        <w:t>Matformer：采用Transformer架构进行消息传递，可选择性地连接相邻晶胞的相同原子以编码周期性</w:t>
      </w:r>
      <w:bookmarkStart w:id="89" w:name="fnref25_6"/>
      <w:bookmarkEnd w:id="89"/>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6E5FC574">
      <w:pPr>
        <w:spacing w:after="210" w:line="360" w:lineRule="auto"/>
      </w:pPr>
      <w:r>
        <w:rPr>
          <w:rFonts w:ascii="inter" w:hAnsi="inter" w:eastAsia="inter" w:cs="inter"/>
          <w:b/>
          <w:color w:val="000000"/>
        </w:rPr>
        <w:t>E3NN（等变神经网络）</w:t>
      </w:r>
      <w:r>
        <w:rPr>
          <w:rFonts w:ascii="inter" w:hAnsi="inter" w:eastAsia="inter" w:cs="inter"/>
          <w:color w:val="000000"/>
        </w:rPr>
        <w:t>：</w:t>
      </w:r>
      <w:bookmarkStart w:id="90" w:name="fnref25_7"/>
      <w:bookmarkEnd w:id="9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274DB0CD">
      <w:pPr>
        <w:numPr>
          <w:ilvl w:val="0"/>
          <w:numId w:val="25"/>
        </w:numPr>
        <w:spacing w:before="105" w:after="105" w:line="360" w:lineRule="auto"/>
      </w:pPr>
      <w:r>
        <w:rPr>
          <w:rFonts w:ascii="inter" w:hAnsi="inter" w:eastAsia="inter" w:cs="inter"/>
          <w:color w:val="000000"/>
          <w:sz w:val="21"/>
        </w:rPr>
        <w:t>特点：直接编码相对向量，构建对旋转等变的表示</w:t>
      </w:r>
    </w:p>
    <w:p w14:paraId="21F19171">
      <w:pPr>
        <w:numPr>
          <w:ilvl w:val="0"/>
          <w:numId w:val="25"/>
        </w:numPr>
        <w:spacing w:before="105" w:after="105" w:line="360" w:lineRule="auto"/>
      </w:pPr>
      <w:r>
        <w:rPr>
          <w:rFonts w:ascii="inter" w:hAnsi="inter" w:eastAsia="inter" w:cs="inter"/>
          <w:color w:val="000000"/>
          <w:sz w:val="21"/>
        </w:rPr>
        <w:t>优势：天然处理旋转对称性和其他几何对称性</w:t>
      </w:r>
    </w:p>
    <w:p w14:paraId="32F54F52">
      <w:pPr>
        <w:numPr>
          <w:ilvl w:val="0"/>
          <w:numId w:val="25"/>
        </w:numPr>
        <w:spacing w:before="105" w:after="105" w:line="360" w:lineRule="auto"/>
      </w:pPr>
      <w:r>
        <w:rPr>
          <w:rFonts w:ascii="inter" w:hAnsi="inter" w:eastAsia="inter" w:cs="inter"/>
          <w:color w:val="000000"/>
          <w:sz w:val="21"/>
        </w:rPr>
        <w:t>缺点：参数数量较多，计算成本相对较高</w:t>
      </w:r>
    </w:p>
    <w:p w14:paraId="6D8E6B74">
      <w:pPr>
        <w:spacing w:before="315" w:after="105" w:line="360" w:lineRule="auto"/>
        <w:ind w:left="-30"/>
        <w:jc w:val="left"/>
      </w:pPr>
      <w:bookmarkStart w:id="91" w:name="bm_5_2_深度学习架构的新进展"/>
      <w:r>
        <w:rPr>
          <w:rFonts w:ascii="inter" w:hAnsi="inter" w:eastAsia="inter" w:cs="inter"/>
          <w:b/>
          <w:color w:val="000000"/>
          <w:sz w:val="24"/>
        </w:rPr>
        <w:t>5.2 深度学习架构的新进展</w:t>
      </w:r>
      <w:bookmarkEnd w:id="91"/>
    </w:p>
    <w:p w14:paraId="27A024F2">
      <w:pPr>
        <w:spacing w:after="210" w:line="360" w:lineRule="auto"/>
      </w:pPr>
      <w:r>
        <w:rPr>
          <w:rFonts w:ascii="inter" w:hAnsi="inter" w:eastAsia="inter" w:cs="inter"/>
          <w:b/>
          <w:color w:val="000000"/>
        </w:rPr>
        <w:t>Transformer模型在材料科学中的应用</w:t>
      </w:r>
      <w:r>
        <w:rPr>
          <w:rFonts w:ascii="inter" w:hAnsi="inter" w:eastAsia="inter" w:cs="inter"/>
          <w:color w:val="000000"/>
        </w:rPr>
        <w:t>：</w:t>
      </w:r>
      <w:bookmarkStart w:id="92" w:name="fnref34"/>
      <w:bookmarkEnd w:id="92"/>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93" w:name="fnref35"/>
      <w:bookmarkEnd w:id="93"/>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38AF69BF">
      <w:pPr>
        <w:numPr>
          <w:ilvl w:val="0"/>
          <w:numId w:val="26"/>
        </w:numPr>
        <w:spacing w:before="105" w:after="105" w:line="360" w:lineRule="auto"/>
      </w:pPr>
      <w:r>
        <w:rPr>
          <w:rFonts w:ascii="inter" w:hAnsi="inter" w:eastAsia="inter" w:cs="inter"/>
          <w:b/>
          <w:color w:val="000000"/>
          <w:sz w:val="21"/>
        </w:rPr>
        <w:t>LLM-Prop（使用LLM预测物性）</w:t>
      </w:r>
      <w:r>
        <w:rPr>
          <w:rFonts w:ascii="inter" w:hAnsi="inter" w:eastAsia="inter" w:cs="inter"/>
          <w:color w:val="000000"/>
          <w:sz w:val="21"/>
        </w:rPr>
        <w:t>：采用CrystalTransformer生成的通用原子嵌入，与CGCNN组合可提升14%的精度，与ALIGNN组合可提升18%</w:t>
      </w:r>
      <w:bookmarkStart w:id="94" w:name="fnref36"/>
      <w:bookmarkEnd w:id="94"/>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bookmarkStart w:id="95" w:name="fnref34_1"/>
      <w:bookmarkEnd w:id="95"/>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p>
    <w:p w14:paraId="6FDD8BD4">
      <w:pPr>
        <w:numPr>
          <w:ilvl w:val="0"/>
          <w:numId w:val="26"/>
        </w:numPr>
        <w:spacing w:before="105" w:after="105" w:line="360" w:lineRule="auto"/>
      </w:pPr>
      <w:r>
        <w:rPr>
          <w:rFonts w:ascii="inter" w:hAnsi="inter" w:eastAsia="inter" w:cs="inter"/>
          <w:b/>
          <w:color w:val="000000"/>
          <w:sz w:val="21"/>
        </w:rPr>
        <w:t>性能指标</w:t>
      </w:r>
      <w:r>
        <w:rPr>
          <w:rFonts w:ascii="inter" w:hAnsi="inter" w:eastAsia="inter" w:cs="inter"/>
          <w:color w:val="000000"/>
          <w:sz w:val="21"/>
        </w:rPr>
        <w:t>：在Materials Project数据集上，使用ct-UAE（CrystalTransformer生成的原子嵌入）训练的GNN模型在形成能预测中，与传统GNN相比精度显著提升</w:t>
      </w:r>
    </w:p>
    <w:p w14:paraId="69F8172C">
      <w:pPr>
        <w:spacing w:after="210" w:line="360" w:lineRule="auto"/>
      </w:pPr>
      <w:r>
        <w:rPr>
          <w:rFonts w:ascii="inter" w:hAnsi="inter" w:eastAsia="inter" w:cs="inter"/>
          <w:b/>
          <w:color w:val="000000"/>
        </w:rPr>
        <w:t>多尺度Transformer框架</w:t>
      </w:r>
      <w:r>
        <w:rPr>
          <w:rFonts w:ascii="inter" w:hAnsi="inter" w:eastAsia="inter" w:cs="inter"/>
          <w:color w:val="000000"/>
        </w:rPr>
        <w:t>：</w:t>
      </w:r>
      <w:bookmarkStart w:id="96" w:name="fnref37"/>
      <w:bookmarkEnd w:id="96"/>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6063C9DE">
      <w:pPr>
        <w:numPr>
          <w:ilvl w:val="0"/>
          <w:numId w:val="27"/>
        </w:numPr>
        <w:spacing w:before="105" w:after="105" w:line="360" w:lineRule="auto"/>
      </w:pPr>
      <w:r>
        <w:rPr>
          <w:rFonts w:ascii="inter" w:hAnsi="inter" w:eastAsia="inter" w:cs="inter"/>
          <w:color w:val="000000"/>
          <w:sz w:val="21"/>
        </w:rPr>
        <w:t>在MOF（金属有机框架）气体吸附预测中，Uni-MOF在CoRE_MAP_DB上实现了高预测准确性（R²、RMSE、MAE指标良好）</w:t>
      </w:r>
    </w:p>
    <w:p w14:paraId="05C501B3">
      <w:pPr>
        <w:numPr>
          <w:ilvl w:val="0"/>
          <w:numId w:val="27"/>
        </w:numPr>
        <w:spacing w:before="105" w:after="105" w:line="360" w:lineRule="auto"/>
      </w:pPr>
      <w:r>
        <w:rPr>
          <w:rFonts w:ascii="inter" w:hAnsi="inter" w:eastAsia="inter" w:cs="inter"/>
          <w:color w:val="000000"/>
          <w:sz w:val="21"/>
        </w:rPr>
        <w:t>采用自监督预训练+任务特定微调的策略，有效改进了模型在限制标注数据条件下的泛化能力</w:t>
      </w:r>
    </w:p>
    <w:p w14:paraId="656EB549">
      <w:pPr>
        <w:spacing w:before="315" w:after="105" w:line="360" w:lineRule="auto"/>
        <w:ind w:left="-30"/>
        <w:jc w:val="left"/>
      </w:pPr>
      <w:bookmarkStart w:id="97" w:name="bm_5_3_生成模型的应用"/>
      <w:r>
        <w:rPr>
          <w:rFonts w:ascii="inter" w:hAnsi="inter" w:eastAsia="inter" w:cs="inter"/>
          <w:b/>
          <w:color w:val="000000"/>
          <w:sz w:val="24"/>
        </w:rPr>
        <w:t>5.3 生成模型的应用</w:t>
      </w:r>
      <w:bookmarkEnd w:id="97"/>
    </w:p>
    <w:p w14:paraId="1AEAAA9D">
      <w:pPr>
        <w:spacing w:after="210" w:line="360" w:lineRule="auto"/>
      </w:pPr>
      <w:r>
        <w:rPr>
          <w:rFonts w:ascii="inter" w:hAnsi="inter" w:eastAsia="inter" w:cs="inter"/>
          <w:b/>
          <w:color w:val="000000"/>
        </w:rPr>
        <w:t>变分自编码器（VAE）</w:t>
      </w:r>
      <w:r>
        <w:rPr>
          <w:rFonts w:ascii="inter" w:hAnsi="inter" w:eastAsia="inter" w:cs="inter"/>
          <w:color w:val="000000"/>
        </w:rPr>
        <w:t>：</w:t>
      </w:r>
      <w:bookmarkStart w:id="98" w:name="fnref38"/>
      <w:bookmarkEnd w:id="98"/>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99" w:name="fnref39"/>
      <w:bookmarkEnd w:id="99"/>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20A9DA2D">
      <w:pPr>
        <w:numPr>
          <w:ilvl w:val="0"/>
          <w:numId w:val="28"/>
        </w:numPr>
        <w:spacing w:before="105" w:after="105" w:line="360" w:lineRule="auto"/>
      </w:pPr>
      <w:r>
        <w:rPr>
          <w:rFonts w:ascii="inter" w:hAnsi="inter" w:eastAsia="inter" w:cs="inter"/>
          <w:color w:val="000000"/>
          <w:sz w:val="21"/>
        </w:rPr>
        <w:t>原理：将晶体结构编码到潜在空间，可用于反演设计（从目标性质出发生成材料组成）</w:t>
      </w:r>
    </w:p>
    <w:p w14:paraId="2936E117">
      <w:pPr>
        <w:numPr>
          <w:ilvl w:val="0"/>
          <w:numId w:val="28"/>
        </w:numPr>
        <w:spacing w:before="105" w:after="105" w:line="360" w:lineRule="auto"/>
      </w:pPr>
      <w:r>
        <w:rPr>
          <w:rFonts w:ascii="inter" w:hAnsi="inter" w:eastAsia="inter" w:cs="inter"/>
          <w:color w:val="000000"/>
          <w:sz w:val="21"/>
        </w:rPr>
        <w:t>应用案例：FTCP（傅立叶变换晶体属性）表示结合VAE，创建了可逆的晶体表示和概率性质结构化潜在空间</w:t>
      </w:r>
    </w:p>
    <w:p w14:paraId="471DC0D8">
      <w:pPr>
        <w:numPr>
          <w:ilvl w:val="0"/>
          <w:numId w:val="28"/>
        </w:numPr>
        <w:spacing w:before="105" w:after="105" w:line="360" w:lineRule="auto"/>
      </w:pPr>
      <w:r>
        <w:rPr>
          <w:rFonts w:ascii="inter" w:hAnsi="inter" w:eastAsia="inter" w:cs="inter"/>
          <w:color w:val="000000"/>
          <w:sz w:val="21"/>
        </w:rPr>
        <w:t>优势：可在潜在空间中定位具有理想性质交集的材料</w:t>
      </w:r>
    </w:p>
    <w:p w14:paraId="66B5AF04">
      <w:pPr>
        <w:spacing w:after="210" w:line="360" w:lineRule="auto"/>
      </w:pPr>
      <w:r>
        <w:rPr>
          <w:rFonts w:ascii="inter" w:hAnsi="inter" w:eastAsia="inter" w:cs="inter"/>
          <w:b/>
          <w:color w:val="000000"/>
        </w:rPr>
        <w:t>生成对抗网络（GAN）</w:t>
      </w:r>
      <w:r>
        <w:rPr>
          <w:rFonts w:ascii="inter" w:hAnsi="inter" w:eastAsia="inter" w:cs="inter"/>
          <w:color w:val="000000"/>
        </w:rPr>
        <w:t>：</w:t>
      </w:r>
      <w:bookmarkStart w:id="100" w:name="fnref40"/>
      <w:bookmarkEnd w:id="100"/>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bookmarkStart w:id="101" w:name="fnref38_1"/>
      <w:bookmarkEnd w:id="101"/>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56BBCC54">
      <w:pPr>
        <w:numPr>
          <w:ilvl w:val="0"/>
          <w:numId w:val="29"/>
        </w:numPr>
        <w:spacing w:before="105" w:after="105" w:line="360" w:lineRule="auto"/>
      </w:pPr>
      <w:r>
        <w:rPr>
          <w:rFonts w:ascii="inter" w:hAnsi="inter" w:eastAsia="inter" w:cs="inter"/>
          <w:color w:val="000000"/>
          <w:sz w:val="21"/>
        </w:rPr>
        <w:t>MatGAN案例：在OQMD数据库上训练，未显式指定化学规则的情况下，生成的材料中84.5%自动满足电荷中性和电负性平衡</w:t>
      </w:r>
      <w:bookmarkStart w:id="102" w:name="fnref40_1"/>
      <w:bookmarkEnd w:id="102"/>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p>
    <w:p w14:paraId="0C1E586C">
      <w:pPr>
        <w:numPr>
          <w:ilvl w:val="0"/>
          <w:numId w:val="29"/>
        </w:numPr>
        <w:spacing w:before="105" w:after="105" w:line="360" w:lineRule="auto"/>
      </w:pPr>
      <w:r>
        <w:rPr>
          <w:rFonts w:ascii="inter" w:hAnsi="inter" w:eastAsia="inter" w:cs="inter"/>
          <w:color w:val="000000"/>
          <w:sz w:val="21"/>
        </w:rPr>
        <w:t>性能对比：相比穷举枚举方法，GAN在采样化学组成空间的效率上显著提升</w:t>
      </w:r>
    </w:p>
    <w:p w14:paraId="24261482">
      <w:pPr>
        <w:numPr>
          <w:ilvl w:val="0"/>
          <w:numId w:val="29"/>
        </w:numPr>
        <w:spacing w:before="105" w:after="105" w:line="360" w:lineRule="auto"/>
      </w:pPr>
      <w:r>
        <w:rPr>
          <w:rFonts w:ascii="inter" w:hAnsi="inter" w:eastAsia="inter" w:cs="inter"/>
          <w:color w:val="000000"/>
          <w:sz w:val="21"/>
        </w:rPr>
        <w:t>局限性：高速率出现"模式崩溃"，难以生成非规则的化学系统</w:t>
      </w:r>
    </w:p>
    <w:p w14:paraId="41BD7AAB">
      <w:pPr>
        <w:spacing w:after="210" w:line="360" w:lineRule="auto"/>
      </w:pPr>
      <w:r>
        <w:rPr>
          <w:rFonts w:ascii="inter" w:hAnsi="inter" w:eastAsia="inter" w:cs="inter"/>
          <w:b/>
          <w:color w:val="000000"/>
        </w:rPr>
        <w:t>扩散模型</w:t>
      </w:r>
      <w:r>
        <w:rPr>
          <w:rFonts w:ascii="inter" w:hAnsi="inter" w:eastAsia="inter" w:cs="inter"/>
          <w:color w:val="000000"/>
        </w:rPr>
        <w:t>：</w:t>
      </w:r>
      <w:bookmarkStart w:id="103" w:name="fnref39_1"/>
      <w:bookmarkEnd w:id="103"/>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104" w:name="fnref38_2"/>
      <w:bookmarkEnd w:id="104"/>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2424311C">
      <w:pPr>
        <w:numPr>
          <w:ilvl w:val="0"/>
          <w:numId w:val="30"/>
        </w:numPr>
        <w:spacing w:before="105" w:after="105" w:line="360" w:lineRule="auto"/>
      </w:pPr>
      <w:r>
        <w:rPr>
          <w:rFonts w:ascii="inter" w:hAnsi="inter" w:eastAsia="inter" w:cs="inter"/>
          <w:color w:val="000000"/>
          <w:sz w:val="21"/>
        </w:rPr>
        <w:t>性能优势：在多项评估指标上均超越GAN和WGAN，包括晶胞参数分布、空间群分布等</w:t>
      </w:r>
    </w:p>
    <w:p w14:paraId="0B6BCF40">
      <w:pPr>
        <w:numPr>
          <w:ilvl w:val="0"/>
          <w:numId w:val="30"/>
        </w:numPr>
        <w:spacing w:before="105" w:after="105" w:line="360" w:lineRule="auto"/>
      </w:pPr>
      <w:r>
        <w:rPr>
          <w:rFonts w:ascii="inter" w:hAnsi="inter" w:eastAsia="inter" w:cs="inter"/>
          <w:color w:val="000000"/>
          <w:sz w:val="21"/>
        </w:rPr>
        <w:t>稳定性：不存在模式崩溃问题，生成的晶体分布与真实晶体更加接近</w:t>
      </w:r>
    </w:p>
    <w:p w14:paraId="6812C435">
      <w:pPr>
        <w:numPr>
          <w:ilvl w:val="0"/>
          <w:numId w:val="30"/>
        </w:numPr>
        <w:spacing w:before="105" w:after="105" w:line="360" w:lineRule="auto"/>
      </w:pPr>
      <w:r>
        <w:rPr>
          <w:rFonts w:ascii="inter" w:hAnsi="inter" w:eastAsia="inter" w:cs="inter"/>
          <w:color w:val="000000"/>
          <w:sz w:val="21"/>
        </w:rPr>
        <w:t>能量可靠性：M3GNet预测的能量值显著低于GAN和WGAN生成的结构</w:t>
      </w:r>
    </w:p>
    <w:p w14:paraId="0AC9C3EA">
      <w:pPr>
        <w:spacing w:before="315" w:after="105" w:line="360" w:lineRule="auto"/>
        <w:ind w:left="-30"/>
        <w:jc w:val="left"/>
      </w:pPr>
      <w:bookmarkStart w:id="105" w:name="bm_5_4_传统机器学习方法的补充应用"/>
      <w:r>
        <w:rPr>
          <w:rFonts w:ascii="inter" w:hAnsi="inter" w:eastAsia="inter" w:cs="inter"/>
          <w:b/>
          <w:color w:val="000000"/>
          <w:sz w:val="24"/>
        </w:rPr>
        <w:t>5.4 传统机器学习方法的补充应用</w:t>
      </w:r>
      <w:bookmarkEnd w:id="105"/>
    </w:p>
    <w:p w14:paraId="66277845">
      <w:pPr>
        <w:spacing w:after="210" w:line="360" w:lineRule="auto"/>
      </w:pPr>
      <w:r>
        <w:rPr>
          <w:rFonts w:ascii="inter" w:hAnsi="inter" w:eastAsia="inter" w:cs="inter"/>
          <w:b/>
          <w:color w:val="000000"/>
        </w:rPr>
        <w:t>支持向量回归（SVR）与梯度提升机（LightGBM）</w:t>
      </w:r>
      <w:r>
        <w:rPr>
          <w:rFonts w:ascii="inter" w:hAnsi="inter" w:eastAsia="inter" w:cs="inter"/>
          <w:color w:val="000000"/>
        </w:rPr>
        <w:t>：</w:t>
      </w:r>
      <w:bookmarkStart w:id="106" w:name="fnref26_1"/>
      <w:bookmarkEnd w:id="106"/>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3056787F">
      <w:pPr>
        <w:numPr>
          <w:ilvl w:val="0"/>
          <w:numId w:val="31"/>
        </w:numPr>
        <w:spacing w:before="105" w:after="105" w:line="360" w:lineRule="auto"/>
      </w:pPr>
      <w:r>
        <w:rPr>
          <w:rFonts w:ascii="inter" w:hAnsi="inter" w:eastAsia="inter" w:cs="inter"/>
          <w:color w:val="000000"/>
          <w:sz w:val="21"/>
        </w:rPr>
        <w:t>在高熵合金设计中，这些方法因其较低的计算成本和强大的非线性拟合能力而被广泛应用</w:t>
      </w:r>
    </w:p>
    <w:p w14:paraId="690E87DC">
      <w:pPr>
        <w:numPr>
          <w:ilvl w:val="0"/>
          <w:numId w:val="31"/>
        </w:numPr>
        <w:spacing w:before="105" w:after="105" w:line="360" w:lineRule="auto"/>
      </w:pPr>
      <w:r>
        <w:rPr>
          <w:rFonts w:ascii="inter" w:hAnsi="inter" w:eastAsia="inter" w:cs="inter"/>
          <w:color w:val="000000"/>
          <w:sz w:val="21"/>
        </w:rPr>
        <w:t>LightGBM在硬度预测中达到R²=0.90，SVR在延展性预测中达到R²=0.76</w:t>
      </w:r>
      <w:bookmarkStart w:id="107" w:name="fnref26_2"/>
      <w:bookmarkEnd w:id="107"/>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61EEC791">
      <w:pPr>
        <w:numPr>
          <w:ilvl w:val="0"/>
          <w:numId w:val="31"/>
        </w:numPr>
        <w:spacing w:before="105" w:after="105" w:line="360" w:lineRule="auto"/>
      </w:pPr>
      <w:r>
        <w:rPr>
          <w:rFonts w:ascii="inter" w:hAnsi="inter" w:eastAsia="inter" w:cs="inter"/>
          <w:color w:val="000000"/>
          <w:sz w:val="21"/>
        </w:rPr>
        <w:t>优势：对小数据集的适应性强，可进行特征重要性分析</w:t>
      </w:r>
    </w:p>
    <w:p w14:paraId="332BCA4F">
      <w:pPr>
        <w:spacing w:after="210" w:line="360" w:lineRule="auto"/>
      </w:pPr>
      <w:r>
        <w:rPr>
          <w:rFonts w:ascii="inter" w:hAnsi="inter" w:eastAsia="inter" w:cs="inter"/>
          <w:b/>
          <w:color w:val="000000"/>
        </w:rPr>
        <w:t>随机森林与神经网络集成</w:t>
      </w:r>
      <w:r>
        <w:rPr>
          <w:rFonts w:ascii="inter" w:hAnsi="inter" w:eastAsia="inter" w:cs="inter"/>
          <w:color w:val="000000"/>
        </w:rPr>
        <w:t>：</w:t>
      </w:r>
      <w:bookmarkStart w:id="108" w:name="fnref41"/>
      <w:bookmarkEnd w:id="108"/>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50201D3D">
      <w:pPr>
        <w:numPr>
          <w:ilvl w:val="0"/>
          <w:numId w:val="32"/>
        </w:numPr>
        <w:spacing w:before="105" w:after="105" w:line="360" w:lineRule="auto"/>
      </w:pPr>
      <w:r>
        <w:rPr>
          <w:rFonts w:ascii="inter" w:hAnsi="inter" w:eastAsia="inter" w:cs="inter"/>
          <w:color w:val="000000"/>
          <w:sz w:val="21"/>
        </w:rPr>
        <w:t>在铝合金屈服应力和抗拉强度预测中，ANN与硬度数据集相结合可达到&gt;95%的预测置信度</w:t>
      </w:r>
    </w:p>
    <w:p w14:paraId="5819F337">
      <w:pPr>
        <w:numPr>
          <w:ilvl w:val="0"/>
          <w:numId w:val="32"/>
        </w:numPr>
        <w:spacing w:before="105" w:after="105" w:line="360" w:lineRule="auto"/>
      </w:pPr>
      <w:r>
        <w:rPr>
          <w:rFonts w:ascii="inter" w:hAnsi="inter" w:eastAsia="inter" w:cs="inter"/>
          <w:color w:val="000000"/>
          <w:sz w:val="21"/>
        </w:rPr>
        <w:t>性能对标：与特定合金的经验公式表现相近，但泛化能力更强</w:t>
      </w:r>
      <w:bookmarkStart w:id="109" w:name="fnref41_1"/>
      <w:bookmarkEnd w:id="109"/>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p>
    <w:p w14:paraId="11875051">
      <w:pPr>
        <w:spacing w:before="315" w:after="105" w:line="360" w:lineRule="auto"/>
        <w:ind w:left="-30"/>
        <w:jc w:val="left"/>
      </w:pPr>
      <w:bookmarkStart w:id="110" w:name="bm_6_模型准确度评估"/>
      <w:r>
        <w:rPr>
          <w:rFonts w:ascii="inter" w:hAnsi="inter" w:eastAsia="inter" w:cs="inter"/>
          <w:b/>
          <w:color w:val="000000"/>
          <w:sz w:val="24"/>
        </w:rPr>
        <w:t>6. 模型准确度评估</w:t>
      </w:r>
      <w:bookmarkEnd w:id="110"/>
    </w:p>
    <w:p w14:paraId="44FD53C4">
      <w:pPr>
        <w:spacing w:before="315" w:after="105" w:line="360" w:lineRule="auto"/>
        <w:ind w:left="-30"/>
        <w:jc w:val="left"/>
      </w:pPr>
      <w:bookmarkStart w:id="111" w:name="bm_6_1_常用评估指标"/>
      <w:r>
        <w:rPr>
          <w:rFonts w:ascii="inter" w:hAnsi="inter" w:eastAsia="inter" w:cs="inter"/>
          <w:b/>
          <w:color w:val="000000"/>
          <w:sz w:val="24"/>
        </w:rPr>
        <w:t>6.1 常用评估指标</w:t>
      </w:r>
      <w:bookmarkEnd w:id="111"/>
    </w:p>
    <w:p w14:paraId="6FFD6BA8">
      <w:pPr>
        <w:spacing w:after="210" w:line="360" w:lineRule="auto"/>
      </w:pPr>
      <w:r>
        <w:rPr>
          <w:rFonts w:ascii="inter" w:hAnsi="inter" w:eastAsia="inter" w:cs="inter"/>
          <w:b/>
          <w:color w:val="000000"/>
        </w:rPr>
        <w:t>回归模型的标准指标</w:t>
      </w:r>
      <w:r>
        <w:rPr>
          <w:rFonts w:ascii="inter" w:hAnsi="inter" w:eastAsia="inter" w:cs="inter"/>
          <w:color w:val="000000"/>
        </w:rPr>
        <w:t>：</w:t>
      </w:r>
      <w:bookmarkStart w:id="112" w:name="fnref35_1"/>
      <w:bookmarkEnd w:id="112"/>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113" w:name="fnref42"/>
      <w:bookmarkEnd w:id="113"/>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bookmarkStart w:id="114" w:name="fnref43"/>
      <w:bookmarkEnd w:id="114"/>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114"/>
        <w:gridCol w:w="2360"/>
        <w:gridCol w:w="4405"/>
      </w:tblGrid>
      <w:tr w14:paraId="35BE75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049A0B7">
            <w:pPr>
              <w:spacing w:after="0" w:line="360" w:lineRule="auto"/>
            </w:pPr>
            <w:r>
              <w:rPr>
                <w:rFonts w:ascii="inter" w:hAnsi="inter" w:eastAsia="inter" w:cs="inter"/>
                <w:color w:val="000000"/>
                <w:sz w:val="17"/>
              </w:rPr>
              <w:t>指标</w:t>
            </w:r>
          </w:p>
        </w:tc>
        <w:tc>
          <w:tcPr>
            <w:tcBorders>
              <w:top w:val="single" w:color="000000" w:sz="0" w:space="0"/>
              <w:bottom w:val="single" w:color="000000" w:sz="0" w:space="0"/>
              <w:right w:val="single" w:color="000000" w:sz="0" w:space="0"/>
            </w:tcBorders>
          </w:tcPr>
          <w:p w14:paraId="2AA8BD91">
            <w:pPr>
              <w:spacing w:after="0" w:line="360" w:lineRule="auto"/>
            </w:pPr>
            <w:r>
              <w:rPr>
                <w:rFonts w:ascii="inter" w:hAnsi="inter" w:eastAsia="inter" w:cs="inter"/>
                <w:color w:val="000000"/>
                <w:sz w:val="17"/>
              </w:rPr>
              <w:t>定义</w:t>
            </w:r>
          </w:p>
        </w:tc>
        <w:tc>
          <w:tcPr>
            <w:tcBorders>
              <w:top w:val="single" w:color="000000" w:sz="0" w:space="0"/>
              <w:bottom w:val="single" w:color="000000" w:sz="0" w:space="0"/>
            </w:tcBorders>
          </w:tcPr>
          <w:p w14:paraId="22887EFA">
            <w:pPr>
              <w:spacing w:after="0" w:line="360" w:lineRule="auto"/>
            </w:pPr>
            <w:r>
              <w:rPr>
                <w:rFonts w:ascii="inter" w:hAnsi="inter" w:eastAsia="inter" w:cs="inter"/>
                <w:color w:val="000000"/>
                <w:sz w:val="17"/>
              </w:rPr>
              <w:t>应用说明</w:t>
            </w:r>
          </w:p>
        </w:tc>
      </w:tr>
      <w:tr w14:paraId="2B41847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7A7FE1">
            <w:pPr>
              <w:spacing w:after="0" w:line="360" w:lineRule="auto"/>
            </w:pPr>
            <w:r>
              <w:rPr>
                <w:rFonts w:ascii="inter" w:hAnsi="inter" w:eastAsia="inter" w:cs="inter"/>
                <w:color w:val="000000"/>
                <w:sz w:val="17"/>
              </w:rPr>
              <w:t>MAE（平均绝对误差）</w:t>
            </w:r>
          </w:p>
        </w:tc>
        <w:tc>
          <w:tcPr>
            <w:tcBorders>
              <w:top w:val="single" w:color="000000" w:sz="0" w:space="0"/>
              <w:bottom w:val="single" w:color="000000" w:sz="0" w:space="0"/>
              <w:right w:val="single" w:color="000000" w:sz="0" w:space="0"/>
            </w:tcBorders>
          </w:tcPr>
          <w:p w14:paraId="72F9381E">
            <w:pPr>
              <w:spacing w:after="0" w:line="360" w:lineRule="auto"/>
            </w:pPr>
            <m:oMathPara>
              <m:oMathParaPr>
                <m:jc m:val="left"/>
              </m:oMathParaPr>
              <m:oMath>
                <m:f>
                  <m:fPr>
                    <m:ctrlPr>
                      <w:rPr>
                        <w:rFonts w:ascii="Cambria Math" w:hAnsi="Cambria Math"/>
                        <w:color w:val="000000"/>
                        <w:sz w:val="17"/>
                      </w:rPr>
                    </m:ctrlPr>
                  </m:fPr>
                  <m:num>
                    <m:r>
                      <m:rPr>
                        <m:sty m:val="p"/>
                      </m:rPr>
                      <w:rPr>
                        <w:color w:val="000000"/>
                        <w:sz w:val="17"/>
                      </w:rPr>
                      <m:t>1</m:t>
                    </m:r>
                    <m:ctrlPr>
                      <w:rPr>
                        <w:rFonts w:ascii="Cambria Math" w:hAnsi="Cambria Math"/>
                        <w:color w:val="000000"/>
                        <w:sz w:val="17"/>
                      </w:rPr>
                    </m:ctrlPr>
                  </m:num>
                  <m:den>
                    <m:r>
                      <m:rPr/>
                      <w:rPr>
                        <w:color w:val="000000"/>
                        <w:sz w:val="17"/>
                      </w:rPr>
                      <m:t>n</m:t>
                    </m:r>
                    <m:ctrlPr>
                      <w:rPr>
                        <w:rFonts w:ascii="Cambria Math" w:hAnsi="Cambria Math"/>
                        <w:color w:val="000000"/>
                        <w:sz w:val="17"/>
                      </w:rPr>
                    </m:ctrlPr>
                  </m:den>
                </m:f>
                <m:sSubSup>
                  <m:sSubSupPr>
                    <m:ctrlPr>
                      <w:rPr>
                        <w:rFonts w:ascii="Cambria Math" w:hAnsi="Cambria Math"/>
                        <w:color w:val="000000"/>
                        <w:sz w:val="17"/>
                      </w:rPr>
                    </m:ctrlPr>
                  </m:sSubSupPr>
                  <m:e>
                    <m:r>
                      <m:rPr>
                        <m:sty m:val="p"/>
                      </m:rPr>
                      <w:rPr>
                        <w:color w:val="000000"/>
                        <w:sz w:val="17"/>
                      </w:rPr>
                      <m:t>∑</m:t>
                    </m:r>
                    <m:ctrlPr>
                      <w:rPr>
                        <w:rFonts w:ascii="Cambria Math" w:hAnsi="Cambria Math"/>
                        <w:color w:val="000000"/>
                        <w:sz w:val="17"/>
                      </w:rPr>
                    </m:ctrlPr>
                  </m:e>
                  <m:sub>
                    <m:r>
                      <m:rPr/>
                      <w:rPr>
                        <w:color w:val="000000"/>
                        <w:sz w:val="17"/>
                      </w:rPr>
                      <m:t>i</m:t>
                    </m:r>
                    <m:r>
                      <m:rPr>
                        <m:sty m:val="p"/>
                      </m:rPr>
                      <w:rPr>
                        <w:color w:val="000000"/>
                        <w:sz w:val="17"/>
                      </w:rPr>
                      <m:t>=1</m:t>
                    </m:r>
                    <m:ctrlPr>
                      <w:rPr>
                        <w:rFonts w:ascii="Cambria Math" w:hAnsi="Cambria Math"/>
                        <w:color w:val="000000"/>
                        <w:sz w:val="17"/>
                      </w:rPr>
                    </m:ctrlPr>
                  </m:sub>
                  <m:sup>
                    <m:r>
                      <m:rPr/>
                      <w:rPr>
                        <w:color w:val="000000"/>
                        <w:sz w:val="17"/>
                      </w:rPr>
                      <m:t>n</m:t>
                    </m:r>
                    <m:ctrlPr>
                      <w:rPr>
                        <w:rFonts w:ascii="Cambria Math" w:hAnsi="Cambria Math"/>
                        <w:color w:val="000000"/>
                        <w:sz w:val="17"/>
                      </w:rPr>
                    </m:ctrlPr>
                  </m:sup>
                </m:sSubSup>
                <m:r>
                  <m:rPr>
                    <m:sty m:val="p"/>
                  </m:rPr>
                  <w:rPr>
                    <w:color w:val="000000"/>
                    <w:sz w:val="17"/>
                  </w:rPr>
                  <m:t> ‖</m:t>
                </m:r>
                <m:sSub>
                  <m:sSubPr>
                    <m:ctrlPr>
                      <w:rPr>
                        <w:rFonts w:ascii="Cambria Math" w:hAnsi="Cambria Math"/>
                        <w:color w:val="000000"/>
                        <w:sz w:val="17"/>
                      </w:rPr>
                    </m:ctrlPr>
                  </m:sSubPr>
                  <m:e>
                    <m:r>
                      <m:rPr/>
                      <w:rPr>
                        <w:color w:val="000000"/>
                        <w:sz w:val="17"/>
                      </w:rPr>
                      <m:t>y</m:t>
                    </m:r>
                    <m:ctrlPr>
                      <w:rPr>
                        <w:rFonts w:ascii="Cambria Math" w:hAnsi="Cambria Math"/>
                        <w:color w:val="000000"/>
                        <w:sz w:val="17"/>
                      </w:rPr>
                    </m:ctrlPr>
                  </m:e>
                  <m:sub>
                    <m:r>
                      <m:rPr/>
                      <w:rPr>
                        <w:color w:val="000000"/>
                        <w:sz w:val="17"/>
                      </w:rPr>
                      <m:t>i</m:t>
                    </m:r>
                    <m:ctrlPr>
                      <w:rPr>
                        <w:rFonts w:ascii="Cambria Math" w:hAnsi="Cambria Math"/>
                        <w:color w:val="000000"/>
                        <w:sz w:val="17"/>
                      </w:rPr>
                    </m:ctrlPr>
                  </m:sub>
                </m:sSub>
                <m:r>
                  <m:rPr>
                    <m:sty m:val="p"/>
                  </m:rPr>
                  <w:rPr>
                    <w:color w:val="000000"/>
                    <w:sz w:val="17"/>
                  </w:rPr>
                  <m:t>−</m:t>
                </m:r>
                <m:sSub>
                  <m:sSubPr>
                    <m:ctrlPr>
                      <w:rPr>
                        <w:rFonts w:ascii="Cambria Math" w:hAnsi="Cambria Math"/>
                        <w:color w:val="000000"/>
                        <w:sz w:val="17"/>
                      </w:rPr>
                    </m:ctrlPr>
                  </m:sSubPr>
                  <m:e>
                    <m:acc>
                      <m:accPr>
                        <m:chr m:val="ˆ"/>
                      </m:accPr>
                      <m:e>
                        <m:r>
                          <m:rPr/>
                          <w:rPr>
                            <w:color w:val="000000"/>
                            <w:sz w:val="17"/>
                          </w:rPr>
                          <m:t>y</m:t>
                        </m:r>
                      </m:e>
                    </m:acc>
                    <m:ctrlPr>
                      <w:rPr>
                        <w:rFonts w:ascii="Cambria Math" w:hAnsi="Cambria Math"/>
                        <w:color w:val="000000"/>
                        <w:sz w:val="17"/>
                      </w:rPr>
                    </m:ctrlPr>
                  </m:e>
                  <m:sub>
                    <m:r>
                      <m:rPr/>
                      <w:rPr>
                        <w:color w:val="000000"/>
                        <w:sz w:val="17"/>
                      </w:rPr>
                      <m:t>i</m:t>
                    </m:r>
                    <m:ctrlPr>
                      <w:rPr>
                        <w:rFonts w:ascii="Cambria Math" w:hAnsi="Cambria Math"/>
                        <w:color w:val="000000"/>
                        <w:sz w:val="17"/>
                      </w:rPr>
                    </m:ctrlPr>
                  </m:sub>
                </m:sSub>
                <m:r>
                  <m:rPr>
                    <m:sty m:val="p"/>
                  </m:rPr>
                  <w:rPr>
                    <w:color w:val="000000"/>
                    <w:sz w:val="17"/>
                  </w:rPr>
                  <m:t>‖</m:t>
                </m:r>
              </m:oMath>
            </m:oMathPara>
          </w:p>
        </w:tc>
        <w:tc>
          <w:tcPr>
            <w:tcBorders>
              <w:top w:val="single" w:color="000000" w:sz="0" w:space="0"/>
              <w:bottom w:val="single" w:color="000000" w:sz="0" w:space="0"/>
            </w:tcBorders>
          </w:tcPr>
          <w:p w14:paraId="39B2CA3B">
            <w:pPr>
              <w:spacing w:after="0" w:line="360" w:lineRule="auto"/>
            </w:pPr>
            <w:r>
              <w:rPr>
                <w:rFonts w:ascii="inter" w:hAnsi="inter" w:eastAsia="inter" w:cs="inter"/>
                <w:color w:val="000000"/>
                <w:sz w:val="17"/>
              </w:rPr>
              <w:t>直观反映预测值与实际值的平均偏差，对异常值不敏感</w:t>
            </w:r>
          </w:p>
        </w:tc>
      </w:tr>
      <w:tr w14:paraId="168FDB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D0288D8">
            <w:pPr>
              <w:spacing w:after="0" w:line="360" w:lineRule="auto"/>
            </w:pPr>
            <w:r>
              <w:rPr>
                <w:rFonts w:ascii="inter" w:hAnsi="inter" w:eastAsia="inter" w:cs="inter"/>
                <w:color w:val="000000"/>
                <w:sz w:val="17"/>
              </w:rPr>
              <w:t>RMSE（均方根误差）</w:t>
            </w:r>
          </w:p>
        </w:tc>
        <w:tc>
          <w:tcPr>
            <w:tcBorders>
              <w:top w:val="single" w:color="000000" w:sz="0" w:space="0"/>
              <w:bottom w:val="single" w:color="000000" w:sz="0" w:space="0"/>
              <w:right w:val="single" w:color="000000" w:sz="0" w:space="0"/>
            </w:tcBorders>
          </w:tcPr>
          <w:p w14:paraId="228FE655">
            <w:pPr>
              <w:spacing w:after="0" w:line="360" w:lineRule="auto"/>
            </w:pPr>
            <m:oMathPara>
              <m:oMathParaPr>
                <m:jc m:val="left"/>
              </m:oMathParaPr>
              <m:oMath>
                <m:rad>
                  <m:radPr>
                    <m:degHide m:val="1"/>
                    <m:ctrlPr>
                      <w:rPr>
                        <w:rFonts w:ascii="Cambria Math" w:hAnsi="Cambria Math"/>
                        <w:color w:val="000000"/>
                        <w:sz w:val="17"/>
                      </w:rPr>
                    </m:ctrlPr>
                  </m:radPr>
                  <m:deg>
                    <m:ctrlPr>
                      <w:rPr>
                        <w:rFonts w:ascii="Cambria Math" w:hAnsi="Cambria Math"/>
                        <w:color w:val="000000"/>
                        <w:sz w:val="17"/>
                      </w:rPr>
                    </m:ctrlPr>
                  </m:deg>
                  <m:e>
                    <m:f>
                      <m:fPr>
                        <m:ctrlPr>
                          <w:rPr>
                            <w:rFonts w:ascii="Cambria Math" w:hAnsi="Cambria Math"/>
                            <w:color w:val="000000"/>
                            <w:sz w:val="17"/>
                          </w:rPr>
                        </m:ctrlPr>
                      </m:fPr>
                      <m:num>
                        <m:r>
                          <m:rPr>
                            <m:sty m:val="p"/>
                          </m:rPr>
                          <w:rPr>
                            <w:color w:val="000000"/>
                            <w:sz w:val="17"/>
                          </w:rPr>
                          <m:t>1</m:t>
                        </m:r>
                        <m:ctrlPr>
                          <w:rPr>
                            <w:rFonts w:ascii="Cambria Math" w:hAnsi="Cambria Math"/>
                            <w:color w:val="000000"/>
                            <w:sz w:val="17"/>
                          </w:rPr>
                        </m:ctrlPr>
                      </m:num>
                      <m:den>
                        <m:r>
                          <m:rPr/>
                          <w:rPr>
                            <w:color w:val="000000"/>
                            <w:sz w:val="17"/>
                          </w:rPr>
                          <m:t>n</m:t>
                        </m:r>
                        <m:ctrlPr>
                          <w:rPr>
                            <w:rFonts w:ascii="Cambria Math" w:hAnsi="Cambria Math"/>
                            <w:color w:val="000000"/>
                            <w:sz w:val="17"/>
                          </w:rPr>
                        </m:ctrlPr>
                      </m:den>
                    </m:f>
                    <m:sSubSup>
                      <m:sSubSupPr>
                        <m:ctrlPr>
                          <w:rPr>
                            <w:rFonts w:ascii="Cambria Math" w:hAnsi="Cambria Math"/>
                            <w:color w:val="000000"/>
                            <w:sz w:val="17"/>
                          </w:rPr>
                        </m:ctrlPr>
                      </m:sSubSupPr>
                      <m:e>
                        <m:r>
                          <m:rPr>
                            <m:sty m:val="p"/>
                          </m:rPr>
                          <w:rPr>
                            <w:color w:val="000000"/>
                            <w:sz w:val="17"/>
                          </w:rPr>
                          <m:t>∑</m:t>
                        </m:r>
                        <m:ctrlPr>
                          <w:rPr>
                            <w:rFonts w:ascii="Cambria Math" w:hAnsi="Cambria Math"/>
                            <w:color w:val="000000"/>
                            <w:sz w:val="17"/>
                          </w:rPr>
                        </m:ctrlPr>
                      </m:e>
                      <m:sub>
                        <m:r>
                          <m:rPr/>
                          <w:rPr>
                            <w:color w:val="000000"/>
                            <w:sz w:val="17"/>
                          </w:rPr>
                          <m:t>i</m:t>
                        </m:r>
                        <m:r>
                          <m:rPr>
                            <m:sty m:val="p"/>
                          </m:rPr>
                          <w:rPr>
                            <w:color w:val="000000"/>
                            <w:sz w:val="17"/>
                          </w:rPr>
                          <m:t>=1</m:t>
                        </m:r>
                        <m:ctrlPr>
                          <w:rPr>
                            <w:rFonts w:ascii="Cambria Math" w:hAnsi="Cambria Math"/>
                            <w:color w:val="000000"/>
                            <w:sz w:val="17"/>
                          </w:rPr>
                        </m:ctrlPr>
                      </m:sub>
                      <m:sup>
                        <m:r>
                          <m:rPr/>
                          <w:rPr>
                            <w:color w:val="000000"/>
                            <w:sz w:val="17"/>
                          </w:rPr>
                          <m:t>n</m:t>
                        </m:r>
                        <m:ctrlPr>
                          <w:rPr>
                            <w:rFonts w:ascii="Cambria Math" w:hAnsi="Cambria Math"/>
                            <w:color w:val="000000"/>
                            <w:sz w:val="17"/>
                          </w:rPr>
                        </m:ctrlPr>
                      </m:sup>
                    </m:sSubSup>
                    <m:r>
                      <m:rPr>
                        <m:sty m:val="p"/>
                      </m:rPr>
                      <w:rPr>
                        <w:color w:val="000000"/>
                        <w:sz w:val="17"/>
                      </w:rPr>
                      <m:t> (</m:t>
                    </m:r>
                    <m:sSub>
                      <m:sSubPr>
                        <m:ctrlPr>
                          <w:rPr>
                            <w:rFonts w:ascii="Cambria Math" w:hAnsi="Cambria Math"/>
                            <w:color w:val="000000"/>
                            <w:sz w:val="17"/>
                          </w:rPr>
                        </m:ctrlPr>
                      </m:sSubPr>
                      <m:e>
                        <m:r>
                          <m:rPr/>
                          <w:rPr>
                            <w:color w:val="000000"/>
                            <w:sz w:val="17"/>
                          </w:rPr>
                          <m:t>y</m:t>
                        </m:r>
                        <m:ctrlPr>
                          <w:rPr>
                            <w:rFonts w:ascii="Cambria Math" w:hAnsi="Cambria Math"/>
                            <w:color w:val="000000"/>
                            <w:sz w:val="17"/>
                          </w:rPr>
                        </m:ctrlPr>
                      </m:e>
                      <m:sub>
                        <m:r>
                          <m:rPr/>
                          <w:rPr>
                            <w:color w:val="000000"/>
                            <w:sz w:val="17"/>
                          </w:rPr>
                          <m:t>i</m:t>
                        </m:r>
                        <m:ctrlPr>
                          <w:rPr>
                            <w:rFonts w:ascii="Cambria Math" w:hAnsi="Cambria Math"/>
                            <w:color w:val="000000"/>
                            <w:sz w:val="17"/>
                          </w:rPr>
                        </m:ctrlPr>
                      </m:sub>
                    </m:sSub>
                    <m:r>
                      <m:rPr>
                        <m:sty m:val="p"/>
                      </m:rPr>
                      <w:rPr>
                        <w:color w:val="000000"/>
                        <w:sz w:val="17"/>
                      </w:rPr>
                      <m:t>−</m:t>
                    </m:r>
                    <m:sSub>
                      <m:sSubPr>
                        <m:ctrlPr>
                          <w:rPr>
                            <w:rFonts w:ascii="Cambria Math" w:hAnsi="Cambria Math"/>
                            <w:color w:val="000000"/>
                            <w:sz w:val="17"/>
                          </w:rPr>
                        </m:ctrlPr>
                      </m:sSubPr>
                      <m:e>
                        <m:acc>
                          <m:accPr>
                            <m:chr m:val="ˆ"/>
                          </m:accPr>
                          <m:e>
                            <m:r>
                              <m:rPr/>
                              <w:rPr>
                                <w:color w:val="000000"/>
                                <w:sz w:val="17"/>
                              </w:rPr>
                              <m:t>y</m:t>
                            </m:r>
                          </m:e>
                        </m:acc>
                        <m:ctrlPr>
                          <w:rPr>
                            <w:rFonts w:ascii="Cambria Math" w:hAnsi="Cambria Math"/>
                            <w:color w:val="000000"/>
                            <w:sz w:val="17"/>
                          </w:rPr>
                        </m:ctrlPr>
                      </m:e>
                      <m:sub>
                        <m:r>
                          <m:rPr/>
                          <w:rPr>
                            <w:color w:val="000000"/>
                            <w:sz w:val="17"/>
                          </w:rPr>
                          <m:t>i</m:t>
                        </m:r>
                        <m:ctrlPr>
                          <w:rPr>
                            <w:rFonts w:ascii="Cambria Math" w:hAnsi="Cambria Math"/>
                            <w:color w:val="000000"/>
                            <w:sz w:val="17"/>
                          </w:rPr>
                        </m:ctrlPr>
                      </m:sub>
                    </m:sSub>
                    <m:sSup>
                      <m:sSupPr>
                        <m:ctrlPr>
                          <w:rPr>
                            <w:rFonts w:ascii="Cambria Math" w:hAnsi="Cambria Math"/>
                            <w:color w:val="000000"/>
                            <w:sz w:val="17"/>
                          </w:rPr>
                        </m:ctrlPr>
                      </m:sSupPr>
                      <m:e>
                        <m:r>
                          <m:rPr>
                            <m:sty m:val="p"/>
                          </m:rPr>
                          <w:rPr>
                            <w:color w:val="000000"/>
                            <w:sz w:val="17"/>
                          </w:rPr>
                          <m:t>)</m:t>
                        </m:r>
                        <m:ctrlPr>
                          <w:rPr>
                            <w:rFonts w:ascii="Cambria Math" w:hAnsi="Cambria Math"/>
                            <w:color w:val="000000"/>
                            <w:sz w:val="17"/>
                          </w:rPr>
                        </m:ctrlPr>
                      </m:e>
                      <m:sup>
                        <m:r>
                          <m:rPr>
                            <m:sty m:val="p"/>
                          </m:rPr>
                          <w:rPr>
                            <w:color w:val="000000"/>
                            <w:sz w:val="17"/>
                          </w:rPr>
                          <m:t>2</m:t>
                        </m:r>
                        <m:ctrlPr>
                          <w:rPr>
                            <w:rFonts w:ascii="Cambria Math" w:hAnsi="Cambria Math"/>
                            <w:color w:val="000000"/>
                            <w:sz w:val="17"/>
                          </w:rPr>
                        </m:ctrlPr>
                      </m:sup>
                    </m:sSup>
                    <m:ctrlPr>
                      <w:rPr>
                        <w:rFonts w:ascii="Cambria Math" w:hAnsi="Cambria Math"/>
                        <w:color w:val="000000"/>
                        <w:sz w:val="17"/>
                      </w:rPr>
                    </m:ctrlPr>
                  </m:e>
                </m:rad>
              </m:oMath>
            </m:oMathPara>
          </w:p>
        </w:tc>
        <w:tc>
          <w:tcPr>
            <w:tcBorders>
              <w:top w:val="single" w:color="000000" w:sz="0" w:space="0"/>
              <w:bottom w:val="single" w:color="000000" w:sz="0" w:space="0"/>
            </w:tcBorders>
          </w:tcPr>
          <w:p w14:paraId="1673EDC8">
            <w:pPr>
              <w:spacing w:after="0" w:line="360" w:lineRule="auto"/>
            </w:pPr>
            <w:r>
              <w:rPr>
                <w:rFonts w:ascii="inter" w:hAnsi="inter" w:eastAsia="inter" w:cs="inter"/>
                <w:color w:val="000000"/>
                <w:sz w:val="17"/>
              </w:rPr>
              <w:t>更强调大误差，对能量相关量特别有用</w:t>
            </w:r>
          </w:p>
        </w:tc>
      </w:tr>
      <w:tr w14:paraId="20CD99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91B140C">
            <w:pPr>
              <w:spacing w:after="0" w:line="360" w:lineRule="auto"/>
            </w:pPr>
            <w:r>
              <w:rPr>
                <w:rFonts w:ascii="inter" w:hAnsi="inter" w:eastAsia="inter" w:cs="inter"/>
                <w:color w:val="000000"/>
                <w:sz w:val="17"/>
              </w:rPr>
              <w:t>R²（决定系数）</w:t>
            </w:r>
          </w:p>
        </w:tc>
        <w:tc>
          <w:tcPr>
            <w:tcBorders>
              <w:top w:val="single" w:color="000000" w:sz="0" w:space="0"/>
              <w:bottom w:val="single" w:color="000000" w:sz="0" w:space="0"/>
              <w:right w:val="single" w:color="000000" w:sz="0" w:space="0"/>
            </w:tcBorders>
          </w:tcPr>
          <w:p w14:paraId="303F1C51">
            <w:pPr>
              <w:spacing w:after="0" w:line="360" w:lineRule="auto"/>
            </w:pPr>
            <m:oMathPara>
              <m:oMathParaPr>
                <m:jc m:val="left"/>
              </m:oMathParaPr>
              <m:oMath>
                <m:r>
                  <m:rPr>
                    <m:sty m:val="p"/>
                  </m:rPr>
                  <w:rPr>
                    <w:color w:val="000000"/>
                    <w:sz w:val="17"/>
                  </w:rPr>
                  <m:t>1−</m:t>
                </m:r>
                <m:f>
                  <m:fPr>
                    <m:ctrlPr>
                      <w:rPr>
                        <w:rFonts w:ascii="Cambria Math" w:hAnsi="Cambria Math"/>
                        <w:color w:val="000000"/>
                        <w:sz w:val="17"/>
                      </w:rPr>
                    </m:ctrlPr>
                  </m:fPr>
                  <m:num>
                    <m:r>
                      <m:rPr>
                        <m:sty m:val="p"/>
                      </m:rPr>
                      <w:rPr>
                        <w:color w:val="000000"/>
                        <w:sz w:val="17"/>
                      </w:rPr>
                      <m:t>∑(</m:t>
                    </m:r>
                    <m:sSub>
                      <m:sSubPr>
                        <m:ctrlPr>
                          <w:rPr>
                            <w:rFonts w:ascii="Cambria Math" w:hAnsi="Cambria Math"/>
                            <w:color w:val="000000"/>
                            <w:sz w:val="17"/>
                          </w:rPr>
                        </m:ctrlPr>
                      </m:sSubPr>
                      <m:e>
                        <m:r>
                          <m:rPr/>
                          <w:rPr>
                            <w:color w:val="000000"/>
                            <w:sz w:val="17"/>
                          </w:rPr>
                          <m:t>y</m:t>
                        </m:r>
                        <m:ctrlPr>
                          <w:rPr>
                            <w:rFonts w:ascii="Cambria Math" w:hAnsi="Cambria Math"/>
                            <w:color w:val="000000"/>
                            <w:sz w:val="17"/>
                          </w:rPr>
                        </m:ctrlPr>
                      </m:e>
                      <m:sub>
                        <m:r>
                          <m:rPr/>
                          <w:rPr>
                            <w:color w:val="000000"/>
                            <w:sz w:val="17"/>
                          </w:rPr>
                          <m:t>i</m:t>
                        </m:r>
                        <m:ctrlPr>
                          <w:rPr>
                            <w:rFonts w:ascii="Cambria Math" w:hAnsi="Cambria Math"/>
                            <w:color w:val="000000"/>
                            <w:sz w:val="17"/>
                          </w:rPr>
                        </m:ctrlPr>
                      </m:sub>
                    </m:sSub>
                    <m:r>
                      <m:rPr>
                        <m:sty m:val="p"/>
                      </m:rPr>
                      <w:rPr>
                        <w:color w:val="000000"/>
                        <w:sz w:val="17"/>
                      </w:rPr>
                      <m:t>−</m:t>
                    </m:r>
                    <m:sSub>
                      <m:sSubPr>
                        <m:ctrlPr>
                          <w:rPr>
                            <w:rFonts w:ascii="Cambria Math" w:hAnsi="Cambria Math"/>
                            <w:color w:val="000000"/>
                            <w:sz w:val="17"/>
                          </w:rPr>
                        </m:ctrlPr>
                      </m:sSubPr>
                      <m:e>
                        <m:acc>
                          <m:accPr>
                            <m:chr m:val="ˆ"/>
                          </m:accPr>
                          <m:e>
                            <m:r>
                              <m:rPr/>
                              <w:rPr>
                                <w:color w:val="000000"/>
                                <w:sz w:val="17"/>
                              </w:rPr>
                              <m:t>y</m:t>
                            </m:r>
                          </m:e>
                        </m:acc>
                        <m:ctrlPr>
                          <w:rPr>
                            <w:rFonts w:ascii="Cambria Math" w:hAnsi="Cambria Math"/>
                            <w:color w:val="000000"/>
                            <w:sz w:val="17"/>
                          </w:rPr>
                        </m:ctrlPr>
                      </m:e>
                      <m:sub>
                        <m:r>
                          <m:rPr/>
                          <w:rPr>
                            <w:color w:val="000000"/>
                            <w:sz w:val="17"/>
                          </w:rPr>
                          <m:t>i</m:t>
                        </m:r>
                        <m:ctrlPr>
                          <w:rPr>
                            <w:rFonts w:ascii="Cambria Math" w:hAnsi="Cambria Math"/>
                            <w:color w:val="000000"/>
                            <w:sz w:val="17"/>
                          </w:rPr>
                        </m:ctrlPr>
                      </m:sub>
                    </m:sSub>
                    <m:sSup>
                      <m:sSupPr>
                        <m:ctrlPr>
                          <w:rPr>
                            <w:rFonts w:ascii="Cambria Math" w:hAnsi="Cambria Math"/>
                            <w:color w:val="000000"/>
                            <w:sz w:val="17"/>
                          </w:rPr>
                        </m:ctrlPr>
                      </m:sSupPr>
                      <m:e>
                        <m:r>
                          <m:rPr>
                            <m:sty m:val="p"/>
                          </m:rPr>
                          <w:rPr>
                            <w:color w:val="000000"/>
                            <w:sz w:val="17"/>
                          </w:rPr>
                          <m:t>)</m:t>
                        </m:r>
                        <m:ctrlPr>
                          <w:rPr>
                            <w:rFonts w:ascii="Cambria Math" w:hAnsi="Cambria Math"/>
                            <w:color w:val="000000"/>
                            <w:sz w:val="17"/>
                          </w:rPr>
                        </m:ctrlPr>
                      </m:e>
                      <m:sup>
                        <m:r>
                          <m:rPr>
                            <m:sty m:val="p"/>
                          </m:rPr>
                          <w:rPr>
                            <w:color w:val="000000"/>
                            <w:sz w:val="17"/>
                          </w:rPr>
                          <m:t>2</m:t>
                        </m:r>
                        <m:ctrlPr>
                          <w:rPr>
                            <w:rFonts w:ascii="Cambria Math" w:hAnsi="Cambria Math"/>
                            <w:color w:val="000000"/>
                            <w:sz w:val="17"/>
                          </w:rPr>
                        </m:ctrlPr>
                      </m:sup>
                    </m:sSup>
                    <m:ctrlPr>
                      <w:rPr>
                        <w:rFonts w:ascii="Cambria Math" w:hAnsi="Cambria Math"/>
                        <w:color w:val="000000"/>
                        <w:sz w:val="17"/>
                      </w:rPr>
                    </m:ctrlPr>
                  </m:num>
                  <m:den>
                    <m:r>
                      <m:rPr>
                        <m:sty m:val="p"/>
                      </m:rPr>
                      <w:rPr>
                        <w:color w:val="000000"/>
                        <w:sz w:val="17"/>
                      </w:rPr>
                      <m:t>∑(</m:t>
                    </m:r>
                    <m:sSub>
                      <m:sSubPr>
                        <m:ctrlPr>
                          <w:rPr>
                            <w:rFonts w:ascii="Cambria Math" w:hAnsi="Cambria Math"/>
                            <w:color w:val="000000"/>
                            <w:sz w:val="17"/>
                          </w:rPr>
                        </m:ctrlPr>
                      </m:sSubPr>
                      <m:e>
                        <m:r>
                          <m:rPr/>
                          <w:rPr>
                            <w:color w:val="000000"/>
                            <w:sz w:val="17"/>
                          </w:rPr>
                          <m:t>y</m:t>
                        </m:r>
                        <m:ctrlPr>
                          <w:rPr>
                            <w:rFonts w:ascii="Cambria Math" w:hAnsi="Cambria Math"/>
                            <w:color w:val="000000"/>
                            <w:sz w:val="17"/>
                          </w:rPr>
                        </m:ctrlPr>
                      </m:e>
                      <m:sub>
                        <m:r>
                          <m:rPr/>
                          <w:rPr>
                            <w:color w:val="000000"/>
                            <w:sz w:val="17"/>
                          </w:rPr>
                          <m:t>i</m:t>
                        </m:r>
                        <m:ctrlPr>
                          <w:rPr>
                            <w:rFonts w:ascii="Cambria Math" w:hAnsi="Cambria Math"/>
                            <w:color w:val="000000"/>
                            <w:sz w:val="17"/>
                          </w:rPr>
                        </m:ctrlPr>
                      </m:sub>
                    </m:sSub>
                    <m:r>
                      <m:rPr>
                        <m:sty m:val="p"/>
                      </m:rPr>
                      <w:rPr>
                        <w:color w:val="000000"/>
                        <w:sz w:val="17"/>
                      </w:rPr>
                      <m:t>−</m:t>
                    </m:r>
                    <m:acc>
                      <m:accPr>
                        <m:chr m:val="‾"/>
                      </m:accPr>
                      <m:e>
                        <m:r>
                          <m:rPr/>
                          <w:rPr>
                            <w:color w:val="000000"/>
                            <w:sz w:val="17"/>
                          </w:rPr>
                          <m:t>y</m:t>
                        </m:r>
                      </m:e>
                    </m:acc>
                    <m:sSup>
                      <m:sSupPr>
                        <m:ctrlPr>
                          <w:rPr>
                            <w:rFonts w:ascii="Cambria Math" w:hAnsi="Cambria Math"/>
                            <w:color w:val="000000"/>
                            <w:sz w:val="17"/>
                          </w:rPr>
                        </m:ctrlPr>
                      </m:sSupPr>
                      <m:e>
                        <m:r>
                          <m:rPr>
                            <m:sty m:val="p"/>
                          </m:rPr>
                          <w:rPr>
                            <w:color w:val="000000"/>
                            <w:sz w:val="17"/>
                          </w:rPr>
                          <m:t>)</m:t>
                        </m:r>
                        <m:ctrlPr>
                          <w:rPr>
                            <w:rFonts w:ascii="Cambria Math" w:hAnsi="Cambria Math"/>
                            <w:color w:val="000000"/>
                            <w:sz w:val="17"/>
                          </w:rPr>
                        </m:ctrlPr>
                      </m:e>
                      <m:sup>
                        <m:r>
                          <m:rPr>
                            <m:sty m:val="p"/>
                          </m:rPr>
                          <w:rPr>
                            <w:color w:val="000000"/>
                            <w:sz w:val="17"/>
                          </w:rPr>
                          <m:t>2</m:t>
                        </m:r>
                        <m:ctrlPr>
                          <w:rPr>
                            <w:rFonts w:ascii="Cambria Math" w:hAnsi="Cambria Math"/>
                            <w:color w:val="000000"/>
                            <w:sz w:val="17"/>
                          </w:rPr>
                        </m:ctrlPr>
                      </m:sup>
                    </m:sSup>
                    <m:ctrlPr>
                      <w:rPr>
                        <w:rFonts w:ascii="Cambria Math" w:hAnsi="Cambria Math"/>
                        <w:color w:val="000000"/>
                        <w:sz w:val="17"/>
                      </w:rPr>
                    </m:ctrlPr>
                  </m:den>
                </m:f>
              </m:oMath>
            </m:oMathPara>
          </w:p>
        </w:tc>
        <w:tc>
          <w:tcPr>
            <w:tcBorders>
              <w:top w:val="single" w:color="000000" w:sz="0" w:space="0"/>
              <w:bottom w:val="single" w:color="000000" w:sz="0" w:space="0"/>
            </w:tcBorders>
          </w:tcPr>
          <w:p w14:paraId="6A6D559D">
            <w:pPr>
              <w:spacing w:after="0" w:line="360" w:lineRule="auto"/>
            </w:pPr>
            <w:r>
              <w:rPr>
                <w:rFonts w:ascii="inter" w:hAnsi="inter" w:eastAsia="inter" w:cs="inter"/>
                <w:color w:val="000000"/>
                <w:sz w:val="17"/>
              </w:rPr>
              <w:t>衡量模型对数据方差的解释程度，0-1之间</w:t>
            </w:r>
          </w:p>
        </w:tc>
      </w:tr>
      <w:tr w14:paraId="5F092E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00F531F">
            <w:pPr>
              <w:spacing w:after="0" w:line="360" w:lineRule="auto"/>
            </w:pPr>
            <w:r>
              <w:rPr>
                <w:rFonts w:ascii="inter" w:hAnsi="inter" w:eastAsia="inter" w:cs="inter"/>
                <w:color w:val="000000"/>
                <w:sz w:val="17"/>
              </w:rPr>
              <w:t>MAD（平均绝对偏差）</w:t>
            </w:r>
          </w:p>
        </w:tc>
        <w:tc>
          <w:tcPr>
            <w:tcBorders>
              <w:top w:val="single" w:color="000000" w:sz="0" w:space="0"/>
              <w:bottom w:val="single" w:color="000000" w:sz="0" w:space="0"/>
              <w:right w:val="single" w:color="000000" w:sz="0" w:space="0"/>
            </w:tcBorders>
          </w:tcPr>
          <w:p w14:paraId="409BB71F">
            <w:pPr>
              <w:spacing w:after="0" w:line="360" w:lineRule="auto"/>
            </w:pPr>
            <w:r>
              <w:rPr>
                <w:rFonts w:ascii="inter" w:hAnsi="inter" w:eastAsia="inter" w:cs="inter"/>
                <w:color w:val="000000"/>
                <w:sz w:val="17"/>
              </w:rPr>
              <w:t>数据集的基准随机猜测误差</w:t>
            </w:r>
          </w:p>
        </w:tc>
        <w:tc>
          <w:tcPr>
            <w:tcBorders>
              <w:top w:val="single" w:color="000000" w:sz="0" w:space="0"/>
              <w:bottom w:val="single" w:color="000000" w:sz="0" w:space="0"/>
            </w:tcBorders>
          </w:tcPr>
          <w:p w14:paraId="15F7A75A">
            <w:pPr>
              <w:spacing w:after="0" w:line="360" w:lineRule="auto"/>
            </w:pPr>
            <w:r>
              <w:rPr>
                <w:rFonts w:ascii="inter" w:hAnsi="inter" w:eastAsia="inter" w:cs="inter"/>
                <w:color w:val="000000"/>
                <w:sz w:val="17"/>
              </w:rPr>
              <w:t>用于标准化比较，MAD:MAE比值&gt;5视为好模型</w:t>
            </w:r>
            <w:r>
              <w:fldChar w:fldCharType="begin"/>
            </w:r>
            <w:r>
              <w:instrText xml:space="preserve"> HYPERLINK \l "fn24" \h </w:instrText>
            </w:r>
            <w:r>
              <w:fldChar w:fldCharType="separate"/>
            </w:r>
            <w:r>
              <w:rPr>
                <w:rFonts w:ascii="inter" w:hAnsi="inter" w:eastAsia="inter" w:cs="inter"/>
                <w:color w:val="000000"/>
                <w:sz w:val="17"/>
                <w:u w:val="single"/>
                <w:vertAlign w:val="superscript"/>
              </w:rPr>
              <w:t>[24]</w:t>
            </w:r>
            <w:r>
              <w:rPr>
                <w:rFonts w:ascii="inter" w:hAnsi="inter" w:eastAsia="inter" w:cs="inter"/>
                <w:color w:val="000000"/>
                <w:sz w:val="17"/>
                <w:u w:val="single"/>
                <w:vertAlign w:val="superscript"/>
              </w:rPr>
              <w:fldChar w:fldCharType="end"/>
            </w:r>
          </w:p>
        </w:tc>
      </w:tr>
    </w:tbl>
    <w:p w14:paraId="2A000B37"/>
    <w:p w14:paraId="76DC5E5F">
      <w:pPr>
        <w:spacing w:before="315" w:after="105" w:line="360" w:lineRule="auto"/>
        <w:ind w:left="-30"/>
        <w:jc w:val="left"/>
      </w:pPr>
      <w:bookmarkStart w:id="115" w:name="bm_6_2_代表性模型性能案例"/>
      <w:r>
        <w:rPr>
          <w:rFonts w:ascii="inter" w:hAnsi="inter" w:eastAsia="inter" w:cs="inter"/>
          <w:b/>
          <w:color w:val="000000"/>
          <w:sz w:val="24"/>
        </w:rPr>
        <w:t>6.2 代表性模型性能案例</w:t>
      </w:r>
      <w:bookmarkEnd w:id="115"/>
    </w:p>
    <w:p w14:paraId="34F2AEE0">
      <w:pPr>
        <w:spacing w:after="210" w:line="360" w:lineRule="auto"/>
      </w:pPr>
      <w:r>
        <w:rPr>
          <w:rFonts w:ascii="inter" w:hAnsi="inter" w:eastAsia="inter" w:cs="inter"/>
          <w:b/>
          <w:color w:val="000000"/>
        </w:rPr>
        <w:t>GNN模型在JARVIS-DFT数据集上的比较</w:t>
      </w:r>
      <w:r>
        <w:rPr>
          <w:rFonts w:ascii="inter" w:hAnsi="inter" w:eastAsia="inter" w:cs="inter"/>
          <w:color w:val="000000"/>
        </w:rPr>
        <w:t>：</w:t>
      </w:r>
      <w:bookmarkStart w:id="116" w:name="fnref24_8"/>
      <w:bookmarkEnd w:id="116"/>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40"/>
        <w:gridCol w:w="1929"/>
        <w:gridCol w:w="1551"/>
        <w:gridCol w:w="4112"/>
      </w:tblGrid>
      <w:tr w14:paraId="31F7CF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681D0BA">
            <w:pPr>
              <w:spacing w:after="0" w:line="360" w:lineRule="auto"/>
            </w:pPr>
            <w:r>
              <w:rPr>
                <w:rFonts w:ascii="inter" w:hAnsi="inter" w:eastAsia="inter" w:cs="inter"/>
                <w:color w:val="000000"/>
                <w:sz w:val="17"/>
              </w:rPr>
              <w:t>模型</w:t>
            </w:r>
          </w:p>
        </w:tc>
        <w:tc>
          <w:tcPr>
            <w:tcBorders>
              <w:top w:val="single" w:color="000000" w:sz="0" w:space="0"/>
              <w:bottom w:val="single" w:color="000000" w:sz="0" w:space="0"/>
              <w:right w:val="single" w:color="000000" w:sz="0" w:space="0"/>
            </w:tcBorders>
          </w:tcPr>
          <w:p w14:paraId="3E6AA69B">
            <w:pPr>
              <w:spacing w:after="0" w:line="360" w:lineRule="auto"/>
            </w:pPr>
            <w:r>
              <w:rPr>
                <w:rFonts w:ascii="inter" w:hAnsi="inter" w:eastAsia="inter" w:cs="inter"/>
                <w:color w:val="000000"/>
                <w:sz w:val="17"/>
              </w:rPr>
              <w:t>形成能（eV/atom）</w:t>
            </w:r>
          </w:p>
        </w:tc>
        <w:tc>
          <w:tcPr>
            <w:tcBorders>
              <w:top w:val="single" w:color="000000" w:sz="0" w:space="0"/>
              <w:bottom w:val="single" w:color="000000" w:sz="0" w:space="0"/>
              <w:right w:val="single" w:color="000000" w:sz="0" w:space="0"/>
            </w:tcBorders>
          </w:tcPr>
          <w:p w14:paraId="79039EC4">
            <w:pPr>
              <w:spacing w:after="0" w:line="360" w:lineRule="auto"/>
            </w:pPr>
            <w:r>
              <w:rPr>
                <w:rFonts w:ascii="inter" w:hAnsi="inter" w:eastAsia="inter" w:cs="inter"/>
                <w:color w:val="000000"/>
                <w:sz w:val="17"/>
              </w:rPr>
              <w:t>能带间隙（eV）</w:t>
            </w:r>
          </w:p>
        </w:tc>
        <w:tc>
          <w:tcPr>
            <w:tcBorders>
              <w:top w:val="single" w:color="000000" w:sz="0" w:space="0"/>
              <w:bottom w:val="single" w:color="000000" w:sz="0" w:space="0"/>
            </w:tcBorders>
          </w:tcPr>
          <w:p w14:paraId="0C4F2009">
            <w:pPr>
              <w:spacing w:after="0" w:line="360" w:lineRule="auto"/>
            </w:pPr>
            <w:r>
              <w:rPr>
                <w:rFonts w:ascii="inter" w:hAnsi="inter" w:eastAsia="inter" w:cs="inter"/>
                <w:color w:val="000000"/>
                <w:sz w:val="17"/>
              </w:rPr>
              <w:t>相对改进</w:t>
            </w:r>
          </w:p>
        </w:tc>
      </w:tr>
      <w:tr w14:paraId="4952463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E6B545C">
            <w:pPr>
              <w:spacing w:after="0" w:line="360" w:lineRule="auto"/>
            </w:pPr>
            <w:r>
              <w:rPr>
                <w:rFonts w:ascii="inter" w:hAnsi="inter" w:eastAsia="inter" w:cs="inter"/>
                <w:color w:val="000000"/>
                <w:sz w:val="17"/>
              </w:rPr>
              <w:t>CGCNN</w:t>
            </w:r>
          </w:p>
        </w:tc>
        <w:tc>
          <w:tcPr>
            <w:tcBorders>
              <w:top w:val="single" w:color="000000" w:sz="0" w:space="0"/>
              <w:bottom w:val="single" w:color="000000" w:sz="0" w:space="0"/>
              <w:right w:val="single" w:color="000000" w:sz="0" w:space="0"/>
            </w:tcBorders>
          </w:tcPr>
          <w:p w14:paraId="6794DA25">
            <w:pPr>
              <w:spacing w:after="0" w:line="360" w:lineRule="auto"/>
            </w:pPr>
            <w:r>
              <w:rPr>
                <w:rFonts w:ascii="inter" w:hAnsi="inter" w:eastAsia="inter" w:cs="inter"/>
                <w:color w:val="000000"/>
                <w:sz w:val="17"/>
              </w:rPr>
              <w:t>-</w:t>
            </w:r>
          </w:p>
        </w:tc>
        <w:tc>
          <w:tcPr>
            <w:tcBorders>
              <w:top w:val="single" w:color="000000" w:sz="0" w:space="0"/>
              <w:bottom w:val="single" w:color="000000" w:sz="0" w:space="0"/>
              <w:right w:val="single" w:color="000000" w:sz="0" w:space="0"/>
            </w:tcBorders>
          </w:tcPr>
          <w:p w14:paraId="6194D140">
            <w:pPr>
              <w:spacing w:after="0" w:line="360" w:lineRule="auto"/>
            </w:pPr>
            <w:r>
              <w:rPr>
                <w:rFonts w:ascii="inter" w:hAnsi="inter" w:eastAsia="inter" w:cs="inter"/>
                <w:color w:val="000000"/>
                <w:sz w:val="17"/>
              </w:rPr>
              <w:t>-</w:t>
            </w:r>
          </w:p>
        </w:tc>
        <w:tc>
          <w:tcPr>
            <w:tcBorders>
              <w:top w:val="single" w:color="000000" w:sz="0" w:space="0"/>
              <w:bottom w:val="single" w:color="000000" w:sz="0" w:space="0"/>
            </w:tcBorders>
          </w:tcPr>
          <w:p w14:paraId="39DA0CA3">
            <w:pPr>
              <w:spacing w:after="0" w:line="360" w:lineRule="auto"/>
            </w:pPr>
            <w:r>
              <w:rPr>
                <w:rFonts w:ascii="inter" w:hAnsi="inter" w:eastAsia="inter" w:cs="inter"/>
                <w:color w:val="000000"/>
                <w:sz w:val="17"/>
              </w:rPr>
              <w:t>基准线</w:t>
            </w:r>
          </w:p>
        </w:tc>
      </w:tr>
      <w:tr w14:paraId="15E920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8C3C8E3">
            <w:pPr>
              <w:spacing w:after="0" w:line="360" w:lineRule="auto"/>
            </w:pPr>
            <w:r>
              <w:rPr>
                <w:rFonts w:ascii="inter" w:hAnsi="inter" w:eastAsia="inter" w:cs="inter"/>
                <w:color w:val="000000"/>
                <w:sz w:val="17"/>
              </w:rPr>
              <w:t>MEGNet</w:t>
            </w:r>
          </w:p>
        </w:tc>
        <w:tc>
          <w:tcPr>
            <w:tcBorders>
              <w:top w:val="single" w:color="000000" w:sz="0" w:space="0"/>
              <w:bottom w:val="single" w:color="000000" w:sz="0" w:space="0"/>
              <w:right w:val="single" w:color="000000" w:sz="0" w:space="0"/>
            </w:tcBorders>
          </w:tcPr>
          <w:p w14:paraId="1BA068AC">
            <w:pPr>
              <w:spacing w:after="0" w:line="360" w:lineRule="auto"/>
            </w:pPr>
            <w:r>
              <w:rPr>
                <w:rFonts w:ascii="inter" w:hAnsi="inter" w:eastAsia="inter" w:cs="inter"/>
                <w:color w:val="000000"/>
                <w:sz w:val="17"/>
              </w:rPr>
              <w:t>0.031</w:t>
            </w:r>
          </w:p>
        </w:tc>
        <w:tc>
          <w:tcPr>
            <w:tcBorders>
              <w:top w:val="single" w:color="000000" w:sz="0" w:space="0"/>
              <w:bottom w:val="single" w:color="000000" w:sz="0" w:space="0"/>
              <w:right w:val="single" w:color="000000" w:sz="0" w:space="0"/>
            </w:tcBorders>
          </w:tcPr>
          <w:p w14:paraId="71403509">
            <w:pPr>
              <w:spacing w:after="0" w:line="360" w:lineRule="auto"/>
            </w:pPr>
            <w:r>
              <w:rPr>
                <w:rFonts w:ascii="inter" w:hAnsi="inter" w:eastAsia="inter" w:cs="inter"/>
                <w:color w:val="000000"/>
                <w:sz w:val="17"/>
              </w:rPr>
              <w:t>0.312</w:t>
            </w:r>
          </w:p>
        </w:tc>
        <w:tc>
          <w:tcPr>
            <w:tcBorders>
              <w:top w:val="single" w:color="000000" w:sz="0" w:space="0"/>
              <w:bottom w:val="single" w:color="000000" w:sz="0" w:space="0"/>
            </w:tcBorders>
          </w:tcPr>
          <w:p w14:paraId="048BD518">
            <w:pPr>
              <w:spacing w:after="0" w:line="360" w:lineRule="auto"/>
            </w:pPr>
            <w:r>
              <w:rPr>
                <w:rFonts w:ascii="inter" w:hAnsi="inter" w:eastAsia="inter" w:cs="inter"/>
                <w:color w:val="000000"/>
                <w:sz w:val="17"/>
              </w:rPr>
              <w:t>相对CGCNN提升21.4%（Ef）</w:t>
            </w:r>
          </w:p>
        </w:tc>
      </w:tr>
      <w:tr w14:paraId="23C4F6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EAA50BA">
            <w:pPr>
              <w:spacing w:after="0" w:line="360" w:lineRule="auto"/>
            </w:pPr>
            <w:r>
              <w:rPr>
                <w:rFonts w:ascii="inter" w:hAnsi="inter" w:eastAsia="inter" w:cs="inter"/>
                <w:color w:val="000000"/>
                <w:sz w:val="17"/>
              </w:rPr>
              <w:t>SchNet</w:t>
            </w:r>
          </w:p>
        </w:tc>
        <w:tc>
          <w:tcPr>
            <w:tcBorders>
              <w:top w:val="single" w:color="000000" w:sz="0" w:space="0"/>
              <w:bottom w:val="single" w:color="000000" w:sz="0" w:space="0"/>
              <w:right w:val="single" w:color="000000" w:sz="0" w:space="0"/>
            </w:tcBorders>
          </w:tcPr>
          <w:p w14:paraId="3F569275">
            <w:pPr>
              <w:spacing w:after="0" w:line="360" w:lineRule="auto"/>
            </w:pPr>
            <w:r>
              <w:rPr>
                <w:rFonts w:ascii="inter" w:hAnsi="inter" w:eastAsia="inter" w:cs="inter"/>
                <w:color w:val="000000"/>
                <w:sz w:val="17"/>
              </w:rPr>
              <w:t>0.023</w:t>
            </w:r>
          </w:p>
        </w:tc>
        <w:tc>
          <w:tcPr>
            <w:tcBorders>
              <w:top w:val="single" w:color="000000" w:sz="0" w:space="0"/>
              <w:bottom w:val="single" w:color="000000" w:sz="0" w:space="0"/>
              <w:right w:val="single" w:color="000000" w:sz="0" w:space="0"/>
            </w:tcBorders>
          </w:tcPr>
          <w:p w14:paraId="192A6C06">
            <w:pPr>
              <w:spacing w:after="0" w:line="360" w:lineRule="auto"/>
            </w:pPr>
            <w:r>
              <w:rPr>
                <w:rFonts w:ascii="inter" w:hAnsi="inter" w:eastAsia="inter" w:cs="inter"/>
                <w:color w:val="000000"/>
                <w:sz w:val="17"/>
              </w:rPr>
              <w:t>-</w:t>
            </w:r>
          </w:p>
        </w:tc>
        <w:tc>
          <w:tcPr>
            <w:tcBorders>
              <w:top w:val="single" w:color="000000" w:sz="0" w:space="0"/>
              <w:bottom w:val="single" w:color="000000" w:sz="0" w:space="0"/>
            </w:tcBorders>
          </w:tcPr>
          <w:p w14:paraId="57F56E57">
            <w:pPr>
              <w:spacing w:after="0" w:line="360" w:lineRule="auto"/>
            </w:pPr>
            <w:r>
              <w:rPr>
                <w:rFonts w:ascii="inter" w:hAnsi="inter" w:eastAsia="inter" w:cs="inter"/>
                <w:color w:val="000000"/>
                <w:sz w:val="17"/>
              </w:rPr>
              <w:t>优于CGCNN但低于ALIGNN</w:t>
            </w:r>
          </w:p>
        </w:tc>
      </w:tr>
      <w:tr w14:paraId="6D86AF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F9B31B3">
            <w:pPr>
              <w:spacing w:after="0" w:line="360" w:lineRule="auto"/>
            </w:pPr>
            <w:r>
              <w:rPr>
                <w:rFonts w:ascii="inter" w:hAnsi="inter" w:eastAsia="inter" w:cs="inter"/>
                <w:color w:val="000000"/>
                <w:sz w:val="17"/>
              </w:rPr>
              <w:t>ALIGNN</w:t>
            </w:r>
          </w:p>
        </w:tc>
        <w:tc>
          <w:tcPr>
            <w:tcBorders>
              <w:top w:val="single" w:color="000000" w:sz="0" w:space="0"/>
              <w:bottom w:val="single" w:color="000000" w:sz="0" w:space="0"/>
              <w:right w:val="single" w:color="000000" w:sz="0" w:space="0"/>
            </w:tcBorders>
          </w:tcPr>
          <w:p w14:paraId="72102373">
            <w:pPr>
              <w:spacing w:after="0" w:line="360" w:lineRule="auto"/>
            </w:pPr>
            <w:r>
              <w:rPr>
                <w:rFonts w:ascii="inter" w:hAnsi="inter" w:eastAsia="inter" w:cs="inter"/>
                <w:color w:val="000000"/>
                <w:sz w:val="17"/>
              </w:rPr>
              <w:t>0.018</w:t>
            </w:r>
          </w:p>
        </w:tc>
        <w:tc>
          <w:tcPr>
            <w:tcBorders>
              <w:top w:val="single" w:color="000000" w:sz="0" w:space="0"/>
              <w:bottom w:val="single" w:color="000000" w:sz="0" w:space="0"/>
              <w:right w:val="single" w:color="000000" w:sz="0" w:space="0"/>
            </w:tcBorders>
          </w:tcPr>
          <w:p w14:paraId="7F1620DE">
            <w:pPr>
              <w:spacing w:after="0" w:line="360" w:lineRule="auto"/>
            </w:pPr>
            <w:r>
              <w:rPr>
                <w:rFonts w:ascii="inter" w:hAnsi="inter" w:eastAsia="inter" w:cs="inter"/>
                <w:color w:val="000000"/>
                <w:sz w:val="17"/>
              </w:rPr>
              <w:t>0.180</w:t>
            </w:r>
          </w:p>
        </w:tc>
        <w:tc>
          <w:tcPr>
            <w:tcBorders>
              <w:top w:val="single" w:color="000000" w:sz="0" w:space="0"/>
              <w:bottom w:val="single" w:color="000000" w:sz="0" w:space="0"/>
            </w:tcBorders>
          </w:tcPr>
          <w:p w14:paraId="5A2E30FF">
            <w:pPr>
              <w:spacing w:after="0" w:line="360" w:lineRule="auto"/>
            </w:pPr>
            <w:r>
              <w:rPr>
                <w:rFonts w:ascii="inter" w:hAnsi="inter" w:eastAsia="inter" w:cs="inter"/>
                <w:color w:val="000000"/>
                <w:sz w:val="17"/>
              </w:rPr>
              <w:t>相对CGCNN提升43.6%（Ef）、43.8%（Eg）</w:t>
            </w:r>
          </w:p>
        </w:tc>
      </w:tr>
    </w:tbl>
    <w:p w14:paraId="67E2F4DD"/>
    <w:p w14:paraId="6E716C59">
      <w:pPr>
        <w:spacing w:after="210" w:line="360" w:lineRule="auto"/>
      </w:pPr>
      <w:r>
        <w:rPr>
          <w:rFonts w:ascii="inter" w:hAnsi="inter" w:eastAsia="inter" w:cs="inter"/>
          <w:b/>
          <w:color w:val="000000"/>
        </w:rPr>
        <w:t>CGCNN在结构描述符预测中的R²表现</w:t>
      </w:r>
      <w:r>
        <w:rPr>
          <w:rFonts w:ascii="inter" w:hAnsi="inter" w:eastAsia="inter" w:cs="inter"/>
          <w:color w:val="000000"/>
        </w:rPr>
        <w:t>：</w:t>
      </w:r>
      <w:bookmarkStart w:id="117" w:name="fnref25_8"/>
      <w:bookmarkEnd w:id="117"/>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71677556">
      <w:pPr>
        <w:numPr>
          <w:ilvl w:val="0"/>
          <w:numId w:val="33"/>
        </w:numPr>
        <w:spacing w:before="105" w:after="105" w:line="360" w:lineRule="auto"/>
      </w:pPr>
      <w:r>
        <w:rPr>
          <w:rFonts w:ascii="inter" w:hAnsi="inter" w:eastAsia="inter" w:cs="inter"/>
          <w:color w:val="000000"/>
          <w:sz w:val="21"/>
        </w:rPr>
        <w:t>本地结构描述符（如相对键长、邻域距离变化）：R²≥0.8</w:t>
      </w:r>
    </w:p>
    <w:p w14:paraId="4098364C">
      <w:pPr>
        <w:numPr>
          <w:ilvl w:val="0"/>
          <w:numId w:val="33"/>
        </w:numPr>
        <w:spacing w:before="105" w:after="105" w:line="360" w:lineRule="auto"/>
      </w:pPr>
      <w:r>
        <w:rPr>
          <w:rFonts w:ascii="inter" w:hAnsi="inter" w:eastAsia="inter" w:cs="inter"/>
          <w:color w:val="000000"/>
          <w:sz w:val="21"/>
        </w:rPr>
        <w:t>全局描述符（密度、体积）：高R²值（&gt;0.90）</w:t>
      </w:r>
    </w:p>
    <w:p w14:paraId="2367F468">
      <w:pPr>
        <w:numPr>
          <w:ilvl w:val="0"/>
          <w:numId w:val="33"/>
        </w:numPr>
        <w:spacing w:before="105" w:after="105" w:line="360" w:lineRule="auto"/>
      </w:pPr>
      <w:r>
        <w:rPr>
          <w:rFonts w:ascii="inter" w:hAnsi="inter" w:eastAsia="inter" w:cs="inter"/>
          <w:color w:val="000000"/>
          <w:sz w:val="21"/>
        </w:rPr>
        <w:t>周期性特征（晶格常数）：低R²值（0.6-0.8），显示CGCNN在周期性编码方面的局限</w:t>
      </w:r>
    </w:p>
    <w:p w14:paraId="3844FFD6">
      <w:pPr>
        <w:spacing w:before="315" w:after="105" w:line="360" w:lineRule="auto"/>
        <w:ind w:left="-30"/>
        <w:jc w:val="left"/>
      </w:pPr>
      <w:bookmarkStart w:id="118" w:name="bm_6_3_模型不确定性量化"/>
      <w:r>
        <w:rPr>
          <w:rFonts w:ascii="inter" w:hAnsi="inter" w:eastAsia="inter" w:cs="inter"/>
          <w:b/>
          <w:color w:val="000000"/>
          <w:sz w:val="24"/>
        </w:rPr>
        <w:t>6.3 模型不确定性量化</w:t>
      </w:r>
      <w:bookmarkEnd w:id="118"/>
    </w:p>
    <w:p w14:paraId="3C4CA8AD">
      <w:pPr>
        <w:spacing w:after="210" w:line="360" w:lineRule="auto"/>
      </w:pPr>
      <w:r>
        <w:rPr>
          <w:rFonts w:ascii="inter" w:hAnsi="inter" w:eastAsia="inter" w:cs="inter"/>
          <w:b/>
          <w:color w:val="000000"/>
        </w:rPr>
        <w:t>贝叶斯神经网络在钢铁蠕变预测中的应用</w:t>
      </w:r>
      <w:r>
        <w:rPr>
          <w:rFonts w:ascii="inter" w:hAnsi="inter" w:eastAsia="inter" w:cs="inter"/>
          <w:color w:val="000000"/>
        </w:rPr>
        <w:t>：</w:t>
      </w:r>
      <w:bookmarkStart w:id="119" w:name="fnref44"/>
      <w:bookmarkEnd w:id="119"/>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02A2BF92">
      <w:pPr>
        <w:numPr>
          <w:ilvl w:val="0"/>
          <w:numId w:val="34"/>
        </w:numPr>
        <w:spacing w:before="105" w:after="105" w:line="360" w:lineRule="auto"/>
      </w:pPr>
      <w:r>
        <w:rPr>
          <w:rFonts w:ascii="inter" w:hAnsi="inter" w:eastAsia="inter" w:cs="inter"/>
          <w:color w:val="000000"/>
          <w:sz w:val="21"/>
        </w:rPr>
        <w:t>使用MCMC近似后验分布的BNN方法，提供点估计和不确定性估计</w:t>
      </w:r>
    </w:p>
    <w:p w14:paraId="0F8B2C7A">
      <w:pPr>
        <w:numPr>
          <w:ilvl w:val="0"/>
          <w:numId w:val="34"/>
        </w:numPr>
        <w:spacing w:before="105" w:after="105" w:line="360" w:lineRule="auto"/>
      </w:pPr>
      <w:r>
        <w:rPr>
          <w:rFonts w:ascii="inter" w:hAnsi="inter" w:eastAsia="inter" w:cs="inter"/>
          <w:color w:val="000000"/>
          <w:sz w:val="21"/>
        </w:rPr>
        <w:t>与高斯过程回归相比性能相当或更优</w:t>
      </w:r>
    </w:p>
    <w:p w14:paraId="32DEE43E">
      <w:pPr>
        <w:numPr>
          <w:ilvl w:val="0"/>
          <w:numId w:val="34"/>
        </w:numPr>
        <w:spacing w:before="105" w:after="105" w:line="360" w:lineRule="auto"/>
      </w:pPr>
      <w:r>
        <w:rPr>
          <w:rFonts w:ascii="inter" w:hAnsi="inter" w:eastAsia="inter" w:cs="inter"/>
          <w:color w:val="000000"/>
          <w:sz w:val="21"/>
        </w:rPr>
        <w:t>95%预测区间的置信度通过实验验证得到确认</w:t>
      </w:r>
    </w:p>
    <w:p w14:paraId="7C081A2C">
      <w:pPr>
        <w:spacing w:after="210" w:line="360" w:lineRule="auto"/>
      </w:pPr>
      <w:r>
        <w:rPr>
          <w:rFonts w:ascii="inter" w:hAnsi="inter" w:eastAsia="inter" w:cs="inter"/>
          <w:b/>
          <w:color w:val="000000"/>
        </w:rPr>
        <w:t>Bayesian优化在多目标材料优化中的应用</w:t>
      </w:r>
      <w:r>
        <w:rPr>
          <w:rFonts w:ascii="inter" w:hAnsi="inter" w:eastAsia="inter" w:cs="inter"/>
          <w:color w:val="000000"/>
        </w:rPr>
        <w:t>：</w:t>
      </w:r>
      <w:bookmarkStart w:id="120" w:name="fnref6_4"/>
      <w:bookmarkEnd w:id="12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6262ADD">
      <w:pPr>
        <w:numPr>
          <w:ilvl w:val="0"/>
          <w:numId w:val="35"/>
        </w:numPr>
        <w:spacing w:before="105" w:after="105" w:line="360" w:lineRule="auto"/>
      </w:pPr>
      <w:r>
        <w:rPr>
          <w:rFonts w:ascii="inter" w:hAnsi="inter" w:eastAsia="inter" w:cs="inter"/>
          <w:color w:val="000000"/>
          <w:sz w:val="21"/>
        </w:rPr>
        <w:t>期望改进（EI）算法用于指导ε-约束、加权和与NSGA-II等多目标策略</w:t>
      </w:r>
    </w:p>
    <w:p w14:paraId="532CB0C7">
      <w:pPr>
        <w:numPr>
          <w:ilvl w:val="0"/>
          <w:numId w:val="35"/>
        </w:numPr>
        <w:spacing w:before="105" w:after="105" w:line="360" w:lineRule="auto"/>
      </w:pPr>
      <w:r>
        <w:rPr>
          <w:rFonts w:ascii="inter" w:hAnsi="inter" w:eastAsia="inter" w:cs="inter"/>
          <w:color w:val="000000"/>
          <w:sz w:val="21"/>
        </w:rPr>
        <w:t>不确定性估计指导搜索空间的探索-开发权衡，通常在3-4次迭代内收敛</w:t>
      </w:r>
    </w:p>
    <w:p w14:paraId="3DE15A64">
      <w:pPr>
        <w:spacing w:before="315" w:after="105" w:line="360" w:lineRule="auto"/>
        <w:ind w:left="-30"/>
        <w:jc w:val="left"/>
      </w:pPr>
      <w:bookmarkStart w:id="121" w:name="bm_6_4_交叉验证与测试集划分策略"/>
      <w:r>
        <w:rPr>
          <w:rFonts w:ascii="inter" w:hAnsi="inter" w:eastAsia="inter" w:cs="inter"/>
          <w:b/>
          <w:color w:val="000000"/>
          <w:sz w:val="24"/>
        </w:rPr>
        <w:t>6.4 交叉验证与测试集划分策略</w:t>
      </w:r>
      <w:bookmarkEnd w:id="121"/>
    </w:p>
    <w:p w14:paraId="00DB2A91">
      <w:pPr>
        <w:spacing w:after="210" w:line="360" w:lineRule="auto"/>
      </w:pPr>
      <w:r>
        <w:rPr>
          <w:rFonts w:ascii="inter" w:hAnsi="inter" w:eastAsia="inter" w:cs="inter"/>
          <w:b/>
          <w:color w:val="000000"/>
        </w:rPr>
        <w:t>k-fold交叉验证</w:t>
      </w:r>
      <w:r>
        <w:rPr>
          <w:rFonts w:ascii="inter" w:hAnsi="inter" w:eastAsia="inter" w:cs="inter"/>
          <w:color w:val="000000"/>
        </w:rPr>
        <w:t>：</w:t>
      </w:r>
      <w:bookmarkStart w:id="122" w:name="fnref26_3"/>
      <w:bookmarkEnd w:id="122"/>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7C40AF67">
      <w:pPr>
        <w:numPr>
          <w:ilvl w:val="0"/>
          <w:numId w:val="36"/>
        </w:numPr>
        <w:spacing w:before="105" w:after="105" w:line="360" w:lineRule="auto"/>
      </w:pPr>
      <w:r>
        <w:rPr>
          <w:rFonts w:ascii="inter" w:hAnsi="inter" w:eastAsia="inter" w:cs="inter"/>
          <w:color w:val="000000"/>
          <w:sz w:val="21"/>
        </w:rPr>
        <w:t>标准的10-fold交叉验证报告的R²值被用作模型稳健性指标</w:t>
      </w:r>
    </w:p>
    <w:p w14:paraId="0146516D">
      <w:pPr>
        <w:numPr>
          <w:ilvl w:val="0"/>
          <w:numId w:val="36"/>
        </w:numPr>
        <w:spacing w:before="105" w:after="105" w:line="360" w:lineRule="auto"/>
      </w:pPr>
      <w:r>
        <w:rPr>
          <w:rFonts w:ascii="inter" w:hAnsi="inter" w:eastAsia="inter" w:cs="inter"/>
          <w:color w:val="000000"/>
          <w:sz w:val="21"/>
        </w:rPr>
        <w:t>对于高熵合金设计，硬度模型的10-fold CV中R²=0.90，延展性模型R²=0.76</w:t>
      </w:r>
      <w:bookmarkStart w:id="123" w:name="fnref26_4"/>
      <w:bookmarkEnd w:id="123"/>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59B3013F">
      <w:pPr>
        <w:spacing w:after="210" w:line="360" w:lineRule="auto"/>
      </w:pPr>
      <w:r>
        <w:rPr>
          <w:rFonts w:ascii="inter" w:hAnsi="inter" w:eastAsia="inter" w:cs="inter"/>
          <w:b/>
          <w:color w:val="000000"/>
        </w:rPr>
        <w:t>时间-空间分割验证</w:t>
      </w:r>
      <w:r>
        <w:rPr>
          <w:rFonts w:ascii="inter" w:hAnsi="inter" w:eastAsia="inter" w:cs="inter"/>
          <w:color w:val="000000"/>
        </w:rPr>
        <w:t>：</w:t>
      </w:r>
      <w:bookmarkStart w:id="124" w:name="fnref45"/>
      <w:bookmarkEnd w:id="124"/>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p>
    <w:p w14:paraId="247AE1C8">
      <w:pPr>
        <w:numPr>
          <w:ilvl w:val="0"/>
          <w:numId w:val="37"/>
        </w:numPr>
        <w:spacing w:before="105" w:after="105" w:line="360" w:lineRule="auto"/>
      </w:pPr>
      <w:r>
        <w:rPr>
          <w:rFonts w:ascii="inter" w:hAnsi="inter" w:eastAsia="inter" w:cs="inter"/>
          <w:color w:val="000000"/>
          <w:sz w:val="21"/>
        </w:rPr>
        <w:t>在合成性预测中，模型在近期年份的数据上表现良好，但对未来数据的预测精度下降</w:t>
      </w:r>
    </w:p>
    <w:p w14:paraId="28D6DC32">
      <w:pPr>
        <w:numPr>
          <w:ilvl w:val="0"/>
          <w:numId w:val="37"/>
        </w:numPr>
        <w:spacing w:before="105" w:after="105" w:line="360" w:lineRule="auto"/>
      </w:pPr>
      <w:r>
        <w:rPr>
          <w:rFonts w:ascii="inter" w:hAnsi="inter" w:eastAsia="inter" w:cs="inter"/>
          <w:color w:val="000000"/>
          <w:sz w:val="21"/>
        </w:rPr>
        <w:t>这反映了材料合成能力随时间进步，模型的泛化边界是动态的</w:t>
      </w:r>
    </w:p>
    <w:p w14:paraId="585FAFC5">
      <w:pPr>
        <w:spacing w:before="315" w:after="105" w:line="360" w:lineRule="auto"/>
        <w:ind w:left="-30"/>
        <w:jc w:val="left"/>
      </w:pPr>
      <w:bookmarkStart w:id="125" w:name="bm_7_面临的挑战与模型可行性分析"/>
      <w:r>
        <w:rPr>
          <w:rFonts w:ascii="inter" w:hAnsi="inter" w:eastAsia="inter" w:cs="inter"/>
          <w:b/>
          <w:color w:val="000000"/>
          <w:sz w:val="24"/>
        </w:rPr>
        <w:t>7. 面临的挑战与模型可行性分析</w:t>
      </w:r>
      <w:bookmarkEnd w:id="125"/>
    </w:p>
    <w:p w14:paraId="35B04EAE">
      <w:pPr>
        <w:spacing w:before="315" w:after="105" w:line="360" w:lineRule="auto"/>
        <w:ind w:left="-30"/>
        <w:jc w:val="left"/>
      </w:pPr>
      <w:bookmarkStart w:id="126" w:name="bm_7_1_数据相关的关键挑战"/>
      <w:r>
        <w:rPr>
          <w:rFonts w:ascii="inter" w:hAnsi="inter" w:eastAsia="inter" w:cs="inter"/>
          <w:b/>
          <w:color w:val="000000"/>
          <w:sz w:val="24"/>
        </w:rPr>
        <w:t>7.1 数据相关的关键挑战</w:t>
      </w:r>
      <w:bookmarkEnd w:id="126"/>
    </w:p>
    <w:p w14:paraId="0AEA8A4F">
      <w:pPr>
        <w:spacing w:after="210" w:line="360" w:lineRule="auto"/>
      </w:pPr>
      <w:r>
        <w:rPr>
          <w:rFonts w:ascii="inter" w:hAnsi="inter" w:eastAsia="inter" w:cs="inter"/>
          <w:b/>
          <w:color w:val="000000"/>
        </w:rPr>
        <w:t>数据成本与计算资源瓶颈</w:t>
      </w:r>
      <w:r>
        <w:rPr>
          <w:rFonts w:ascii="inter" w:hAnsi="inter" w:eastAsia="inter" w:cs="inter"/>
          <w:color w:val="000000"/>
        </w:rPr>
        <w:t>：</w:t>
      </w:r>
      <w:bookmarkStart w:id="127" w:name="fnref46"/>
      <w:bookmarkEnd w:id="127"/>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bookmarkStart w:id="128" w:name="fnref47"/>
      <w:bookmarkEnd w:id="128"/>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p>
    <w:p w14:paraId="1651904D">
      <w:pPr>
        <w:numPr>
          <w:ilvl w:val="0"/>
          <w:numId w:val="38"/>
        </w:numPr>
        <w:spacing w:before="105" w:after="105" w:line="360" w:lineRule="auto"/>
      </w:pPr>
      <w:r>
        <w:rPr>
          <w:rFonts w:ascii="inter" w:hAnsi="inter" w:eastAsia="inter" w:cs="inter"/>
          <w:color w:val="000000"/>
          <w:sz w:val="21"/>
        </w:rPr>
        <w:t>DFT计算成本极高：对于包含N个原子的体系，计算成本按N³或更高阶缩放</w:t>
      </w:r>
    </w:p>
    <w:p w14:paraId="2502669E">
      <w:pPr>
        <w:numPr>
          <w:ilvl w:val="0"/>
          <w:numId w:val="38"/>
        </w:numPr>
        <w:spacing w:before="105" w:after="105" w:line="360" w:lineRule="auto"/>
      </w:pPr>
      <w:r>
        <w:rPr>
          <w:rFonts w:ascii="inter" w:hAnsi="inter" w:eastAsia="inter" w:cs="inter"/>
          <w:color w:val="000000"/>
          <w:sz w:val="21"/>
        </w:rPr>
        <w:t>混合泛函（如HSE06）的计算成本比GGA高10-100倍，限制了高精度数据的覆盖范围</w:t>
      </w:r>
    </w:p>
    <w:p w14:paraId="534096E1">
      <w:pPr>
        <w:numPr>
          <w:ilvl w:val="0"/>
          <w:numId w:val="38"/>
        </w:numPr>
        <w:spacing w:before="105" w:after="105" w:line="360" w:lineRule="auto"/>
      </w:pPr>
      <w:r>
        <w:rPr>
          <w:rFonts w:ascii="inter" w:hAnsi="inter" w:eastAsia="inter" w:cs="inter"/>
          <w:color w:val="000000"/>
          <w:sz w:val="21"/>
        </w:rPr>
        <w:t>实验数据获取更加困难：高通量实验的建立成本每个设施数百万美元，且材料表征仍依赖人工</w:t>
      </w:r>
    </w:p>
    <w:p w14:paraId="0EE4970F">
      <w:pPr>
        <w:spacing w:after="210" w:line="360" w:lineRule="auto"/>
      </w:pPr>
      <w:r>
        <w:rPr>
          <w:rFonts w:ascii="inter" w:hAnsi="inter" w:eastAsia="inter" w:cs="inter"/>
          <w:b/>
          <w:color w:val="000000"/>
        </w:rPr>
        <w:t>数据质量与偏差问题</w:t>
      </w:r>
      <w:r>
        <w:rPr>
          <w:rFonts w:ascii="inter" w:hAnsi="inter" w:eastAsia="inter" w:cs="inter"/>
          <w:color w:val="000000"/>
        </w:rPr>
        <w:t>：</w:t>
      </w:r>
      <w:bookmarkStart w:id="129" w:name="fnref32_1"/>
      <w:bookmarkEnd w:id="129"/>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130" w:name="fnref33_1"/>
      <w:bookmarkEnd w:id="130"/>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131" w:name="fnref30_2"/>
      <w:bookmarkEnd w:id="131"/>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2F1F2BA4">
      <w:pPr>
        <w:numPr>
          <w:ilvl w:val="0"/>
          <w:numId w:val="39"/>
        </w:numPr>
        <w:spacing w:before="105" w:after="105" w:line="360" w:lineRule="auto"/>
      </w:pPr>
      <w:r>
        <w:rPr>
          <w:rFonts w:ascii="inter" w:hAnsi="inter" w:eastAsia="inter" w:cs="inter"/>
          <w:color w:val="000000"/>
          <w:sz w:val="21"/>
        </w:rPr>
        <w:t>DFT泛函选择带来的系统性偏差：不同泛函对能带间隙的预测差异&gt;1 eV</w:t>
      </w:r>
      <w:bookmarkStart w:id="132" w:name="fnref33_2"/>
      <w:bookmarkEnd w:id="132"/>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11EF92BD">
      <w:pPr>
        <w:numPr>
          <w:ilvl w:val="0"/>
          <w:numId w:val="39"/>
        </w:numPr>
        <w:spacing w:before="105" w:after="105" w:line="360" w:lineRule="auto"/>
      </w:pPr>
      <w:r>
        <w:rPr>
          <w:rFonts w:ascii="inter" w:hAnsi="inter" w:eastAsia="inter" w:cs="inter"/>
          <w:color w:val="000000"/>
          <w:sz w:val="21"/>
        </w:rPr>
        <w:t>数据库覆盖偏差：某些化学系统（如强关联电子系统）在数据库中严重不足，而它们恰好对预测最具挑战性</w:t>
      </w:r>
    </w:p>
    <w:p w14:paraId="3FC4DDE9">
      <w:pPr>
        <w:numPr>
          <w:ilvl w:val="0"/>
          <w:numId w:val="39"/>
        </w:numPr>
        <w:spacing w:before="105" w:after="105" w:line="360" w:lineRule="auto"/>
      </w:pPr>
      <w:r>
        <w:rPr>
          <w:rFonts w:ascii="inter" w:hAnsi="inter" w:eastAsia="inter" w:cs="inter"/>
          <w:color w:val="000000"/>
          <w:sz w:val="21"/>
        </w:rPr>
        <w:t>假设结构与实验可合成结构的本质区别：能量稳定并不等于实验可合成</w:t>
      </w:r>
    </w:p>
    <w:p w14:paraId="12EEA8E2">
      <w:pPr>
        <w:spacing w:after="210" w:line="360" w:lineRule="auto"/>
      </w:pPr>
      <w:r>
        <w:rPr>
          <w:rFonts w:ascii="inter" w:hAnsi="inter" w:eastAsia="inter" w:cs="inter"/>
          <w:b/>
          <w:color w:val="000000"/>
        </w:rPr>
        <w:t>数据稀疏性在特定应用领域的表现</w:t>
      </w:r>
      <w:r>
        <w:rPr>
          <w:rFonts w:ascii="inter" w:hAnsi="inter" w:eastAsia="inter" w:cs="inter"/>
          <w:color w:val="000000"/>
        </w:rPr>
        <w:t>：</w:t>
      </w:r>
      <w:bookmarkStart w:id="133" w:name="fnref33_3"/>
      <w:bookmarkEnd w:id="133"/>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2E8B8D21">
      <w:pPr>
        <w:numPr>
          <w:ilvl w:val="0"/>
          <w:numId w:val="40"/>
        </w:numPr>
        <w:spacing w:before="105" w:after="105" w:line="360" w:lineRule="auto"/>
      </w:pPr>
      <w:r>
        <w:rPr>
          <w:rFonts w:ascii="inter" w:hAnsi="inter" w:eastAsia="inter" w:cs="inter"/>
          <w:color w:val="000000"/>
          <w:sz w:val="21"/>
        </w:rPr>
        <w:t>MOF性质预测中，虽然有100k-300k个假设MOF结构，但与多元SBU（二级建筑单元）丰富的实验结构相比，化学多样性严重不足</w:t>
      </w:r>
      <w:bookmarkStart w:id="134" w:name="fnref33_4"/>
      <w:bookmarkEnd w:id="134"/>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p>
    <w:p w14:paraId="5B2E2B61">
      <w:pPr>
        <w:numPr>
          <w:ilvl w:val="0"/>
          <w:numId w:val="40"/>
        </w:numPr>
        <w:spacing w:before="105" w:after="105" w:line="360" w:lineRule="auto"/>
      </w:pPr>
      <w:r>
        <w:rPr>
          <w:rFonts w:ascii="inter" w:hAnsi="inter" w:eastAsia="inter" w:cs="inter"/>
          <w:color w:val="000000"/>
          <w:sz w:val="21"/>
        </w:rPr>
        <w:t>高熵合金数据：关键的力学性质（延展性、裂纹扩展速率）的测量数据相对稀少，主要依靠MD模拟生成</w:t>
      </w:r>
    </w:p>
    <w:p w14:paraId="6B12F405">
      <w:pPr>
        <w:spacing w:before="315" w:after="105" w:line="360" w:lineRule="auto"/>
        <w:ind w:left="-30"/>
        <w:jc w:val="left"/>
      </w:pPr>
      <w:bookmarkStart w:id="135" w:name="bm_7_2_模型可解释性与过度拟合"/>
      <w:r>
        <w:rPr>
          <w:rFonts w:ascii="inter" w:hAnsi="inter" w:eastAsia="inter" w:cs="inter"/>
          <w:b/>
          <w:color w:val="000000"/>
          <w:sz w:val="24"/>
        </w:rPr>
        <w:t>7.2 模型可解释性与过度拟合</w:t>
      </w:r>
      <w:bookmarkEnd w:id="135"/>
    </w:p>
    <w:p w14:paraId="3AD736E3">
      <w:pPr>
        <w:spacing w:after="210" w:line="360" w:lineRule="auto"/>
      </w:pPr>
      <w:r>
        <w:rPr>
          <w:rFonts w:ascii="inter" w:hAnsi="inter" w:eastAsia="inter" w:cs="inter"/>
          <w:b/>
          <w:color w:val="000000"/>
        </w:rPr>
        <w:t>黑盒性质的科学影响</w:t>
      </w:r>
      <w:r>
        <w:rPr>
          <w:rFonts w:ascii="inter" w:hAnsi="inter" w:eastAsia="inter" w:cs="inter"/>
          <w:color w:val="000000"/>
        </w:rPr>
        <w:t>：</w:t>
      </w:r>
      <w:bookmarkStart w:id="136" w:name="fnref48"/>
      <w:bookmarkEnd w:id="136"/>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p>
    <w:p w14:paraId="1E733DB5">
      <w:pPr>
        <w:numPr>
          <w:ilvl w:val="0"/>
          <w:numId w:val="41"/>
        </w:numPr>
        <w:spacing w:before="105" w:after="105" w:line="360" w:lineRule="auto"/>
      </w:pPr>
      <w:r>
        <w:rPr>
          <w:rFonts w:ascii="inter" w:hAnsi="inter" w:eastAsia="inter" w:cs="inter"/>
          <w:color w:val="000000"/>
          <w:sz w:val="21"/>
        </w:rPr>
        <w:t>GNN和深度学习模型缺乏直接的物理可解释性，难以从中提取新的材料设计原理</w:t>
      </w:r>
    </w:p>
    <w:p w14:paraId="4DF8D10D">
      <w:pPr>
        <w:numPr>
          <w:ilvl w:val="0"/>
          <w:numId w:val="41"/>
        </w:numPr>
        <w:spacing w:before="105" w:after="105" w:line="360" w:lineRule="auto"/>
      </w:pPr>
      <w:r>
        <w:rPr>
          <w:rFonts w:ascii="inter" w:hAnsi="inter" w:eastAsia="inter" w:cs="inter"/>
          <w:color w:val="000000"/>
          <w:sz w:val="21"/>
        </w:rPr>
        <w:t>研究表明，模型可能学到虚假关联而非物理因果关系</w:t>
      </w:r>
      <w:bookmarkStart w:id="137" w:name="fnref49"/>
      <w:bookmarkEnd w:id="137"/>
      <w:r>
        <w:fldChar w:fldCharType="begin"/>
      </w:r>
      <w:r>
        <w:instrText xml:space="preserve"> HYPERLINK \l "fn49" \h </w:instrText>
      </w:r>
      <w:r>
        <w:fldChar w:fldCharType="separate"/>
      </w:r>
      <w:r>
        <w:rPr>
          <w:rFonts w:ascii="inter" w:hAnsi="inter" w:eastAsia="inter" w:cs="inter"/>
          <w:color w:val="000000"/>
          <w:sz w:val="21"/>
          <w:u w:val="single"/>
          <w:vertAlign w:val="superscript"/>
        </w:rPr>
        <w:t>[49]</w:t>
      </w:r>
      <w:r>
        <w:rPr>
          <w:rFonts w:ascii="inter" w:hAnsi="inter" w:eastAsia="inter" w:cs="inter"/>
          <w:color w:val="000000"/>
          <w:sz w:val="21"/>
          <w:u w:val="single"/>
          <w:vertAlign w:val="superscript"/>
        </w:rPr>
        <w:fldChar w:fldCharType="end"/>
      </w:r>
    </w:p>
    <w:p w14:paraId="5B991CF0">
      <w:pPr>
        <w:numPr>
          <w:ilvl w:val="0"/>
          <w:numId w:val="41"/>
        </w:numPr>
        <w:spacing w:before="105" w:after="105" w:line="360" w:lineRule="auto"/>
      </w:pPr>
      <w:r>
        <w:rPr>
          <w:rFonts w:ascii="inter" w:hAnsi="inter" w:eastAsia="inter" w:cs="inter"/>
          <w:color w:val="000000"/>
          <w:sz w:val="21"/>
        </w:rPr>
        <w:t>限制：模型对特定属性的预测（如晶格常数）的泛化能力仍受物理约束（如周期性）的限制</w:t>
      </w:r>
    </w:p>
    <w:p w14:paraId="284451AD">
      <w:pPr>
        <w:spacing w:after="210" w:line="360" w:lineRule="auto"/>
      </w:pPr>
      <w:r>
        <w:rPr>
          <w:rFonts w:ascii="inter" w:hAnsi="inter" w:eastAsia="inter" w:cs="inter"/>
          <w:b/>
          <w:color w:val="000000"/>
        </w:rPr>
        <w:t>模型泛化能力的真实局限</w:t>
      </w:r>
      <w:r>
        <w:rPr>
          <w:rFonts w:ascii="inter" w:hAnsi="inter" w:eastAsia="inter" w:cs="inter"/>
          <w:color w:val="000000"/>
        </w:rPr>
        <w:t>：</w:t>
      </w:r>
      <w:bookmarkStart w:id="138" w:name="fnref50"/>
      <w:bookmarkEnd w:id="138"/>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p>
    <w:p w14:paraId="574470F2">
      <w:pPr>
        <w:numPr>
          <w:ilvl w:val="0"/>
          <w:numId w:val="42"/>
        </w:numPr>
        <w:spacing w:before="105" w:after="105" w:line="360" w:lineRule="auto"/>
      </w:pPr>
      <w:r>
        <w:rPr>
          <w:rFonts w:ascii="inter" w:hAnsi="inter" w:eastAsia="inter" w:cs="inter"/>
          <w:color w:val="000000"/>
          <w:sz w:val="21"/>
        </w:rPr>
        <w:t>对超过700个域外（OOD）任务的系统分析表明，现有模型在化学和结构新颖性方面的泛化能力被严重高估</w:t>
      </w:r>
    </w:p>
    <w:p w14:paraId="36C20233">
      <w:pPr>
        <w:numPr>
          <w:ilvl w:val="0"/>
          <w:numId w:val="42"/>
        </w:numPr>
        <w:spacing w:before="105" w:after="105" w:line="360" w:lineRule="auto"/>
      </w:pPr>
      <w:r>
        <w:rPr>
          <w:rFonts w:ascii="inter" w:hAnsi="inter" w:eastAsia="inter" w:cs="inter"/>
          <w:color w:val="000000"/>
          <w:sz w:val="21"/>
        </w:rPr>
        <w:t>关键发现：多数"挑战性"OOD任务实际上是插值任务，真正的外推（泛化到本质上不同的化学或结构领域）仍非常困难</w:t>
      </w:r>
      <w:bookmarkStart w:id="139" w:name="fnref50_1"/>
      <w:bookmarkEnd w:id="139"/>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p>
    <w:p w14:paraId="307F50C6">
      <w:pPr>
        <w:numPr>
          <w:ilvl w:val="0"/>
          <w:numId w:val="42"/>
        </w:numPr>
        <w:spacing w:before="105" w:after="105" w:line="360" w:lineRule="auto"/>
      </w:pPr>
      <w:r>
        <w:rPr>
          <w:rFonts w:ascii="inter" w:hAnsi="inter" w:eastAsia="inter" w:cs="inter"/>
          <w:color w:val="000000"/>
          <w:sz w:val="21"/>
        </w:rPr>
        <w:t>模型缩放（增加模型大小或数据量）对真正的OOD任务无显著帮助，甚至可能恶化性能</w:t>
      </w:r>
      <w:bookmarkStart w:id="140" w:name="fnref50_2"/>
      <w:bookmarkEnd w:id="140"/>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p>
    <w:p w14:paraId="05229EE1">
      <w:pPr>
        <w:spacing w:before="315" w:after="105" w:line="360" w:lineRule="auto"/>
        <w:ind w:left="-30"/>
        <w:jc w:val="left"/>
      </w:pPr>
      <w:bookmarkStart w:id="141" w:name="bm_7_3_计算与部署的实际困难"/>
      <w:r>
        <w:rPr>
          <w:rFonts w:ascii="inter" w:hAnsi="inter" w:eastAsia="inter" w:cs="inter"/>
          <w:b/>
          <w:color w:val="000000"/>
          <w:sz w:val="24"/>
        </w:rPr>
        <w:t>7.3 计算与部署的实际困难</w:t>
      </w:r>
      <w:bookmarkEnd w:id="141"/>
    </w:p>
    <w:p w14:paraId="50E676C4">
      <w:pPr>
        <w:spacing w:after="210" w:line="360" w:lineRule="auto"/>
      </w:pPr>
      <w:r>
        <w:rPr>
          <w:rFonts w:ascii="inter" w:hAnsi="inter" w:eastAsia="inter" w:cs="inter"/>
          <w:b/>
          <w:color w:val="000000"/>
        </w:rPr>
        <w:t>模型推理延迟与成本</w:t>
      </w:r>
      <w:r>
        <w:rPr>
          <w:rFonts w:ascii="inter" w:hAnsi="inter" w:eastAsia="inter" w:cs="inter"/>
          <w:color w:val="000000"/>
        </w:rPr>
        <w:t>：</w:t>
      </w:r>
      <w:bookmarkStart w:id="142" w:name="fnref51"/>
      <w:bookmarkEnd w:id="142"/>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p>
    <w:p w14:paraId="2BD3705D">
      <w:pPr>
        <w:numPr>
          <w:ilvl w:val="0"/>
          <w:numId w:val="43"/>
        </w:numPr>
        <w:spacing w:before="105" w:after="105" w:line="360" w:lineRule="auto"/>
      </w:pPr>
      <w:r>
        <w:rPr>
          <w:rFonts w:ascii="inter" w:hAnsi="inter" w:eastAsia="inter" w:cs="inter"/>
          <w:color w:val="000000"/>
          <w:sz w:val="21"/>
        </w:rPr>
        <w:t>虽然ML模型相比DFT快得多，但对于大规模虚拟筛选（数百万候选），推理成本仍不可忽视</w:t>
      </w:r>
    </w:p>
    <w:p w14:paraId="3284B27B">
      <w:pPr>
        <w:numPr>
          <w:ilvl w:val="0"/>
          <w:numId w:val="43"/>
        </w:numPr>
        <w:spacing w:before="105" w:after="105" w:line="360" w:lineRule="auto"/>
      </w:pPr>
      <w:r>
        <w:rPr>
          <w:rFonts w:ascii="inter" w:hAnsi="inter" w:eastAsia="inter" w:cs="inter"/>
          <w:color w:val="000000"/>
          <w:sz w:val="21"/>
        </w:rPr>
        <w:t>云端DFT替代方案（如Matlantis）实现了100,000-2,000,000倍的加速，但仍需适应不同材料体系的特异性训练</w:t>
      </w:r>
    </w:p>
    <w:p w14:paraId="4DC074F5">
      <w:pPr>
        <w:spacing w:after="210" w:line="360" w:lineRule="auto"/>
      </w:pPr>
      <w:r>
        <w:rPr>
          <w:rFonts w:ascii="inter" w:hAnsi="inter" w:eastAsia="inter" w:cs="inter"/>
          <w:b/>
          <w:color w:val="000000"/>
        </w:rPr>
        <w:t>转移学习的有限有效性</w:t>
      </w:r>
      <w:r>
        <w:rPr>
          <w:rFonts w:ascii="inter" w:hAnsi="inter" w:eastAsia="inter" w:cs="inter"/>
          <w:color w:val="000000"/>
        </w:rPr>
        <w:t>：</w:t>
      </w:r>
      <w:bookmarkStart w:id="143" w:name="fnref52"/>
      <w:bookmarkEnd w:id="143"/>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p>
    <w:p w14:paraId="1D47F872">
      <w:pPr>
        <w:numPr>
          <w:ilvl w:val="0"/>
          <w:numId w:val="44"/>
        </w:numPr>
        <w:spacing w:before="105" w:after="105" w:line="360" w:lineRule="auto"/>
      </w:pPr>
      <w:r>
        <w:rPr>
          <w:rFonts w:ascii="inter" w:hAnsi="inter" w:eastAsia="inter" w:cs="inter"/>
          <w:color w:val="000000"/>
          <w:sz w:val="21"/>
        </w:rPr>
        <w:t>在金属极端环境材料领域的研究表明，虽然转移学习在某些任务上提升性能，但其效果因任务类型和数据分布而异</w:t>
      </w:r>
    </w:p>
    <w:p w14:paraId="66F7C4D3">
      <w:pPr>
        <w:numPr>
          <w:ilvl w:val="0"/>
          <w:numId w:val="44"/>
        </w:numPr>
        <w:spacing w:before="105" w:after="105" w:line="360" w:lineRule="auto"/>
      </w:pPr>
      <w:r>
        <w:rPr>
          <w:rFonts w:ascii="inter" w:hAnsi="inter" w:eastAsia="inter" w:cs="inter"/>
          <w:color w:val="000000"/>
          <w:sz w:val="21"/>
        </w:rPr>
        <w:t>简单迁移（如从一般材料模型到领域特定模型）可能不足以应对专业应用的需求</w:t>
      </w:r>
    </w:p>
    <w:p w14:paraId="2D400E96">
      <w:pPr>
        <w:spacing w:before="315" w:after="105" w:line="360" w:lineRule="auto"/>
        <w:ind w:left="-30"/>
        <w:jc w:val="left"/>
      </w:pPr>
      <w:bookmarkStart w:id="144" w:name="bm_7_4_合成性与实验可行性预测"/>
      <w:r>
        <w:rPr>
          <w:rFonts w:ascii="inter" w:hAnsi="inter" w:eastAsia="inter" w:cs="inter"/>
          <w:b/>
          <w:color w:val="000000"/>
          <w:sz w:val="24"/>
        </w:rPr>
        <w:t>7.4 合成性与实验可行性预测</w:t>
      </w:r>
      <w:bookmarkEnd w:id="144"/>
    </w:p>
    <w:p w14:paraId="5C5C6185">
      <w:pPr>
        <w:spacing w:after="210" w:line="360" w:lineRule="auto"/>
      </w:pPr>
      <w:r>
        <w:rPr>
          <w:rFonts w:ascii="inter" w:hAnsi="inter" w:eastAsia="inter" w:cs="inter"/>
          <w:b/>
          <w:color w:val="000000"/>
        </w:rPr>
        <w:t>合成性预测的根本困难</w:t>
      </w:r>
      <w:r>
        <w:rPr>
          <w:rFonts w:ascii="inter" w:hAnsi="inter" w:eastAsia="inter" w:cs="inter"/>
          <w:color w:val="000000"/>
        </w:rPr>
        <w:t>：</w:t>
      </w:r>
      <w:bookmarkStart w:id="145" w:name="fnref45_1"/>
      <w:bookmarkEnd w:id="145"/>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bookmarkStart w:id="146" w:name="fnref32_2"/>
      <w:bookmarkEnd w:id="146"/>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4F6AD281">
      <w:pPr>
        <w:numPr>
          <w:ilvl w:val="0"/>
          <w:numId w:val="45"/>
        </w:numPr>
        <w:spacing w:before="105" w:after="105" w:line="360" w:lineRule="auto"/>
      </w:pPr>
      <w:r>
        <w:rPr>
          <w:rFonts w:ascii="inter" w:hAnsi="inter" w:eastAsia="inter" w:cs="inter"/>
          <w:color w:val="000000"/>
          <w:sz w:val="21"/>
        </w:rPr>
        <w:t>虽然SynthNN等深度学习模型在识别可合成材料方面达到7倍精度优于DFT方法，但仍存在显著的假阴性</w:t>
      </w:r>
      <w:bookmarkStart w:id="147" w:name="fnref45_2"/>
      <w:bookmarkEnd w:id="147"/>
      <w:r>
        <w:fldChar w:fldCharType="begin"/>
      </w:r>
      <w:r>
        <w:instrText xml:space="preserve"> HYPERLINK \l "fn45" \h </w:instrText>
      </w:r>
      <w:r>
        <w:fldChar w:fldCharType="separate"/>
      </w:r>
      <w:r>
        <w:rPr>
          <w:rFonts w:ascii="inter" w:hAnsi="inter" w:eastAsia="inter" w:cs="inter"/>
          <w:color w:val="000000"/>
          <w:sz w:val="21"/>
          <w:u w:val="single"/>
          <w:vertAlign w:val="superscript"/>
        </w:rPr>
        <w:t>[45]</w:t>
      </w:r>
      <w:r>
        <w:rPr>
          <w:rFonts w:ascii="inter" w:hAnsi="inter" w:eastAsia="inter" w:cs="inter"/>
          <w:color w:val="000000"/>
          <w:sz w:val="21"/>
          <w:u w:val="single"/>
          <w:vertAlign w:val="superscript"/>
        </w:rPr>
        <w:fldChar w:fldCharType="end"/>
      </w:r>
    </w:p>
    <w:p w14:paraId="2101B49F">
      <w:pPr>
        <w:numPr>
          <w:ilvl w:val="0"/>
          <w:numId w:val="45"/>
        </w:numPr>
        <w:spacing w:before="105" w:after="105" w:line="360" w:lineRule="auto"/>
      </w:pPr>
      <w:r>
        <w:rPr>
          <w:rFonts w:ascii="inter" w:hAnsi="inter" w:eastAsia="inter" w:cs="inter"/>
          <w:color w:val="000000"/>
          <w:sz w:val="21"/>
        </w:rPr>
        <w:t>未来材料的合成性能力是时间相关的：模型对近期数据的预测精度高于远期数据，反映了合成技术的动态进步</w:t>
      </w:r>
      <w:bookmarkStart w:id="148" w:name="fnref45_3"/>
      <w:bookmarkEnd w:id="148"/>
      <w:r>
        <w:fldChar w:fldCharType="begin"/>
      </w:r>
      <w:r>
        <w:instrText xml:space="preserve"> HYPERLINK \l "fn45" \h </w:instrText>
      </w:r>
      <w:r>
        <w:fldChar w:fldCharType="separate"/>
      </w:r>
      <w:r>
        <w:rPr>
          <w:rFonts w:ascii="inter" w:hAnsi="inter" w:eastAsia="inter" w:cs="inter"/>
          <w:color w:val="000000"/>
          <w:sz w:val="21"/>
          <w:u w:val="single"/>
          <w:vertAlign w:val="superscript"/>
        </w:rPr>
        <w:t>[45]</w:t>
      </w:r>
      <w:r>
        <w:rPr>
          <w:rFonts w:ascii="inter" w:hAnsi="inter" w:eastAsia="inter" w:cs="inter"/>
          <w:color w:val="000000"/>
          <w:sz w:val="21"/>
          <w:u w:val="single"/>
          <w:vertAlign w:val="superscript"/>
        </w:rPr>
        <w:fldChar w:fldCharType="end"/>
      </w:r>
    </w:p>
    <w:p w14:paraId="381B1131">
      <w:pPr>
        <w:numPr>
          <w:ilvl w:val="0"/>
          <w:numId w:val="45"/>
        </w:numPr>
        <w:spacing w:before="105" w:after="105" w:line="360" w:lineRule="auto"/>
      </w:pPr>
      <w:r>
        <w:rPr>
          <w:rFonts w:ascii="inter" w:hAnsi="inter" w:eastAsia="inter" w:cs="inter"/>
          <w:color w:val="000000"/>
          <w:sz w:val="21"/>
        </w:rPr>
        <w:t>44%的合成成功率（对于模型高度推荐的候选）表明，即使是最优的计算筛选仍需大量实验验证</w:t>
      </w:r>
    </w:p>
    <w:p w14:paraId="2C467731">
      <w:pPr>
        <w:spacing w:after="210" w:line="360" w:lineRule="auto"/>
      </w:pPr>
      <w:r>
        <w:rPr>
          <w:rFonts w:ascii="inter" w:hAnsi="inter" w:eastAsia="inter" w:cs="inter"/>
          <w:b/>
          <w:color w:val="000000"/>
        </w:rPr>
        <w:t>合成路径预测的复杂性</w:t>
      </w:r>
      <w:r>
        <w:rPr>
          <w:rFonts w:ascii="inter" w:hAnsi="inter" w:eastAsia="inter" w:cs="inter"/>
          <w:color w:val="000000"/>
        </w:rPr>
        <w:t>：</w:t>
      </w:r>
      <w:bookmarkStart w:id="149" w:name="fnref32_3"/>
      <w:bookmarkEnd w:id="149"/>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7C1B18F4">
      <w:pPr>
        <w:numPr>
          <w:ilvl w:val="0"/>
          <w:numId w:val="46"/>
        </w:numPr>
        <w:spacing w:before="105" w:after="105" w:line="360" w:lineRule="auto"/>
      </w:pPr>
      <w:r>
        <w:rPr>
          <w:rFonts w:ascii="inter" w:hAnsi="inter" w:eastAsia="inter" w:cs="inter"/>
          <w:color w:val="000000"/>
          <w:sz w:val="21"/>
        </w:rPr>
        <w:t>SynthNN只能评估组合的可合成性，无法预测具体的合成参数或工艺条件</w:t>
      </w:r>
    </w:p>
    <w:p w14:paraId="01F7AD2B">
      <w:pPr>
        <w:numPr>
          <w:ilvl w:val="0"/>
          <w:numId w:val="46"/>
        </w:numPr>
        <w:spacing w:before="105" w:after="105" w:line="360" w:lineRule="auto"/>
      </w:pPr>
      <w:r>
        <w:rPr>
          <w:rFonts w:ascii="inter" w:hAnsi="inter" w:eastAsia="inter" w:cs="inter"/>
          <w:color w:val="000000"/>
          <w:sz w:val="21"/>
        </w:rPr>
        <w:t>需要补充的NLP和化学信息学工具来挖掘文献合成配方并优化反应条件</w:t>
      </w:r>
    </w:p>
    <w:p w14:paraId="6857626C">
      <w:pPr>
        <w:spacing w:before="315" w:after="105" w:line="360" w:lineRule="auto"/>
        <w:ind w:left="-30"/>
        <w:jc w:val="left"/>
      </w:pPr>
      <w:bookmarkStart w:id="150" w:name="bm_8_产业化距离评估"/>
      <w:r>
        <w:rPr>
          <w:rFonts w:ascii="inter" w:hAnsi="inter" w:eastAsia="inter" w:cs="inter"/>
          <w:b/>
          <w:color w:val="000000"/>
          <w:sz w:val="24"/>
        </w:rPr>
        <w:t>8. 产业化距离评估</w:t>
      </w:r>
      <w:bookmarkEnd w:id="150"/>
    </w:p>
    <w:p w14:paraId="0F6EE9EC">
      <w:pPr>
        <w:spacing w:before="315" w:after="105" w:line="360" w:lineRule="auto"/>
        <w:ind w:left="-30"/>
        <w:jc w:val="left"/>
      </w:pPr>
      <w:bookmarkStart w:id="151" w:name="bm_8_1_现状与关键成果"/>
      <w:r>
        <w:rPr>
          <w:rFonts w:ascii="inter" w:hAnsi="inter" w:eastAsia="inter" w:cs="inter"/>
          <w:b/>
          <w:color w:val="000000"/>
          <w:sz w:val="24"/>
        </w:rPr>
        <w:t>8.1 现状与关键成果</w:t>
      </w:r>
      <w:bookmarkEnd w:id="151"/>
    </w:p>
    <w:p w14:paraId="6D132668">
      <w:pPr>
        <w:spacing w:after="210" w:line="360" w:lineRule="auto"/>
      </w:pPr>
      <w:r>
        <w:rPr>
          <w:rFonts w:ascii="inter" w:hAnsi="inter" w:eastAsia="inter" w:cs="inter"/>
          <w:b/>
          <w:color w:val="000000"/>
        </w:rPr>
        <w:t>已实现的产业化里程碑</w:t>
      </w:r>
      <w:r>
        <w:rPr>
          <w:rFonts w:ascii="inter" w:hAnsi="inter" w:eastAsia="inter" w:cs="inter"/>
          <w:color w:val="000000"/>
        </w:rPr>
        <w:t>：</w:t>
      </w:r>
    </w:p>
    <w:p w14:paraId="05525EB7">
      <w:pPr>
        <w:spacing w:after="210" w:line="360" w:lineRule="auto"/>
      </w:pPr>
      <w:r>
        <w:rPr>
          <w:rFonts w:ascii="inter" w:hAnsi="inter" w:eastAsia="inter" w:cs="inter"/>
          <w:color w:val="000000"/>
        </w:rPr>
        <w:t>机器学习辅助的材料发现在过去5年中取得了显著进展，部分领域已接近产业部署阶段：</w:t>
      </w:r>
    </w:p>
    <w:p w14:paraId="54FD418E">
      <w:pPr>
        <w:numPr>
          <w:ilvl w:val="0"/>
          <w:numId w:val="47"/>
        </w:numPr>
        <w:spacing w:after="210" w:line="360" w:lineRule="auto"/>
      </w:pPr>
      <w:r>
        <w:rPr>
          <w:rFonts w:ascii="inter" w:hAnsi="inter" w:eastAsia="inter" w:cs="inter"/>
          <w:b/>
          <w:color w:val="000000"/>
          <w:sz w:val="21"/>
        </w:rPr>
        <w:t>高熵合金开发</w:t>
      </w:r>
      <w:r>
        <w:rPr>
          <w:rFonts w:ascii="inter" w:hAnsi="inter" w:eastAsia="inter" w:cs="inter"/>
          <w:color w:val="000000"/>
          <w:sz w:val="21"/>
        </w:rPr>
        <w:t>：从单纯的实验优化转变为ML指导的定向搜索，已有多项研究在3-5次迭代内发现了显著改善性能的新合金。Ni基高温合金的γ'相体积分数、TCP相含量等多目标优化已在计算层面达成，部分结果进入实验验证阶段。</w:t>
      </w:r>
      <w:bookmarkStart w:id="152" w:name="fnref27_1"/>
      <w:bookmarkEnd w:id="152"/>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bookmarkStart w:id="153" w:name="fnref7_2"/>
      <w:bookmarkEnd w:id="15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54" w:name="fnref6_5"/>
      <w:bookmarkEnd w:id="154"/>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55" w:name="fnref26_5"/>
      <w:bookmarkEnd w:id="155"/>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772183B8">
      <w:pPr>
        <w:numPr>
          <w:ilvl w:val="0"/>
          <w:numId w:val="47"/>
        </w:numPr>
        <w:spacing w:after="210" w:line="360" w:lineRule="auto"/>
      </w:pPr>
      <w:r>
        <w:rPr>
          <w:rFonts w:ascii="inter" w:hAnsi="inter" w:eastAsia="inter" w:cs="inter"/>
          <w:b/>
          <w:color w:val="000000"/>
          <w:sz w:val="21"/>
        </w:rPr>
        <w:t>新型材料的ML加速发现</w:t>
      </w:r>
      <w:r>
        <w:rPr>
          <w:rFonts w:ascii="inter" w:hAnsi="inter" w:eastAsia="inter" w:cs="inter"/>
          <w:color w:val="000000"/>
          <w:sz w:val="21"/>
        </w:rPr>
        <w:t>：GNoME发现的380,000个稳定材料中，736个已在全球实验室合成并初步表征，成功率远超传统高通量筛选。MatterGen的实验验证（TaCr₂O₆体模量预测与目标偏差&lt;20%）表明生成模型已达到可指导实验合成的精度水平。</w:t>
      </w:r>
      <w:bookmarkStart w:id="156" w:name="fnref4_2"/>
      <w:bookmarkEnd w:id="156"/>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157" w:name="fnref2_2"/>
      <w:bookmarkEnd w:id="157"/>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4818297F">
      <w:pPr>
        <w:numPr>
          <w:ilvl w:val="0"/>
          <w:numId w:val="47"/>
        </w:numPr>
        <w:spacing w:after="210" w:line="360" w:lineRule="auto"/>
      </w:pPr>
      <w:r>
        <w:rPr>
          <w:rFonts w:ascii="inter" w:hAnsi="inter" w:eastAsia="inter" w:cs="inter"/>
          <w:b/>
          <w:color w:val="000000"/>
          <w:sz w:val="21"/>
        </w:rPr>
        <w:t>电池材料设计</w:t>
      </w:r>
      <w:r>
        <w:rPr>
          <w:rFonts w:ascii="inter" w:hAnsi="inter" w:eastAsia="inter" w:cs="inter"/>
          <w:color w:val="000000"/>
          <w:sz w:val="21"/>
        </w:rPr>
        <w:t>：Materials Project在Li离子电池正极材料和固体电解质的发现中已产生直接影响，多个候选材料进入产业化评估阶段。</w:t>
      </w:r>
    </w:p>
    <w:p w14:paraId="662349B5">
      <w:pPr>
        <w:spacing w:after="210" w:line="360" w:lineRule="auto"/>
      </w:pPr>
      <w:r>
        <w:rPr>
          <w:rFonts w:ascii="inter" w:hAnsi="inter" w:eastAsia="inter" w:cs="inter"/>
          <w:b/>
          <w:color w:val="000000"/>
        </w:rPr>
        <w:t>产业界的参与与投资信号</w:t>
      </w:r>
      <w:r>
        <w:rPr>
          <w:rFonts w:ascii="inter" w:hAnsi="inter" w:eastAsia="inter" w:cs="inter"/>
          <w:color w:val="000000"/>
        </w:rPr>
        <w:t>：</w:t>
      </w:r>
    </w:p>
    <w:p w14:paraId="506B183B">
      <w:pPr>
        <w:numPr>
          <w:ilvl w:val="0"/>
          <w:numId w:val="48"/>
        </w:numPr>
        <w:spacing w:before="105" w:after="105" w:line="360" w:lineRule="auto"/>
      </w:pPr>
      <w:r>
        <w:rPr>
          <w:rFonts w:ascii="inter" w:hAnsi="inter" w:eastAsia="inter" w:cs="inter"/>
          <w:b/>
          <w:color w:val="000000"/>
          <w:sz w:val="21"/>
        </w:rPr>
        <w:t>创业公司涌现</w:t>
      </w:r>
      <w:r>
        <w:rPr>
          <w:rFonts w:ascii="inter" w:hAnsi="inter" w:eastAsia="inter" w:cs="inter"/>
          <w:color w:val="000000"/>
          <w:sz w:val="21"/>
        </w:rPr>
        <w:t>：Altrove（巴黎）、Matlantis等初创公司已建立基于AI的材料发现平台，与汽车、能源、重工业等部门建立了数十项合作。</w:t>
      </w:r>
      <w:bookmarkStart w:id="158" w:name="fnref53"/>
      <w:bookmarkEnd w:id="158"/>
      <w:r>
        <w:fldChar w:fldCharType="begin"/>
      </w:r>
      <w:r>
        <w:instrText xml:space="preserve"> HYPERLINK \l "fn53" \h </w:instrText>
      </w:r>
      <w:r>
        <w:fldChar w:fldCharType="separate"/>
      </w:r>
      <w:r>
        <w:rPr>
          <w:rFonts w:ascii="inter" w:hAnsi="inter" w:eastAsia="inter" w:cs="inter"/>
          <w:color w:val="000000"/>
          <w:sz w:val="21"/>
          <w:u w:val="single"/>
          <w:vertAlign w:val="superscript"/>
        </w:rPr>
        <w:t>[53]</w:t>
      </w:r>
      <w:r>
        <w:rPr>
          <w:rFonts w:ascii="inter" w:hAnsi="inter" w:eastAsia="inter" w:cs="inter"/>
          <w:color w:val="000000"/>
          <w:sz w:val="21"/>
          <w:u w:val="single"/>
          <w:vertAlign w:val="superscript"/>
        </w:rPr>
        <w:fldChar w:fldCharType="end"/>
      </w:r>
    </w:p>
    <w:p w14:paraId="5F2222A3">
      <w:pPr>
        <w:numPr>
          <w:ilvl w:val="0"/>
          <w:numId w:val="48"/>
        </w:numPr>
        <w:spacing w:before="105" w:after="105" w:line="360" w:lineRule="auto"/>
      </w:pPr>
      <w:r>
        <w:rPr>
          <w:rFonts w:ascii="inter" w:hAnsi="inter" w:eastAsia="inter" w:cs="inter"/>
          <w:b/>
          <w:color w:val="000000"/>
          <w:sz w:val="21"/>
        </w:rPr>
        <w:t>大科技公司投入</w:t>
      </w:r>
      <w:r>
        <w:rPr>
          <w:rFonts w:ascii="inter" w:hAnsi="inter" w:eastAsia="inter" w:cs="inter"/>
          <w:color w:val="000000"/>
          <w:sz w:val="21"/>
        </w:rPr>
        <w:t>：Microsoft Research的MatterGen项目、Google DeepMind的GNoME系统投入了大量资源，反映了产业界对该领域的战略性重视。</w:t>
      </w:r>
      <w:bookmarkStart w:id="159" w:name="fnref54"/>
      <w:bookmarkEnd w:id="159"/>
      <w:r>
        <w:fldChar w:fldCharType="begin"/>
      </w:r>
      <w:r>
        <w:instrText xml:space="preserve"> HYPERLINK \l "fn54" \h </w:instrText>
      </w:r>
      <w:r>
        <w:fldChar w:fldCharType="separate"/>
      </w:r>
      <w:r>
        <w:rPr>
          <w:rFonts w:ascii="inter" w:hAnsi="inter" w:eastAsia="inter" w:cs="inter"/>
          <w:color w:val="000000"/>
          <w:sz w:val="21"/>
          <w:u w:val="single"/>
          <w:vertAlign w:val="superscript"/>
        </w:rPr>
        <w:t>[54]</w:t>
      </w:r>
      <w:r>
        <w:rPr>
          <w:rFonts w:ascii="inter" w:hAnsi="inter" w:eastAsia="inter" w:cs="inter"/>
          <w:color w:val="000000"/>
          <w:sz w:val="21"/>
          <w:u w:val="single"/>
          <w:vertAlign w:val="superscript"/>
        </w:rPr>
        <w:fldChar w:fldCharType="end"/>
      </w:r>
      <w:bookmarkStart w:id="160" w:name="fnref4_3"/>
      <w:bookmarkEnd w:id="160"/>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459E9737">
      <w:pPr>
        <w:spacing w:before="315" w:after="105" w:line="360" w:lineRule="auto"/>
        <w:ind w:left="-30"/>
        <w:jc w:val="left"/>
      </w:pPr>
      <w:bookmarkStart w:id="161" w:name="bm_8_2_从理想模型到产业应用的关键障碍"/>
      <w:r>
        <w:rPr>
          <w:rFonts w:ascii="inter" w:hAnsi="inter" w:eastAsia="inter" w:cs="inter"/>
          <w:b/>
          <w:color w:val="000000"/>
          <w:sz w:val="24"/>
        </w:rPr>
        <w:t>8.2 从理想模型到产业应用的关键障碍</w:t>
      </w:r>
      <w:bookmarkEnd w:id="161"/>
    </w:p>
    <w:p w14:paraId="05545502">
      <w:pPr>
        <w:spacing w:after="210" w:line="360" w:lineRule="auto"/>
      </w:pPr>
      <w:r>
        <w:rPr>
          <w:rFonts w:ascii="inter" w:hAnsi="inter" w:eastAsia="inter" w:cs="inter"/>
          <w:b/>
          <w:color w:val="000000"/>
        </w:rPr>
        <w:t>第一层障碍：数据-模型鸿沟</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45"/>
        <w:gridCol w:w="3301"/>
        <w:gridCol w:w="2726"/>
        <w:gridCol w:w="2968"/>
      </w:tblGrid>
      <w:tr w14:paraId="427DBC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95565D9">
            <w:pPr>
              <w:spacing w:after="0" w:line="360" w:lineRule="auto"/>
            </w:pPr>
            <w:r>
              <w:rPr>
                <w:rFonts w:ascii="inter" w:hAnsi="inter" w:eastAsia="inter" w:cs="inter"/>
                <w:color w:val="000000"/>
                <w:sz w:val="17"/>
              </w:rPr>
              <w:t>挑战维度</w:t>
            </w:r>
          </w:p>
        </w:tc>
        <w:tc>
          <w:tcPr>
            <w:tcBorders>
              <w:top w:val="single" w:color="000000" w:sz="0" w:space="0"/>
              <w:bottom w:val="single" w:color="000000" w:sz="0" w:space="0"/>
              <w:right w:val="single" w:color="000000" w:sz="0" w:space="0"/>
            </w:tcBorders>
          </w:tcPr>
          <w:p w14:paraId="62D25A02">
            <w:pPr>
              <w:spacing w:after="0" w:line="360" w:lineRule="auto"/>
            </w:pPr>
            <w:r>
              <w:rPr>
                <w:rFonts w:ascii="inter" w:hAnsi="inter" w:eastAsia="inter" w:cs="inter"/>
                <w:color w:val="000000"/>
                <w:sz w:val="17"/>
              </w:rPr>
              <w:t>具体表现</w:t>
            </w:r>
          </w:p>
        </w:tc>
        <w:tc>
          <w:tcPr>
            <w:tcBorders>
              <w:top w:val="single" w:color="000000" w:sz="0" w:space="0"/>
              <w:bottom w:val="single" w:color="000000" w:sz="0" w:space="0"/>
              <w:right w:val="single" w:color="000000" w:sz="0" w:space="0"/>
            </w:tcBorders>
          </w:tcPr>
          <w:p w14:paraId="33B69B94">
            <w:pPr>
              <w:spacing w:after="0" w:line="360" w:lineRule="auto"/>
            </w:pPr>
            <w:r>
              <w:rPr>
                <w:rFonts w:ascii="inter" w:hAnsi="inter" w:eastAsia="inter" w:cs="inter"/>
                <w:color w:val="000000"/>
                <w:sz w:val="17"/>
              </w:rPr>
              <w:t>当前状态</w:t>
            </w:r>
          </w:p>
        </w:tc>
        <w:tc>
          <w:tcPr>
            <w:tcBorders>
              <w:top w:val="single" w:color="000000" w:sz="0" w:space="0"/>
              <w:bottom w:val="single" w:color="000000" w:sz="0" w:space="0"/>
            </w:tcBorders>
          </w:tcPr>
          <w:p w14:paraId="6BCF979E">
            <w:pPr>
              <w:spacing w:after="0" w:line="360" w:lineRule="auto"/>
            </w:pPr>
            <w:r>
              <w:rPr>
                <w:rFonts w:ascii="inter" w:hAnsi="inter" w:eastAsia="inter" w:cs="inter"/>
                <w:color w:val="000000"/>
                <w:sz w:val="17"/>
              </w:rPr>
              <w:t>所需进展</w:t>
            </w:r>
          </w:p>
        </w:tc>
      </w:tr>
      <w:tr w14:paraId="740268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1AF538F">
            <w:pPr>
              <w:spacing w:after="0" w:line="360" w:lineRule="auto"/>
            </w:pPr>
            <w:r>
              <w:rPr>
                <w:rFonts w:ascii="inter" w:hAnsi="inter" w:eastAsia="inter" w:cs="inter"/>
                <w:color w:val="000000"/>
                <w:sz w:val="17"/>
              </w:rPr>
              <w:t>数据成本</w:t>
            </w:r>
          </w:p>
        </w:tc>
        <w:tc>
          <w:tcPr>
            <w:tcBorders>
              <w:top w:val="single" w:color="000000" w:sz="0" w:space="0"/>
              <w:bottom w:val="single" w:color="000000" w:sz="0" w:space="0"/>
              <w:right w:val="single" w:color="000000" w:sz="0" w:space="0"/>
            </w:tcBorders>
          </w:tcPr>
          <w:p w14:paraId="1CBD9269">
            <w:pPr>
              <w:spacing w:after="0" w:line="360" w:lineRule="auto"/>
            </w:pPr>
            <w:r>
              <w:rPr>
                <w:rFonts w:ascii="inter" w:hAnsi="inter" w:eastAsia="inter" w:cs="inter"/>
                <w:color w:val="000000"/>
                <w:sz w:val="17"/>
              </w:rPr>
              <w:t>DFT计算成本随体系大小立方增长，高精度计算极其昂贵</w:t>
            </w:r>
          </w:p>
        </w:tc>
        <w:tc>
          <w:tcPr>
            <w:tcBorders>
              <w:top w:val="single" w:color="000000" w:sz="0" w:space="0"/>
              <w:bottom w:val="single" w:color="000000" w:sz="0" w:space="0"/>
              <w:right w:val="single" w:color="000000" w:sz="0" w:space="0"/>
            </w:tcBorders>
          </w:tcPr>
          <w:p w14:paraId="3F2561A5">
            <w:pPr>
              <w:spacing w:after="0" w:line="360" w:lineRule="auto"/>
            </w:pPr>
            <w:r>
              <w:rPr>
                <w:rFonts w:ascii="inter" w:hAnsi="inter" w:eastAsia="inter" w:cs="inter"/>
                <w:color w:val="000000"/>
                <w:sz w:val="17"/>
              </w:rPr>
              <w:t>能获取~200k个GGA计算结构，混合泛函&lt;1k</w:t>
            </w:r>
          </w:p>
        </w:tc>
        <w:tc>
          <w:tcPr>
            <w:tcBorders>
              <w:top w:val="single" w:color="000000" w:sz="0" w:space="0"/>
              <w:bottom w:val="single" w:color="000000" w:sz="0" w:space="0"/>
            </w:tcBorders>
          </w:tcPr>
          <w:p w14:paraId="458123DB">
            <w:pPr>
              <w:spacing w:after="0" w:line="360" w:lineRule="auto"/>
            </w:pPr>
            <w:r>
              <w:rPr>
                <w:rFonts w:ascii="inter" w:hAnsi="inter" w:eastAsia="inter" w:cs="inter"/>
                <w:color w:val="000000"/>
                <w:sz w:val="17"/>
              </w:rPr>
              <w:t>需要10-100倍的计算资源或突破性的加速技术（ML力场）</w:t>
            </w:r>
          </w:p>
        </w:tc>
      </w:tr>
      <w:tr w14:paraId="1B183D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7352D86">
            <w:pPr>
              <w:spacing w:after="0" w:line="360" w:lineRule="auto"/>
            </w:pPr>
            <w:r>
              <w:rPr>
                <w:rFonts w:ascii="inter" w:hAnsi="inter" w:eastAsia="inter" w:cs="inter"/>
                <w:color w:val="000000"/>
                <w:sz w:val="17"/>
              </w:rPr>
              <w:t>数据偏差</w:t>
            </w:r>
          </w:p>
        </w:tc>
        <w:tc>
          <w:tcPr>
            <w:tcBorders>
              <w:top w:val="single" w:color="000000" w:sz="0" w:space="0"/>
              <w:bottom w:val="single" w:color="000000" w:sz="0" w:space="0"/>
              <w:right w:val="single" w:color="000000" w:sz="0" w:space="0"/>
            </w:tcBorders>
          </w:tcPr>
          <w:p w14:paraId="12EB551E">
            <w:pPr>
              <w:spacing w:after="0" w:line="360" w:lineRule="auto"/>
            </w:pPr>
            <w:r>
              <w:rPr>
                <w:rFonts w:ascii="inter" w:hAnsi="inter" w:eastAsia="inter" w:cs="inter"/>
                <w:color w:val="000000"/>
                <w:sz w:val="17"/>
              </w:rPr>
              <w:t>GGA系统性低估能带间隙（~0.5-1 eV），限制半导体应用准确性</w:t>
            </w:r>
          </w:p>
        </w:tc>
        <w:tc>
          <w:tcPr>
            <w:tcBorders>
              <w:top w:val="single" w:color="000000" w:sz="0" w:space="0"/>
              <w:bottom w:val="single" w:color="000000" w:sz="0" w:space="0"/>
              <w:right w:val="single" w:color="000000" w:sz="0" w:space="0"/>
            </w:tcBorders>
          </w:tcPr>
          <w:p w14:paraId="212B74A2">
            <w:pPr>
              <w:spacing w:after="0" w:line="360" w:lineRule="auto"/>
            </w:pPr>
            <w:r>
              <w:rPr>
                <w:rFonts w:ascii="inter" w:hAnsi="inter" w:eastAsia="inter" w:cs="inter"/>
                <w:color w:val="000000"/>
                <w:sz w:val="17"/>
              </w:rPr>
              <w:t>已识别问题，部分混合泛函数据库在构建中</w:t>
            </w:r>
          </w:p>
        </w:tc>
        <w:tc>
          <w:tcPr>
            <w:tcBorders>
              <w:top w:val="single" w:color="000000" w:sz="0" w:space="0"/>
              <w:bottom w:val="single" w:color="000000" w:sz="0" w:space="0"/>
            </w:tcBorders>
          </w:tcPr>
          <w:p w14:paraId="73691B01">
            <w:pPr>
              <w:spacing w:after="0" w:line="360" w:lineRule="auto"/>
            </w:pPr>
            <w:r>
              <w:rPr>
                <w:rFonts w:ascii="inter" w:hAnsi="inter" w:eastAsia="inter" w:cs="inter"/>
                <w:color w:val="000000"/>
                <w:sz w:val="17"/>
              </w:rPr>
              <w:t>建立可信度标注系统，允许不确定性量化的模型</w:t>
            </w:r>
          </w:p>
        </w:tc>
      </w:tr>
      <w:tr w14:paraId="23E97C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A10B315">
            <w:pPr>
              <w:spacing w:after="0" w:line="360" w:lineRule="auto"/>
            </w:pPr>
            <w:r>
              <w:rPr>
                <w:rFonts w:ascii="inter" w:hAnsi="inter" w:eastAsia="inter" w:cs="inter"/>
                <w:color w:val="000000"/>
                <w:sz w:val="17"/>
              </w:rPr>
              <w:t>数据稀疏性</w:t>
            </w:r>
          </w:p>
        </w:tc>
        <w:tc>
          <w:tcPr>
            <w:tcBorders>
              <w:top w:val="single" w:color="000000" w:sz="0" w:space="0"/>
              <w:bottom w:val="single" w:color="000000" w:sz="0" w:space="0"/>
              <w:right w:val="single" w:color="000000" w:sz="0" w:space="0"/>
            </w:tcBorders>
          </w:tcPr>
          <w:p w14:paraId="78B58E8C">
            <w:pPr>
              <w:spacing w:after="0" w:line="360" w:lineRule="auto"/>
            </w:pPr>
            <w:r>
              <w:rPr>
                <w:rFonts w:ascii="inter" w:hAnsi="inter" w:eastAsia="inter" w:cs="inter"/>
                <w:color w:val="000000"/>
                <w:sz w:val="17"/>
              </w:rPr>
              <w:t>关键应用领域（强关联系统、高熵合金力学性质）数据极少</w:t>
            </w:r>
          </w:p>
        </w:tc>
        <w:tc>
          <w:tcPr>
            <w:tcBorders>
              <w:top w:val="single" w:color="000000" w:sz="0" w:space="0"/>
              <w:bottom w:val="single" w:color="000000" w:sz="0" w:space="0"/>
              <w:right w:val="single" w:color="000000" w:sz="0" w:space="0"/>
            </w:tcBorders>
          </w:tcPr>
          <w:p w14:paraId="0CB09952">
            <w:pPr>
              <w:spacing w:after="0" w:line="360" w:lineRule="auto"/>
            </w:pPr>
            <w:r>
              <w:rPr>
                <w:rFonts w:ascii="inter" w:hAnsi="inter" w:eastAsia="inter" w:cs="inter"/>
                <w:color w:val="000000"/>
                <w:sz w:val="17"/>
              </w:rPr>
              <w:t>高熵合金模型R²=0.76（延展性），远低于其他性质</w:t>
            </w:r>
          </w:p>
        </w:tc>
        <w:tc>
          <w:tcPr>
            <w:tcBorders>
              <w:top w:val="single" w:color="000000" w:sz="0" w:space="0"/>
              <w:bottom w:val="single" w:color="000000" w:sz="0" w:space="0"/>
            </w:tcBorders>
          </w:tcPr>
          <w:p w14:paraId="0ED84FCD">
            <w:pPr>
              <w:spacing w:after="0" w:line="360" w:lineRule="auto"/>
            </w:pPr>
            <w:r>
              <w:rPr>
                <w:rFonts w:ascii="inter" w:hAnsi="inter" w:eastAsia="inter" w:cs="inter"/>
                <w:color w:val="000000"/>
                <w:sz w:val="17"/>
              </w:rPr>
              <w:t>发展多保真度学习框架，整合实验数据与计算数据</w:t>
            </w:r>
          </w:p>
        </w:tc>
      </w:tr>
    </w:tbl>
    <w:p w14:paraId="2C8AC8B4"/>
    <w:p w14:paraId="5136B53D">
      <w:pPr>
        <w:spacing w:after="210" w:line="360" w:lineRule="auto"/>
      </w:pPr>
      <w:r>
        <w:rPr>
          <w:rFonts w:ascii="inter" w:hAnsi="inter" w:eastAsia="inter" w:cs="inter"/>
          <w:b/>
          <w:color w:val="000000"/>
        </w:rPr>
        <w:t>第二层障碍：模型泛化能力局限</w:t>
      </w:r>
    </w:p>
    <w:p w14:paraId="584CACA5">
      <w:pPr>
        <w:numPr>
          <w:ilvl w:val="0"/>
          <w:numId w:val="49"/>
        </w:numPr>
        <w:spacing w:after="210" w:line="360" w:lineRule="auto"/>
      </w:pPr>
      <w:r>
        <w:rPr>
          <w:rFonts w:ascii="inter" w:hAnsi="inter" w:eastAsia="inter" w:cs="inter"/>
          <w:b/>
          <w:color w:val="000000"/>
          <w:sz w:val="21"/>
        </w:rPr>
        <w:t>化学空间外推失败</w:t>
      </w:r>
      <w:r>
        <w:rPr>
          <w:rFonts w:ascii="inter" w:hAnsi="inter" w:eastAsia="inter" w:cs="inter"/>
          <w:color w:val="000000"/>
          <w:sz w:val="21"/>
        </w:rPr>
        <w:t>：现有模型在已知元素组合范围内表现良好，但难以准确外推到新的元素族群。例如，对于5元及以上的高熵系统，虽然组合数爆炸式增长，但模型训练数据中的该类样本相对稀少，导致预测可靠性急剧下降。</w:t>
      </w:r>
      <w:bookmarkStart w:id="162" w:name="fnref50_3"/>
      <w:bookmarkEnd w:id="162"/>
      <w:r>
        <w:fldChar w:fldCharType="begin"/>
      </w:r>
      <w:r>
        <w:instrText xml:space="preserve"> HYPERLINK \l "fn50" \h </w:instrText>
      </w:r>
      <w:r>
        <w:fldChar w:fldCharType="separate"/>
      </w:r>
      <w:r>
        <w:rPr>
          <w:rFonts w:ascii="inter" w:hAnsi="inter" w:eastAsia="inter" w:cs="inter"/>
          <w:color w:val="000000"/>
          <w:sz w:val="21"/>
          <w:u w:val="single"/>
          <w:vertAlign w:val="superscript"/>
        </w:rPr>
        <w:t>[50]</w:t>
      </w:r>
      <w:r>
        <w:rPr>
          <w:rFonts w:ascii="inter" w:hAnsi="inter" w:eastAsia="inter" w:cs="inter"/>
          <w:color w:val="000000"/>
          <w:sz w:val="21"/>
          <w:u w:val="single"/>
          <w:vertAlign w:val="superscript"/>
        </w:rPr>
        <w:fldChar w:fldCharType="end"/>
      </w:r>
    </w:p>
    <w:p w14:paraId="042DFA97">
      <w:pPr>
        <w:numPr>
          <w:ilvl w:val="0"/>
          <w:numId w:val="49"/>
        </w:numPr>
        <w:spacing w:after="210" w:line="360" w:lineRule="auto"/>
      </w:pPr>
      <w:r>
        <w:rPr>
          <w:rFonts w:ascii="inter" w:hAnsi="inter" w:eastAsia="inter" w:cs="inter"/>
          <w:b/>
          <w:color w:val="000000"/>
          <w:sz w:val="21"/>
        </w:rPr>
        <w:t>结构空间的周期性编码不足</w:t>
      </w:r>
      <w:r>
        <w:rPr>
          <w:rFonts w:ascii="inter" w:hAnsi="inter" w:eastAsia="inter" w:cs="inter"/>
          <w:color w:val="000000"/>
          <w:sz w:val="21"/>
        </w:rPr>
        <w:t>：CGCNN在晶格常数预测上的R²仅为0.6-0.8，这对于精确预测物理性质（特别是光学和电学性质）至关重要。虽然ALIGNN和E3NN改进了这一点，但仍未完全解决。</w:t>
      </w:r>
      <w:bookmarkStart w:id="163" w:name="fnref25_9"/>
      <w:bookmarkEnd w:id="163"/>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2E7B1E17">
      <w:pPr>
        <w:numPr>
          <w:ilvl w:val="0"/>
          <w:numId w:val="49"/>
        </w:numPr>
        <w:spacing w:after="210" w:line="360" w:lineRule="auto"/>
      </w:pPr>
      <w:r>
        <w:rPr>
          <w:rFonts w:ascii="inter" w:hAnsi="inter" w:eastAsia="inter" w:cs="inter"/>
          <w:b/>
          <w:color w:val="000000"/>
          <w:sz w:val="21"/>
        </w:rPr>
        <w:t>非平衡和亚稳态材料的难题</w:t>
      </w:r>
      <w:r>
        <w:rPr>
          <w:rFonts w:ascii="inter" w:hAnsi="inter" w:eastAsia="inter" w:cs="inter"/>
          <w:color w:val="000000"/>
          <w:sz w:val="21"/>
        </w:rPr>
        <w:t>：现有数据库和模型主要关注热力学稳定相。但许多高性能材料（如非晶合金、准晶体、超晶格）存在于亚稳态，这些结构的预测仍缺乏可靠工具。</w:t>
      </w:r>
    </w:p>
    <w:p w14:paraId="412F1D78">
      <w:pPr>
        <w:spacing w:after="210" w:line="360" w:lineRule="auto"/>
      </w:pPr>
      <w:r>
        <w:rPr>
          <w:rFonts w:ascii="inter" w:hAnsi="inter" w:eastAsia="inter" w:cs="inter"/>
          <w:b/>
          <w:color w:val="000000"/>
        </w:rPr>
        <w:t>第三层障碍：合成性与工程可行性的预测</w:t>
      </w:r>
    </w:p>
    <w:p w14:paraId="6DB7E342">
      <w:pPr>
        <w:numPr>
          <w:ilvl w:val="0"/>
          <w:numId w:val="50"/>
        </w:numPr>
        <w:spacing w:after="210" w:line="360" w:lineRule="auto"/>
      </w:pPr>
      <w:r>
        <w:rPr>
          <w:rFonts w:ascii="inter" w:hAnsi="inter" w:eastAsia="inter" w:cs="inter"/>
          <w:b/>
          <w:color w:val="000000"/>
          <w:sz w:val="21"/>
        </w:rPr>
        <w:t>合成性预测的剩余随机性</w:t>
      </w:r>
      <w:r>
        <w:rPr>
          <w:rFonts w:ascii="inter" w:hAnsi="inter" w:eastAsia="inter" w:cs="inter"/>
          <w:color w:val="000000"/>
          <w:sz w:val="21"/>
        </w:rPr>
        <w:t>：即使SynthNN达到7倍精度优于能量筛选，整体合成成功率仍仅为44%。这意味着大量计算筛选得出的候选在实验中仍会失败，产生巨大的成本浪费。</w:t>
      </w:r>
      <w:bookmarkStart w:id="164" w:name="fnref32_4"/>
      <w:bookmarkEnd w:id="164"/>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bookmarkStart w:id="165" w:name="fnref45_4"/>
      <w:bookmarkEnd w:id="165"/>
      <w:r>
        <w:fldChar w:fldCharType="begin"/>
      </w:r>
      <w:r>
        <w:instrText xml:space="preserve"> HYPERLINK \l "fn45" \h </w:instrText>
      </w:r>
      <w:r>
        <w:fldChar w:fldCharType="separate"/>
      </w:r>
      <w:r>
        <w:rPr>
          <w:rFonts w:ascii="inter" w:hAnsi="inter" w:eastAsia="inter" w:cs="inter"/>
          <w:color w:val="000000"/>
          <w:sz w:val="21"/>
          <w:u w:val="single"/>
          <w:vertAlign w:val="superscript"/>
        </w:rPr>
        <w:t>[45]</w:t>
      </w:r>
      <w:r>
        <w:rPr>
          <w:rFonts w:ascii="inter" w:hAnsi="inter" w:eastAsia="inter" w:cs="inter"/>
          <w:color w:val="000000"/>
          <w:sz w:val="21"/>
          <w:u w:val="single"/>
          <w:vertAlign w:val="superscript"/>
        </w:rPr>
        <w:fldChar w:fldCharType="end"/>
      </w:r>
    </w:p>
    <w:p w14:paraId="2272EF9F">
      <w:pPr>
        <w:numPr>
          <w:ilvl w:val="0"/>
          <w:numId w:val="50"/>
        </w:numPr>
        <w:spacing w:after="210" w:line="360" w:lineRule="auto"/>
      </w:pPr>
      <w:r>
        <w:rPr>
          <w:rFonts w:ascii="inter" w:hAnsi="inter" w:eastAsia="inter" w:cs="inter"/>
          <w:b/>
          <w:color w:val="000000"/>
          <w:sz w:val="21"/>
        </w:rPr>
        <w:t>反应参数空间的爆炸</w:t>
      </w:r>
      <w:r>
        <w:rPr>
          <w:rFonts w:ascii="inter" w:hAnsi="inter" w:eastAsia="inter" w:cs="inter"/>
          <w:color w:val="000000"/>
          <w:sz w:val="21"/>
        </w:rPr>
        <w:t>：合成温度、压力、气氛、前驱体、反应时间等参数形成的组合空间远大于组成空间。现有模型无法预测这些工艺参数，必须依赖专家经验或新一轮的高通量实验。</w:t>
      </w:r>
    </w:p>
    <w:p w14:paraId="2A02FAA0">
      <w:pPr>
        <w:numPr>
          <w:ilvl w:val="0"/>
          <w:numId w:val="50"/>
        </w:numPr>
        <w:spacing w:after="210" w:line="360" w:lineRule="auto"/>
      </w:pPr>
      <w:r>
        <w:rPr>
          <w:rFonts w:ascii="inter" w:hAnsi="inter" w:eastAsia="inter" w:cs="inter"/>
          <w:b/>
          <w:color w:val="000000"/>
          <w:sz w:val="21"/>
        </w:rPr>
        <w:t>规模放大（scale-up）障碍</w:t>
      </w:r>
      <w:r>
        <w:rPr>
          <w:rFonts w:ascii="inter" w:hAnsi="inter" w:eastAsia="inter" w:cs="inter"/>
          <w:color w:val="000000"/>
          <w:sz w:val="21"/>
        </w:rPr>
        <w:t>：ML发现的材料往往在百毫克或克级实验室规模上表现优异，但放大至千克甚至吨级生产时，会遇到传热、混合、晶体结构控制等工程问题，现有模型完全无法预测。</w:t>
      </w:r>
    </w:p>
    <w:p w14:paraId="6E3642D4">
      <w:pPr>
        <w:spacing w:after="210" w:line="360" w:lineRule="auto"/>
      </w:pPr>
      <w:r>
        <w:rPr>
          <w:rFonts w:ascii="inter" w:hAnsi="inter" w:eastAsia="inter" w:cs="inter"/>
          <w:b/>
          <w:color w:val="000000"/>
        </w:rPr>
        <w:t>第四层障碍：计算基础设施与人才</w:t>
      </w:r>
    </w:p>
    <w:p w14:paraId="2B5D0B57">
      <w:pPr>
        <w:numPr>
          <w:ilvl w:val="0"/>
          <w:numId w:val="51"/>
        </w:numPr>
        <w:spacing w:after="210" w:line="360" w:lineRule="auto"/>
      </w:pPr>
      <w:r>
        <w:rPr>
          <w:rFonts w:ascii="inter" w:hAnsi="inter" w:eastAsia="inter" w:cs="inter"/>
          <w:b/>
          <w:color w:val="000000"/>
          <w:sz w:val="21"/>
        </w:rPr>
        <w:t>高性能计算依赖性</w:t>
      </w:r>
      <w:r>
        <w:rPr>
          <w:rFonts w:ascii="inter" w:hAnsi="inter" w:eastAsia="inter" w:cs="inter"/>
          <w:color w:val="000000"/>
          <w:sz w:val="21"/>
        </w:rPr>
        <w:t>：虽然ML加速了单个计算，但大规模高通量筛选（如GNoME的2.2百万结构生成和评估）仍需要数百万GPU小时，限制了中小企业的参与。</w:t>
      </w:r>
    </w:p>
    <w:p w14:paraId="0A23D049">
      <w:pPr>
        <w:numPr>
          <w:ilvl w:val="0"/>
          <w:numId w:val="51"/>
        </w:numPr>
        <w:spacing w:after="210" w:line="360" w:lineRule="auto"/>
      </w:pPr>
      <w:r>
        <w:rPr>
          <w:rFonts w:ascii="inter" w:hAnsi="inter" w:eastAsia="inter" w:cs="inter"/>
          <w:b/>
          <w:color w:val="000000"/>
          <w:sz w:val="21"/>
        </w:rPr>
        <w:t>软件工程与系统集成</w:t>
      </w:r>
      <w:r>
        <w:rPr>
          <w:rFonts w:ascii="inter" w:hAnsi="inter" w:eastAsia="inter" w:cs="inter"/>
          <w:color w:val="000000"/>
          <w:sz w:val="21"/>
        </w:rPr>
        <w:t>：产业化不仅需要模型精度，更需要可靠、可维护、可扩展的软件系统。现有的Materials Project、AFLOW等虽然开源，但在产业级可靠性和支持方面仍有缺陷。</w:t>
      </w:r>
    </w:p>
    <w:p w14:paraId="290A4430">
      <w:pPr>
        <w:numPr>
          <w:ilvl w:val="0"/>
          <w:numId w:val="51"/>
        </w:numPr>
        <w:spacing w:after="210" w:line="360" w:lineRule="auto"/>
      </w:pPr>
      <w:r>
        <w:rPr>
          <w:rFonts w:ascii="inter" w:hAnsi="inter" w:eastAsia="inter" w:cs="inter"/>
          <w:b/>
          <w:color w:val="000000"/>
          <w:sz w:val="21"/>
        </w:rPr>
        <w:t>材料科学人才培养滞后</w:t>
      </w:r>
      <w:r>
        <w:rPr>
          <w:rFonts w:ascii="inter" w:hAnsi="inter" w:eastAsia="inter" w:cs="inter"/>
          <w:color w:val="000000"/>
          <w:sz w:val="21"/>
        </w:rPr>
        <w:t>：将ML模型转化为产业产品需要既懂材料科学又懂AI的复合型人才，这类人才的培养至少需要3-5年周期，目前市场严重短缺。</w:t>
      </w:r>
    </w:p>
    <w:p w14:paraId="02879A17">
      <w:pPr>
        <w:spacing w:before="315" w:after="105" w:line="360" w:lineRule="auto"/>
        <w:ind w:left="-30"/>
        <w:jc w:val="left"/>
      </w:pPr>
      <w:bookmarkStart w:id="166" w:name="bm_8_3_不同模型路线的可行性分析"/>
      <w:r>
        <w:rPr>
          <w:rFonts w:ascii="inter" w:hAnsi="inter" w:eastAsia="inter" w:cs="inter"/>
          <w:b/>
          <w:color w:val="000000"/>
          <w:sz w:val="24"/>
        </w:rPr>
        <w:t>8.3 不同模型路线的可行性分析</w:t>
      </w:r>
      <w:bookmarkEnd w:id="166"/>
    </w:p>
    <w:p w14:paraId="690E384D">
      <w:pPr>
        <w:spacing w:after="210" w:line="360" w:lineRule="auto"/>
      </w:pPr>
      <w:r>
        <w:rPr>
          <w:rFonts w:ascii="inter" w:hAnsi="inter" w:eastAsia="inter" w:cs="inter"/>
          <w:b/>
          <w:color w:val="000000"/>
        </w:rPr>
        <w:t>路线一：基于现有GNN框架的渐进式改进</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9"/>
        <w:gridCol w:w="4405"/>
      </w:tblGrid>
      <w:tr w14:paraId="6F9063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29BFA48">
            <w:pPr>
              <w:spacing w:after="0" w:line="360" w:lineRule="auto"/>
            </w:pPr>
            <w:r>
              <w:rPr>
                <w:rFonts w:ascii="inter" w:hAnsi="inter" w:eastAsia="inter" w:cs="inter"/>
                <w:color w:val="000000"/>
                <w:sz w:val="17"/>
              </w:rPr>
              <w:t>方面</w:t>
            </w:r>
          </w:p>
        </w:tc>
        <w:tc>
          <w:tcPr>
            <w:tcBorders>
              <w:top w:val="single" w:color="000000" w:sz="0" w:space="0"/>
              <w:bottom w:val="single" w:color="000000" w:sz="0" w:space="0"/>
            </w:tcBorders>
          </w:tcPr>
          <w:p w14:paraId="498D3F3B">
            <w:pPr>
              <w:spacing w:after="0" w:line="360" w:lineRule="auto"/>
            </w:pPr>
            <w:r>
              <w:rPr>
                <w:rFonts w:ascii="inter" w:hAnsi="inter" w:eastAsia="inter" w:cs="inter"/>
                <w:color w:val="000000"/>
                <w:sz w:val="17"/>
              </w:rPr>
              <w:t>评估</w:t>
            </w:r>
          </w:p>
        </w:tc>
      </w:tr>
      <w:tr w14:paraId="4EAE589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FCFAC86">
            <w:pPr>
              <w:spacing w:after="0" w:line="360" w:lineRule="auto"/>
            </w:pPr>
            <w:r>
              <w:rPr>
                <w:rFonts w:ascii="inter" w:hAnsi="inter" w:eastAsia="inter" w:cs="inter"/>
                <w:b/>
                <w:color w:val="000000"/>
                <w:sz w:val="17"/>
              </w:rPr>
              <w:t>可行性</w:t>
            </w:r>
          </w:p>
        </w:tc>
        <w:tc>
          <w:tcPr>
            <w:tcBorders>
              <w:top w:val="single" w:color="000000" w:sz="0" w:space="0"/>
              <w:bottom w:val="single" w:color="000000" w:sz="0" w:space="0"/>
            </w:tcBorders>
          </w:tcPr>
          <w:p w14:paraId="30CDEA60">
            <w:pPr>
              <w:spacing w:after="0" w:line="360" w:lineRule="auto"/>
            </w:pPr>
            <w:r>
              <w:rPr>
                <w:rFonts w:ascii="inter" w:hAnsi="inter" w:eastAsia="inter" w:cs="inter"/>
                <w:color w:val="000000"/>
                <w:sz w:val="17"/>
              </w:rPr>
              <w:t>高（3-5年内）</w:t>
            </w:r>
          </w:p>
        </w:tc>
      </w:tr>
      <w:tr w14:paraId="132843A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A70A5DC">
            <w:pPr>
              <w:spacing w:after="0" w:line="360" w:lineRule="auto"/>
            </w:pPr>
            <w:r>
              <w:rPr>
                <w:rFonts w:ascii="inter" w:hAnsi="inter" w:eastAsia="inter" w:cs="inter"/>
                <w:b/>
                <w:color w:val="000000"/>
                <w:sz w:val="17"/>
              </w:rPr>
              <w:t>技术成熟度</w:t>
            </w:r>
          </w:p>
        </w:tc>
        <w:tc>
          <w:tcPr>
            <w:tcBorders>
              <w:top w:val="single" w:color="000000" w:sz="0" w:space="0"/>
              <w:bottom w:val="single" w:color="000000" w:sz="0" w:space="0"/>
            </w:tcBorders>
          </w:tcPr>
          <w:p w14:paraId="6F797A8E">
            <w:pPr>
              <w:spacing w:after="0" w:line="360" w:lineRule="auto"/>
            </w:pPr>
            <w:r>
              <w:rPr>
                <w:rFonts w:ascii="inter" w:hAnsi="inter" w:eastAsia="inter" w:cs="inter"/>
                <w:color w:val="000000"/>
                <w:sz w:val="17"/>
              </w:rPr>
              <w:t>成熟度：7/10</w:t>
            </w:r>
          </w:p>
        </w:tc>
      </w:tr>
      <w:tr w14:paraId="7548E1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56F0307">
            <w:pPr>
              <w:spacing w:after="0" w:line="360" w:lineRule="auto"/>
            </w:pPr>
            <w:r>
              <w:rPr>
                <w:rFonts w:ascii="inter" w:hAnsi="inter" w:eastAsia="inter" w:cs="inter"/>
                <w:b/>
                <w:color w:val="000000"/>
                <w:sz w:val="17"/>
              </w:rPr>
              <w:t>成本投入</w:t>
            </w:r>
          </w:p>
        </w:tc>
        <w:tc>
          <w:tcPr>
            <w:tcBorders>
              <w:top w:val="single" w:color="000000" w:sz="0" w:space="0"/>
              <w:bottom w:val="single" w:color="000000" w:sz="0" w:space="0"/>
            </w:tcBorders>
          </w:tcPr>
          <w:p w14:paraId="773D6779">
            <w:pPr>
              <w:spacing w:after="0" w:line="360" w:lineRule="auto"/>
            </w:pPr>
            <w:r>
              <w:rPr>
                <w:rFonts w:ascii="inter" w:hAnsi="inter" w:eastAsia="inter" w:cs="inter"/>
                <w:color w:val="000000"/>
                <w:sz w:val="17"/>
              </w:rPr>
              <w:t>中等（主要为计算资源和研发人员）</w:t>
            </w:r>
          </w:p>
        </w:tc>
      </w:tr>
      <w:tr w14:paraId="41CB5B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778FBC9">
            <w:pPr>
              <w:spacing w:after="0" w:line="360" w:lineRule="auto"/>
            </w:pPr>
            <w:r>
              <w:rPr>
                <w:rFonts w:ascii="inter" w:hAnsi="inter" w:eastAsia="inter" w:cs="inter"/>
                <w:b/>
                <w:color w:val="000000"/>
                <w:sz w:val="17"/>
              </w:rPr>
              <w:t>预期影响</w:t>
            </w:r>
          </w:p>
        </w:tc>
        <w:tc>
          <w:tcPr>
            <w:tcBorders>
              <w:top w:val="single" w:color="000000" w:sz="0" w:space="0"/>
              <w:bottom w:val="single" w:color="000000" w:sz="0" w:space="0"/>
            </w:tcBorders>
          </w:tcPr>
          <w:p w14:paraId="67458717">
            <w:pPr>
              <w:spacing w:after="0" w:line="360" w:lineRule="auto"/>
            </w:pPr>
            <w:r>
              <w:rPr>
                <w:rFonts w:ascii="inter" w:hAnsi="inter" w:eastAsia="inter" w:cs="inter"/>
                <w:color w:val="000000"/>
                <w:sz w:val="17"/>
              </w:rPr>
              <w:t>在已知材料空间内精度逐步提升，但难以实现本质突破</w:t>
            </w:r>
          </w:p>
        </w:tc>
      </w:tr>
    </w:tbl>
    <w:p w14:paraId="3328CDAB"/>
    <w:p w14:paraId="1713204B">
      <w:pPr>
        <w:spacing w:after="210" w:line="360" w:lineRule="auto"/>
      </w:pPr>
      <w:r>
        <w:rPr>
          <w:rFonts w:ascii="inter" w:hAnsi="inter" w:eastAsia="inter" w:cs="inter"/>
          <w:b/>
          <w:color w:val="000000"/>
        </w:rPr>
        <w:t>关键行动</w:t>
      </w:r>
      <w:r>
        <w:rPr>
          <w:rFonts w:ascii="inter" w:hAnsi="inter" w:eastAsia="inter" w:cs="inter"/>
          <w:color w:val="000000"/>
        </w:rPr>
        <w:t>：</w:t>
      </w:r>
    </w:p>
    <w:p w14:paraId="09B046D1">
      <w:pPr>
        <w:numPr>
          <w:ilvl w:val="0"/>
          <w:numId w:val="52"/>
        </w:numPr>
        <w:spacing w:before="105" w:after="105" w:line="360" w:lineRule="auto"/>
      </w:pPr>
      <w:r>
        <w:rPr>
          <w:rFonts w:ascii="inter" w:hAnsi="inter" w:eastAsia="inter" w:cs="inter"/>
          <w:color w:val="000000"/>
          <w:sz w:val="21"/>
        </w:rPr>
        <w:t>整合多保真度数据（GGA、混合泛函、实验值），构建置信度标注的数据集</w:t>
      </w:r>
    </w:p>
    <w:p w14:paraId="00856DAF">
      <w:pPr>
        <w:numPr>
          <w:ilvl w:val="0"/>
          <w:numId w:val="52"/>
        </w:numPr>
        <w:spacing w:before="105" w:after="105" w:line="360" w:lineRule="auto"/>
      </w:pPr>
      <w:r>
        <w:rPr>
          <w:rFonts w:ascii="inter" w:hAnsi="inter" w:eastAsia="inter" w:cs="inter"/>
          <w:color w:val="000000"/>
          <w:sz w:val="21"/>
        </w:rPr>
        <w:t>开发可解释的GNN变体（如混合物理信息和数据驱动的方法），提升模型的科学可信度</w:t>
      </w:r>
    </w:p>
    <w:p w14:paraId="4FDF7384">
      <w:pPr>
        <w:numPr>
          <w:ilvl w:val="0"/>
          <w:numId w:val="52"/>
        </w:numPr>
        <w:spacing w:before="105" w:after="105" w:line="360" w:lineRule="auto"/>
      </w:pPr>
      <w:r>
        <w:rPr>
          <w:rFonts w:ascii="inter" w:hAnsi="inter" w:eastAsia="inter" w:cs="inter"/>
          <w:color w:val="000000"/>
          <w:sz w:val="21"/>
        </w:rPr>
        <w:t>建立跨数据库的数据融合与清洗流程，改进数据质量</w:t>
      </w:r>
    </w:p>
    <w:p w14:paraId="71D3852A">
      <w:pPr>
        <w:spacing w:after="210" w:line="360" w:lineRule="auto"/>
      </w:pPr>
      <w:r>
        <w:rPr>
          <w:rFonts w:ascii="inter" w:hAnsi="inter" w:eastAsia="inter" w:cs="inter"/>
          <w:b/>
          <w:color w:val="000000"/>
        </w:rPr>
        <w:t>预期结果</w:t>
      </w:r>
      <w:r>
        <w:rPr>
          <w:rFonts w:ascii="inter" w:hAnsi="inter" w:eastAsia="inter" w:cs="inter"/>
          <w:color w:val="000000"/>
        </w:rPr>
        <w:t>：</w:t>
      </w:r>
    </w:p>
    <w:p w14:paraId="62CB1136">
      <w:pPr>
        <w:numPr>
          <w:ilvl w:val="0"/>
          <w:numId w:val="53"/>
        </w:numPr>
        <w:spacing w:before="105" w:after="105" w:line="360" w:lineRule="auto"/>
      </w:pPr>
      <w:r>
        <w:rPr>
          <w:rFonts w:ascii="inter" w:hAnsi="inter" w:eastAsia="inter" w:cs="inter"/>
          <w:color w:val="000000"/>
          <w:sz w:val="21"/>
        </w:rPr>
        <w:t>形成能和能带间隙预测的MAE进一步降低10-20%</w:t>
      </w:r>
    </w:p>
    <w:p w14:paraId="1E08E39D">
      <w:pPr>
        <w:numPr>
          <w:ilvl w:val="0"/>
          <w:numId w:val="53"/>
        </w:numPr>
        <w:spacing w:before="105" w:after="105" w:line="360" w:lineRule="auto"/>
      </w:pPr>
      <w:r>
        <w:rPr>
          <w:rFonts w:ascii="inter" w:hAnsi="inter" w:eastAsia="inter" w:cs="inter"/>
          <w:color w:val="000000"/>
          <w:sz w:val="21"/>
        </w:rPr>
        <w:t>对新元素组合的外推能力有限改善（单步预测精度不超过85%）</w:t>
      </w:r>
    </w:p>
    <w:p w14:paraId="0E7BE6E6">
      <w:pPr>
        <w:numPr>
          <w:ilvl w:val="0"/>
          <w:numId w:val="53"/>
        </w:numPr>
        <w:spacing w:before="105" w:after="105" w:line="360" w:lineRule="auto"/>
      </w:pPr>
      <w:r>
        <w:rPr>
          <w:rFonts w:ascii="inter" w:hAnsi="inter" w:eastAsia="inter" w:cs="inter"/>
          <w:color w:val="000000"/>
          <w:sz w:val="21"/>
        </w:rPr>
        <w:t>在特定应用领域（如已成熟的合金系）接近产业应用水平</w:t>
      </w:r>
    </w:p>
    <w:p w14:paraId="2A1834A8">
      <w:pPr>
        <w:spacing w:after="210" w:line="360" w:lineRule="auto"/>
      </w:pPr>
      <w:r>
        <w:rPr>
          <w:rFonts w:ascii="inter" w:hAnsi="inter" w:eastAsia="inter" w:cs="inter"/>
          <w:b/>
          <w:color w:val="000000"/>
        </w:rPr>
        <w:t>路线二：生成模型的深度开发</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9"/>
        <w:gridCol w:w="3555"/>
      </w:tblGrid>
      <w:tr w14:paraId="18F610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8294B8">
            <w:pPr>
              <w:spacing w:after="0" w:line="360" w:lineRule="auto"/>
            </w:pPr>
            <w:r>
              <w:rPr>
                <w:rFonts w:ascii="inter" w:hAnsi="inter" w:eastAsia="inter" w:cs="inter"/>
                <w:color w:val="000000"/>
                <w:sz w:val="17"/>
              </w:rPr>
              <w:t>方面</w:t>
            </w:r>
          </w:p>
        </w:tc>
        <w:tc>
          <w:tcPr>
            <w:tcBorders>
              <w:top w:val="single" w:color="000000" w:sz="0" w:space="0"/>
              <w:bottom w:val="single" w:color="000000" w:sz="0" w:space="0"/>
            </w:tcBorders>
          </w:tcPr>
          <w:p w14:paraId="47CB5EE2">
            <w:pPr>
              <w:spacing w:after="0" w:line="360" w:lineRule="auto"/>
            </w:pPr>
            <w:r>
              <w:rPr>
                <w:rFonts w:ascii="inter" w:hAnsi="inter" w:eastAsia="inter" w:cs="inter"/>
                <w:color w:val="000000"/>
                <w:sz w:val="17"/>
              </w:rPr>
              <w:t>评估</w:t>
            </w:r>
          </w:p>
        </w:tc>
      </w:tr>
      <w:tr w14:paraId="0ADA49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30CE13">
            <w:pPr>
              <w:spacing w:after="0" w:line="360" w:lineRule="auto"/>
            </w:pPr>
            <w:r>
              <w:rPr>
                <w:rFonts w:ascii="inter" w:hAnsi="inter" w:eastAsia="inter" w:cs="inter"/>
                <w:b/>
                <w:color w:val="000000"/>
                <w:sz w:val="17"/>
              </w:rPr>
              <w:t>可行性</w:t>
            </w:r>
          </w:p>
        </w:tc>
        <w:tc>
          <w:tcPr>
            <w:tcBorders>
              <w:top w:val="single" w:color="000000" w:sz="0" w:space="0"/>
              <w:bottom w:val="single" w:color="000000" w:sz="0" w:space="0"/>
            </w:tcBorders>
          </w:tcPr>
          <w:p w14:paraId="154D45F0">
            <w:pPr>
              <w:spacing w:after="0" w:line="360" w:lineRule="auto"/>
            </w:pPr>
            <w:r>
              <w:rPr>
                <w:rFonts w:ascii="inter" w:hAnsi="inter" w:eastAsia="inter" w:cs="inter"/>
                <w:color w:val="000000"/>
                <w:sz w:val="17"/>
              </w:rPr>
              <w:t>高（3-7年内）</w:t>
            </w:r>
          </w:p>
        </w:tc>
      </w:tr>
      <w:tr w14:paraId="51629F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62213E6">
            <w:pPr>
              <w:spacing w:after="0" w:line="360" w:lineRule="auto"/>
            </w:pPr>
            <w:r>
              <w:rPr>
                <w:rFonts w:ascii="inter" w:hAnsi="inter" w:eastAsia="inter" w:cs="inter"/>
                <w:b/>
                <w:color w:val="000000"/>
                <w:sz w:val="17"/>
              </w:rPr>
              <w:t>技术成熟度</w:t>
            </w:r>
          </w:p>
        </w:tc>
        <w:tc>
          <w:tcPr>
            <w:tcBorders>
              <w:top w:val="single" w:color="000000" w:sz="0" w:space="0"/>
              <w:bottom w:val="single" w:color="000000" w:sz="0" w:space="0"/>
            </w:tcBorders>
          </w:tcPr>
          <w:p w14:paraId="6E0B8F0E">
            <w:pPr>
              <w:spacing w:after="0" w:line="360" w:lineRule="auto"/>
            </w:pPr>
            <w:r>
              <w:rPr>
                <w:rFonts w:ascii="inter" w:hAnsi="inter" w:eastAsia="inter" w:cs="inter"/>
                <w:color w:val="000000"/>
                <w:sz w:val="17"/>
              </w:rPr>
              <w:t>新兴且快速发展：6.5/10</w:t>
            </w:r>
          </w:p>
        </w:tc>
      </w:tr>
      <w:tr w14:paraId="48C3195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E533A49">
            <w:pPr>
              <w:spacing w:after="0" w:line="360" w:lineRule="auto"/>
            </w:pPr>
            <w:r>
              <w:rPr>
                <w:rFonts w:ascii="inter" w:hAnsi="inter" w:eastAsia="inter" w:cs="inter"/>
                <w:b/>
                <w:color w:val="000000"/>
                <w:sz w:val="17"/>
              </w:rPr>
              <w:t>成本投入</w:t>
            </w:r>
          </w:p>
        </w:tc>
        <w:tc>
          <w:tcPr>
            <w:tcBorders>
              <w:top w:val="single" w:color="000000" w:sz="0" w:space="0"/>
              <w:bottom w:val="single" w:color="000000" w:sz="0" w:space="0"/>
            </w:tcBorders>
          </w:tcPr>
          <w:p w14:paraId="79D9FAFD">
            <w:pPr>
              <w:spacing w:after="0" w:line="360" w:lineRule="auto"/>
            </w:pPr>
            <w:r>
              <w:rPr>
                <w:rFonts w:ascii="inter" w:hAnsi="inter" w:eastAsia="inter" w:cs="inter"/>
                <w:color w:val="000000"/>
                <w:sz w:val="17"/>
              </w:rPr>
              <w:t>高（大规模预训练需数百万美元计算成本）</w:t>
            </w:r>
          </w:p>
        </w:tc>
      </w:tr>
      <w:tr w14:paraId="2E3384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AD00E7">
            <w:pPr>
              <w:spacing w:after="0" w:line="360" w:lineRule="auto"/>
            </w:pPr>
            <w:r>
              <w:rPr>
                <w:rFonts w:ascii="inter" w:hAnsi="inter" w:eastAsia="inter" w:cs="inter"/>
                <w:b/>
                <w:color w:val="000000"/>
                <w:sz w:val="17"/>
              </w:rPr>
              <w:t>预期影响</w:t>
            </w:r>
          </w:p>
        </w:tc>
        <w:tc>
          <w:tcPr>
            <w:tcBorders>
              <w:top w:val="single" w:color="000000" w:sz="0" w:space="0"/>
              <w:bottom w:val="single" w:color="000000" w:sz="0" w:space="0"/>
            </w:tcBorders>
          </w:tcPr>
          <w:p w14:paraId="567A68CC">
            <w:pPr>
              <w:spacing w:after="0" w:line="360" w:lineRule="auto"/>
            </w:pPr>
            <w:r>
              <w:rPr>
                <w:rFonts w:ascii="inter" w:hAnsi="inter" w:eastAsia="inter" w:cs="inter"/>
                <w:color w:val="000000"/>
                <w:sz w:val="17"/>
              </w:rPr>
              <w:t>在受约束条件下的新材料设计中有变革潜力</w:t>
            </w:r>
          </w:p>
        </w:tc>
      </w:tr>
    </w:tbl>
    <w:p w14:paraId="0DEA60C8"/>
    <w:p w14:paraId="3589BED7">
      <w:pPr>
        <w:spacing w:after="210" w:line="360" w:lineRule="auto"/>
      </w:pPr>
      <w:r>
        <w:rPr>
          <w:rFonts w:ascii="inter" w:hAnsi="inter" w:eastAsia="inter" w:cs="inter"/>
          <w:b/>
          <w:color w:val="000000"/>
        </w:rPr>
        <w:t>关键行动</w:t>
      </w:r>
      <w:r>
        <w:rPr>
          <w:rFonts w:ascii="inter" w:hAnsi="inter" w:eastAsia="inter" w:cs="inter"/>
          <w:color w:val="000000"/>
        </w:rPr>
        <w:t>：</w:t>
      </w:r>
    </w:p>
    <w:p w14:paraId="52CC8567">
      <w:pPr>
        <w:numPr>
          <w:ilvl w:val="0"/>
          <w:numId w:val="54"/>
        </w:numPr>
        <w:spacing w:before="105" w:after="105" w:line="360" w:lineRule="auto"/>
      </w:pPr>
      <w:r>
        <w:rPr>
          <w:rFonts w:ascii="inter" w:hAnsi="inter" w:eastAsia="inter" w:cs="inter"/>
          <w:color w:val="000000"/>
          <w:sz w:val="21"/>
        </w:rPr>
        <w:t>扩大高质量训练数据（MatterGen已展示在更大数据集上的优势），特别是高精度混合泛函计算的结构数据</w:t>
      </w:r>
      <w:bookmarkStart w:id="167" w:name="fnref4_4"/>
      <w:bookmarkEnd w:id="167"/>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419D5D4B">
      <w:pPr>
        <w:numPr>
          <w:ilvl w:val="0"/>
          <w:numId w:val="54"/>
        </w:numPr>
        <w:spacing w:before="105" w:after="105" w:line="360" w:lineRule="auto"/>
      </w:pPr>
      <w:r>
        <w:rPr>
          <w:rFonts w:ascii="inter" w:hAnsi="inter" w:eastAsia="inter" w:cs="inter"/>
          <w:color w:val="000000"/>
          <w:sz w:val="21"/>
        </w:rPr>
        <w:t>开发多目标、多约束的条件生成框架，支持同时优化多个性质</w:t>
      </w:r>
    </w:p>
    <w:p w14:paraId="6AF5E224">
      <w:pPr>
        <w:numPr>
          <w:ilvl w:val="0"/>
          <w:numId w:val="54"/>
        </w:numPr>
        <w:spacing w:before="105" w:after="105" w:line="360" w:lineRule="auto"/>
      </w:pPr>
      <w:r>
        <w:rPr>
          <w:rFonts w:ascii="inter" w:hAnsi="inter" w:eastAsia="inter" w:cs="inter"/>
          <w:color w:val="000000"/>
          <w:sz w:val="21"/>
        </w:rPr>
        <w:t>建立生成结构与实验可合成性的关联模型，过滤不切实际的候选</w:t>
      </w:r>
    </w:p>
    <w:p w14:paraId="3F3861F7">
      <w:pPr>
        <w:spacing w:after="210" w:line="360" w:lineRule="auto"/>
      </w:pPr>
      <w:r>
        <w:rPr>
          <w:rFonts w:ascii="inter" w:hAnsi="inter" w:eastAsia="inter" w:cs="inter"/>
          <w:b/>
          <w:color w:val="000000"/>
        </w:rPr>
        <w:t>预期结果</w:t>
      </w:r>
      <w:r>
        <w:rPr>
          <w:rFonts w:ascii="inter" w:hAnsi="inter" w:eastAsia="inter" w:cs="inter"/>
          <w:color w:val="000000"/>
        </w:rPr>
        <w:t>：</w:t>
      </w:r>
    </w:p>
    <w:p w14:paraId="38A4D8B6">
      <w:pPr>
        <w:numPr>
          <w:ilvl w:val="0"/>
          <w:numId w:val="55"/>
        </w:numPr>
        <w:spacing w:before="105" w:after="105" w:line="360" w:lineRule="auto"/>
      </w:pPr>
      <w:r>
        <w:rPr>
          <w:rFonts w:ascii="inter" w:hAnsi="inter" w:eastAsia="inter" w:cs="inter"/>
          <w:color w:val="000000"/>
          <w:sz w:val="21"/>
        </w:rPr>
        <w:t>新发现的稳定材料中50-70%可在实验室合成（相比当前44%有显著提升）</w:t>
      </w:r>
    </w:p>
    <w:p w14:paraId="4CDC87BA">
      <w:pPr>
        <w:numPr>
          <w:ilvl w:val="0"/>
          <w:numId w:val="55"/>
        </w:numPr>
        <w:spacing w:before="105" w:after="105" w:line="360" w:lineRule="auto"/>
      </w:pPr>
      <w:r>
        <w:rPr>
          <w:rFonts w:ascii="inter" w:hAnsi="inter" w:eastAsia="inter" w:cs="inter"/>
          <w:color w:val="000000"/>
          <w:sz w:val="21"/>
        </w:rPr>
        <w:t>特定应用领域（如磁性材料、电池正极）的定向设计成功率显著提高</w:t>
      </w:r>
    </w:p>
    <w:p w14:paraId="0338967A">
      <w:pPr>
        <w:numPr>
          <w:ilvl w:val="0"/>
          <w:numId w:val="55"/>
        </w:numPr>
        <w:spacing w:before="105" w:after="105" w:line="360" w:lineRule="auto"/>
      </w:pPr>
      <w:r>
        <w:rPr>
          <w:rFonts w:ascii="inter" w:hAnsi="inter" w:eastAsia="inter" w:cs="inter"/>
          <w:color w:val="000000"/>
          <w:sz w:val="21"/>
        </w:rPr>
        <w:t>但仍需大规模人工实验验证，产业化路径依然漫长</w:t>
      </w:r>
    </w:p>
    <w:p w14:paraId="1A660A03">
      <w:pPr>
        <w:spacing w:after="210" w:line="360" w:lineRule="auto"/>
      </w:pPr>
      <w:r>
        <w:rPr>
          <w:rFonts w:ascii="inter" w:hAnsi="inter" w:eastAsia="inter" w:cs="inter"/>
          <w:b/>
          <w:color w:val="000000"/>
        </w:rPr>
        <w:t>路线三：多保真度与主动学习闭环</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9"/>
        <w:gridCol w:w="3555"/>
      </w:tblGrid>
      <w:tr w14:paraId="2F4CB9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2FAD8AE">
            <w:pPr>
              <w:spacing w:after="0" w:line="360" w:lineRule="auto"/>
            </w:pPr>
            <w:r>
              <w:rPr>
                <w:rFonts w:ascii="inter" w:hAnsi="inter" w:eastAsia="inter" w:cs="inter"/>
                <w:color w:val="000000"/>
                <w:sz w:val="17"/>
              </w:rPr>
              <w:t>方面</w:t>
            </w:r>
          </w:p>
        </w:tc>
        <w:tc>
          <w:tcPr>
            <w:tcBorders>
              <w:top w:val="single" w:color="000000" w:sz="0" w:space="0"/>
              <w:bottom w:val="single" w:color="000000" w:sz="0" w:space="0"/>
            </w:tcBorders>
          </w:tcPr>
          <w:p w14:paraId="07946A7C">
            <w:pPr>
              <w:spacing w:after="0" w:line="360" w:lineRule="auto"/>
            </w:pPr>
            <w:r>
              <w:rPr>
                <w:rFonts w:ascii="inter" w:hAnsi="inter" w:eastAsia="inter" w:cs="inter"/>
                <w:color w:val="000000"/>
                <w:sz w:val="17"/>
              </w:rPr>
              <w:t>评估</w:t>
            </w:r>
          </w:p>
        </w:tc>
      </w:tr>
      <w:tr w14:paraId="475B18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A476481">
            <w:pPr>
              <w:spacing w:after="0" w:line="360" w:lineRule="auto"/>
            </w:pPr>
            <w:r>
              <w:rPr>
                <w:rFonts w:ascii="inter" w:hAnsi="inter" w:eastAsia="inter" w:cs="inter"/>
                <w:b/>
                <w:color w:val="000000"/>
                <w:sz w:val="17"/>
              </w:rPr>
              <w:t>可行性</w:t>
            </w:r>
          </w:p>
        </w:tc>
        <w:tc>
          <w:tcPr>
            <w:tcBorders>
              <w:top w:val="single" w:color="000000" w:sz="0" w:space="0"/>
              <w:bottom w:val="single" w:color="000000" w:sz="0" w:space="0"/>
            </w:tcBorders>
          </w:tcPr>
          <w:p w14:paraId="4B05228D">
            <w:pPr>
              <w:spacing w:after="0" w:line="360" w:lineRule="auto"/>
            </w:pPr>
            <w:r>
              <w:rPr>
                <w:rFonts w:ascii="inter" w:hAnsi="inter" w:eastAsia="inter" w:cs="inter"/>
                <w:color w:val="000000"/>
                <w:sz w:val="17"/>
              </w:rPr>
              <w:t>中等（5-10年内）</w:t>
            </w:r>
          </w:p>
        </w:tc>
      </w:tr>
      <w:tr w14:paraId="0DA438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5C855AF">
            <w:pPr>
              <w:spacing w:after="0" w:line="360" w:lineRule="auto"/>
            </w:pPr>
            <w:r>
              <w:rPr>
                <w:rFonts w:ascii="inter" w:hAnsi="inter" w:eastAsia="inter" w:cs="inter"/>
                <w:b/>
                <w:color w:val="000000"/>
                <w:sz w:val="17"/>
              </w:rPr>
              <w:t>技术成熟度</w:t>
            </w:r>
          </w:p>
        </w:tc>
        <w:tc>
          <w:tcPr>
            <w:tcBorders>
              <w:top w:val="single" w:color="000000" w:sz="0" w:space="0"/>
              <w:bottom w:val="single" w:color="000000" w:sz="0" w:space="0"/>
            </w:tcBorders>
          </w:tcPr>
          <w:p w14:paraId="63597825">
            <w:pPr>
              <w:spacing w:after="0" w:line="360" w:lineRule="auto"/>
            </w:pPr>
            <w:r>
              <w:rPr>
                <w:rFonts w:ascii="inter" w:hAnsi="inter" w:eastAsia="inter" w:cs="inter"/>
                <w:color w:val="000000"/>
                <w:sz w:val="17"/>
              </w:rPr>
              <w:t>尚在探索阶段：5/10</w:t>
            </w:r>
          </w:p>
        </w:tc>
      </w:tr>
      <w:tr w14:paraId="209448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2C89F5F">
            <w:pPr>
              <w:spacing w:after="0" w:line="360" w:lineRule="auto"/>
            </w:pPr>
            <w:r>
              <w:rPr>
                <w:rFonts w:ascii="inter" w:hAnsi="inter" w:eastAsia="inter" w:cs="inter"/>
                <w:b/>
                <w:color w:val="000000"/>
                <w:sz w:val="17"/>
              </w:rPr>
              <w:t>成本投入</w:t>
            </w:r>
          </w:p>
        </w:tc>
        <w:tc>
          <w:tcPr>
            <w:tcBorders>
              <w:top w:val="single" w:color="000000" w:sz="0" w:space="0"/>
              <w:bottom w:val="single" w:color="000000" w:sz="0" w:space="0"/>
            </w:tcBorders>
          </w:tcPr>
          <w:p w14:paraId="3D74965B">
            <w:pPr>
              <w:spacing w:after="0" w:line="360" w:lineRule="auto"/>
            </w:pPr>
            <w:r>
              <w:rPr>
                <w:rFonts w:ascii="inter" w:hAnsi="inter" w:eastAsia="inter" w:cs="inter"/>
                <w:color w:val="000000"/>
                <w:sz w:val="17"/>
              </w:rPr>
              <w:t>极高（需整合计算、高通量实验、自动化）</w:t>
            </w:r>
          </w:p>
        </w:tc>
      </w:tr>
      <w:tr w14:paraId="3288FD9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2F168DE">
            <w:pPr>
              <w:spacing w:after="0" w:line="360" w:lineRule="auto"/>
            </w:pPr>
            <w:r>
              <w:rPr>
                <w:rFonts w:ascii="inter" w:hAnsi="inter" w:eastAsia="inter" w:cs="inter"/>
                <w:b/>
                <w:color w:val="000000"/>
                <w:sz w:val="17"/>
              </w:rPr>
              <w:t>预期影响</w:t>
            </w:r>
          </w:p>
        </w:tc>
        <w:tc>
          <w:tcPr>
            <w:tcBorders>
              <w:top w:val="single" w:color="000000" w:sz="0" w:space="0"/>
              <w:bottom w:val="single" w:color="000000" w:sz="0" w:space="0"/>
            </w:tcBorders>
          </w:tcPr>
          <w:p w14:paraId="5CE78CB5">
            <w:pPr>
              <w:spacing w:after="0" w:line="360" w:lineRule="auto"/>
            </w:pPr>
            <w:r>
              <w:rPr>
                <w:rFonts w:ascii="inter" w:hAnsi="inter" w:eastAsia="inter" w:cs="inter"/>
                <w:color w:val="000000"/>
                <w:sz w:val="17"/>
              </w:rPr>
              <w:t>最具产业革命潜力，但实现难度最高</w:t>
            </w:r>
          </w:p>
        </w:tc>
      </w:tr>
    </w:tbl>
    <w:p w14:paraId="402D5187"/>
    <w:p w14:paraId="48F5CF59">
      <w:pPr>
        <w:spacing w:after="210" w:line="360" w:lineRule="auto"/>
      </w:pPr>
      <w:r>
        <w:rPr>
          <w:rFonts w:ascii="inter" w:hAnsi="inter" w:eastAsia="inter" w:cs="inter"/>
          <w:b/>
          <w:color w:val="000000"/>
        </w:rPr>
        <w:t>关键行动</w:t>
      </w:r>
      <w:r>
        <w:rPr>
          <w:rFonts w:ascii="inter" w:hAnsi="inter" w:eastAsia="inter" w:cs="inter"/>
          <w:color w:val="000000"/>
        </w:rPr>
        <w:t>：</w:t>
      </w:r>
    </w:p>
    <w:p w14:paraId="68327A93">
      <w:pPr>
        <w:numPr>
          <w:ilvl w:val="0"/>
          <w:numId w:val="56"/>
        </w:numPr>
        <w:spacing w:before="105" w:after="105" w:line="360" w:lineRule="auto"/>
      </w:pPr>
      <w:r>
        <w:rPr>
          <w:rFonts w:ascii="inter" w:hAnsi="inter" w:eastAsia="inter" w:cs="inter"/>
          <w:color w:val="000000"/>
          <w:sz w:val="21"/>
        </w:rPr>
        <w:t>建立集成化的计算-模拟-高通量实验-表征的闭环系统</w:t>
      </w:r>
    </w:p>
    <w:p w14:paraId="45A57828">
      <w:pPr>
        <w:numPr>
          <w:ilvl w:val="0"/>
          <w:numId w:val="56"/>
        </w:numPr>
        <w:spacing w:before="105" w:after="105" w:line="360" w:lineRule="auto"/>
      </w:pPr>
      <w:r>
        <w:rPr>
          <w:rFonts w:ascii="inter" w:hAnsi="inter" w:eastAsia="inter" w:cs="inter"/>
          <w:color w:val="000000"/>
          <w:sz w:val="21"/>
        </w:rPr>
        <w:t>使用贝叶斯优化和主动学习策略，动态选择最高信息价值的实验</w:t>
      </w:r>
    </w:p>
    <w:p w14:paraId="471394FF">
      <w:pPr>
        <w:numPr>
          <w:ilvl w:val="0"/>
          <w:numId w:val="56"/>
        </w:numPr>
        <w:spacing w:before="105" w:after="105" w:line="360" w:lineRule="auto"/>
      </w:pPr>
      <w:r>
        <w:rPr>
          <w:rFonts w:ascii="inter" w:hAnsi="inter" w:eastAsia="inter" w:cs="inter"/>
          <w:color w:val="000000"/>
          <w:sz w:val="21"/>
        </w:rPr>
        <w:t>开发快速、低成本的高通量合成与表征技术（如原位XRD、快速机械测试）</w:t>
      </w:r>
    </w:p>
    <w:p w14:paraId="0876155D">
      <w:pPr>
        <w:spacing w:after="210" w:line="360" w:lineRule="auto"/>
      </w:pPr>
      <w:r>
        <w:rPr>
          <w:rFonts w:ascii="inter" w:hAnsi="inter" w:eastAsia="inter" w:cs="inter"/>
          <w:b/>
          <w:color w:val="000000"/>
        </w:rPr>
        <w:t>预期结果</w:t>
      </w:r>
      <w:r>
        <w:rPr>
          <w:rFonts w:ascii="inter" w:hAnsi="inter" w:eastAsia="inter" w:cs="inter"/>
          <w:color w:val="000000"/>
        </w:rPr>
        <w:t>：</w:t>
      </w:r>
    </w:p>
    <w:p w14:paraId="6F3DE0CC">
      <w:pPr>
        <w:numPr>
          <w:ilvl w:val="0"/>
          <w:numId w:val="57"/>
        </w:numPr>
        <w:spacing w:before="105" w:after="105" w:line="360" w:lineRule="auto"/>
      </w:pPr>
      <w:r>
        <w:rPr>
          <w:rFonts w:ascii="inter" w:hAnsi="inter" w:eastAsia="inter" w:cs="inter"/>
          <w:color w:val="000000"/>
          <w:sz w:val="21"/>
        </w:rPr>
        <w:t>从概念到原型材料的周期从当前的5-10年缩短到1-2年</w:t>
      </w:r>
    </w:p>
    <w:p w14:paraId="44C9AC45">
      <w:pPr>
        <w:numPr>
          <w:ilvl w:val="0"/>
          <w:numId w:val="57"/>
        </w:numPr>
        <w:spacing w:before="105" w:after="105" w:line="360" w:lineRule="auto"/>
      </w:pPr>
      <w:r>
        <w:rPr>
          <w:rFonts w:ascii="inter" w:hAnsi="inter" w:eastAsia="inter" w:cs="inter"/>
          <w:color w:val="000000"/>
          <w:sz w:val="21"/>
        </w:rPr>
        <w:t>产业化门槛从"需要专家团队"降低到"标准工程流程"</w:t>
      </w:r>
    </w:p>
    <w:p w14:paraId="04BCFD3A">
      <w:pPr>
        <w:numPr>
          <w:ilvl w:val="0"/>
          <w:numId w:val="57"/>
        </w:numPr>
        <w:spacing w:before="105" w:after="105" w:line="360" w:lineRule="auto"/>
      </w:pPr>
      <w:r>
        <w:rPr>
          <w:rFonts w:ascii="inter" w:hAnsi="inter" w:eastAsia="inter" w:cs="inter"/>
          <w:color w:val="000000"/>
          <w:sz w:val="21"/>
        </w:rPr>
        <w:t>大规模采用范围局限于资本密集型行业（半导体、电池、航空航天）</w:t>
      </w:r>
    </w:p>
    <w:p w14:paraId="69B362A3">
      <w:pPr>
        <w:spacing w:after="210" w:line="360" w:lineRule="auto"/>
      </w:pPr>
      <w:r>
        <w:rPr>
          <w:rFonts w:ascii="inter" w:hAnsi="inter" w:eastAsia="inter" w:cs="inter"/>
          <w:b/>
          <w:color w:val="000000"/>
        </w:rPr>
        <w:t>具体案例评估</w:t>
      </w:r>
      <w:r>
        <w:rPr>
          <w:rFonts w:ascii="inter" w:hAnsi="inter" w:eastAsia="inter" w:cs="inter"/>
          <w:color w:val="000000"/>
        </w:rPr>
        <w:t>：</w:t>
      </w:r>
      <w:r>
        <w:rPr>
          <w:rFonts w:ascii="inter" w:hAnsi="inter" w:eastAsia="inter" w:cs="inter"/>
          <w:color w:val="000000"/>
        </w:rPr>
        <w:br w:type="textWrapping"/>
      </w:r>
      <w:r>
        <w:rPr>
          <w:rFonts w:ascii="inter" w:hAnsi="inter" w:eastAsia="inter" w:cs="inter"/>
          <w:color w:val="000000"/>
        </w:rPr>
        <w:t>Science Advances 2025年发表的合成性导向的材料发现流程，在16个目标中成功合成7个（44%成功率），整个实验过程仅3天。这表明已有实验室初步实现了闭环流程，但仍需大幅降低失败率和缩短迭代周期才能达到产业标准（成功率&gt;80%）。</w:t>
      </w:r>
      <w:bookmarkStart w:id="168" w:name="fnref32_5"/>
      <w:bookmarkEnd w:id="168"/>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03B9A112">
      <w:pPr>
        <w:spacing w:before="315" w:after="105" w:line="360" w:lineRule="auto"/>
        <w:ind w:left="-30"/>
        <w:jc w:val="left"/>
      </w:pPr>
      <w:bookmarkStart w:id="169" w:name="bm_8_4_时间框架与产业化路径评估"/>
      <w:r>
        <w:rPr>
          <w:rFonts w:ascii="inter" w:hAnsi="inter" w:eastAsia="inter" w:cs="inter"/>
          <w:b/>
          <w:color w:val="000000"/>
          <w:sz w:val="24"/>
        </w:rPr>
        <w:t>8.4 时间框架与产业化路径评估</w:t>
      </w:r>
      <w:bookmarkEnd w:id="169"/>
    </w:p>
    <w:p w14:paraId="793ABB1D">
      <w:pPr>
        <w:spacing w:after="210" w:line="360" w:lineRule="auto"/>
      </w:pPr>
      <w:r>
        <w:rPr>
          <w:rFonts w:ascii="inter" w:hAnsi="inter" w:eastAsia="inter" w:cs="inter"/>
          <w:b/>
          <w:color w:val="000000"/>
        </w:rPr>
        <w:t>短期（1-3年）</w:t>
      </w:r>
      <w:r>
        <w:rPr>
          <w:rFonts w:ascii="inter" w:hAnsi="inter" w:eastAsia="inter" w:cs="inter"/>
          <w:color w:val="000000"/>
        </w:rPr>
        <w:t>：</w:t>
      </w:r>
    </w:p>
    <w:p w14:paraId="29B6C8D8">
      <w:pPr>
        <w:numPr>
          <w:ilvl w:val="0"/>
          <w:numId w:val="58"/>
        </w:numPr>
        <w:spacing w:before="105" w:after="105" w:line="360" w:lineRule="auto"/>
      </w:pPr>
      <w:r>
        <w:rPr>
          <w:rFonts w:ascii="inter" w:hAnsi="inter" w:eastAsia="inter" w:cs="inter"/>
          <w:b/>
          <w:color w:val="000000"/>
          <w:sz w:val="21"/>
        </w:rPr>
        <w:t>预期达成</w:t>
      </w:r>
      <w:r>
        <w:rPr>
          <w:rFonts w:ascii="inter" w:hAnsi="inter" w:eastAsia="inter" w:cs="inter"/>
          <w:color w:val="000000"/>
          <w:sz w:val="21"/>
        </w:rPr>
        <w:t>：特定高度优化的应用领域（高熵合金、电池正极）的ML辅助设计成为标准实践；发表的发现类论文中，有30-50%采用某种形式的ML预测</w:t>
      </w:r>
    </w:p>
    <w:p w14:paraId="04F777D6">
      <w:pPr>
        <w:numPr>
          <w:ilvl w:val="0"/>
          <w:numId w:val="58"/>
        </w:numPr>
        <w:spacing w:before="105" w:after="105" w:line="360" w:lineRule="auto"/>
      </w:pPr>
      <w:r>
        <w:rPr>
          <w:rFonts w:ascii="inter" w:hAnsi="inter" w:eastAsia="inter" w:cs="inter"/>
          <w:b/>
          <w:color w:val="000000"/>
          <w:sz w:val="21"/>
        </w:rPr>
        <w:t>存在障碍</w:t>
      </w:r>
      <w:r>
        <w:rPr>
          <w:rFonts w:ascii="inter" w:hAnsi="inter" w:eastAsia="inter" w:cs="inter"/>
          <w:color w:val="000000"/>
          <w:sz w:val="21"/>
        </w:rPr>
        <w:t>：模型可解释性仍不充分，产业设计部门对黑盒预测的接受度有限；合成性预测精度仍不足以完全替代实验筛选</w:t>
      </w:r>
    </w:p>
    <w:p w14:paraId="52CD8FC2">
      <w:pPr>
        <w:numPr>
          <w:ilvl w:val="0"/>
          <w:numId w:val="58"/>
        </w:numPr>
        <w:spacing w:before="105" w:after="105" w:line="360" w:lineRule="auto"/>
      </w:pPr>
      <w:r>
        <w:rPr>
          <w:rFonts w:ascii="inter" w:hAnsi="inter" w:eastAsia="inter" w:cs="inter"/>
          <w:b/>
          <w:color w:val="000000"/>
          <w:sz w:val="21"/>
        </w:rPr>
        <w:t>关键投资需求</w:t>
      </w:r>
      <w:r>
        <w:rPr>
          <w:rFonts w:ascii="inter" w:hAnsi="inter" w:eastAsia="inter" w:cs="inter"/>
          <w:color w:val="000000"/>
          <w:sz w:val="21"/>
        </w:rPr>
        <w:t>：初始化高质量多保真度数据库，投资云端计算基础设施，培养跨学科人才</w:t>
      </w:r>
    </w:p>
    <w:p w14:paraId="00804E8D">
      <w:pPr>
        <w:spacing w:after="210" w:line="360" w:lineRule="auto"/>
      </w:pPr>
      <w:r>
        <w:rPr>
          <w:rFonts w:ascii="inter" w:hAnsi="inter" w:eastAsia="inter" w:cs="inter"/>
          <w:b/>
          <w:color w:val="000000"/>
        </w:rPr>
        <w:t>中期（3-7年）</w:t>
      </w:r>
      <w:r>
        <w:rPr>
          <w:rFonts w:ascii="inter" w:hAnsi="inter" w:eastAsia="inter" w:cs="inter"/>
          <w:color w:val="000000"/>
        </w:rPr>
        <w:t>：</w:t>
      </w:r>
    </w:p>
    <w:p w14:paraId="75AE9FCB">
      <w:pPr>
        <w:numPr>
          <w:ilvl w:val="0"/>
          <w:numId w:val="59"/>
        </w:numPr>
        <w:spacing w:before="105" w:after="105" w:line="360" w:lineRule="auto"/>
      </w:pPr>
      <w:r>
        <w:rPr>
          <w:rFonts w:ascii="inter" w:hAnsi="inter" w:eastAsia="inter" w:cs="inter"/>
          <w:b/>
          <w:color w:val="000000"/>
          <w:sz w:val="21"/>
        </w:rPr>
        <w:t>预期达成</w:t>
      </w:r>
      <w:r>
        <w:rPr>
          <w:rFonts w:ascii="inter" w:hAnsi="inter" w:eastAsia="inter" w:cs="inter"/>
          <w:color w:val="000000"/>
          <w:sz w:val="21"/>
        </w:rPr>
        <w:t>：生成模型在多目标材料设计中达到可导航实验的精度水平；AI发现的新材料中20-30%顺利进入产业化评估阶段</w:t>
      </w:r>
    </w:p>
    <w:p w14:paraId="128D2BC0">
      <w:pPr>
        <w:numPr>
          <w:ilvl w:val="0"/>
          <w:numId w:val="59"/>
        </w:numPr>
        <w:spacing w:before="105" w:after="105" w:line="360" w:lineRule="auto"/>
      </w:pPr>
      <w:r>
        <w:rPr>
          <w:rFonts w:ascii="inter" w:hAnsi="inter" w:eastAsia="inter" w:cs="inter"/>
          <w:b/>
          <w:color w:val="000000"/>
          <w:sz w:val="21"/>
        </w:rPr>
        <w:t>存在障碍</w:t>
      </w:r>
      <w:r>
        <w:rPr>
          <w:rFonts w:ascii="inter" w:hAnsi="inter" w:eastAsia="inter" w:cs="inter"/>
          <w:color w:val="000000"/>
          <w:sz w:val="21"/>
        </w:rPr>
        <w:t>：大规模工艺参数优化仍需传统高通量实验，合成工程成为新瓶颈；模型的可转移性仍有限，跨行业应用需要重新训练</w:t>
      </w:r>
    </w:p>
    <w:p w14:paraId="77820D0D">
      <w:pPr>
        <w:numPr>
          <w:ilvl w:val="0"/>
          <w:numId w:val="59"/>
        </w:numPr>
        <w:spacing w:before="105" w:after="105" w:line="360" w:lineRule="auto"/>
      </w:pPr>
      <w:r>
        <w:rPr>
          <w:rFonts w:ascii="inter" w:hAnsi="inter" w:eastAsia="inter" w:cs="inter"/>
          <w:b/>
          <w:color w:val="000000"/>
          <w:sz w:val="21"/>
        </w:rPr>
        <w:t>关键投资需求</w:t>
      </w:r>
      <w:r>
        <w:rPr>
          <w:rFonts w:ascii="inter" w:hAnsi="inter" w:eastAsia="inter" w:cs="inter"/>
          <w:color w:val="000000"/>
          <w:sz w:val="21"/>
        </w:rPr>
        <w:t>：建立多个产业级闭环平台（计算+模拟+实验），推进主动学习系统的标准化，发展可解释的AI框架</w:t>
      </w:r>
    </w:p>
    <w:p w14:paraId="7442B91B">
      <w:pPr>
        <w:spacing w:after="210" w:line="360" w:lineRule="auto"/>
      </w:pPr>
      <w:r>
        <w:rPr>
          <w:rFonts w:ascii="inter" w:hAnsi="inter" w:eastAsia="inter" w:cs="inter"/>
          <w:b/>
          <w:color w:val="000000"/>
        </w:rPr>
        <w:t>长期（7-15年及以上）</w:t>
      </w:r>
      <w:r>
        <w:rPr>
          <w:rFonts w:ascii="inter" w:hAnsi="inter" w:eastAsia="inter" w:cs="inter"/>
          <w:color w:val="000000"/>
        </w:rPr>
        <w:t>：</w:t>
      </w:r>
    </w:p>
    <w:p w14:paraId="6301921B">
      <w:pPr>
        <w:numPr>
          <w:ilvl w:val="0"/>
          <w:numId w:val="60"/>
        </w:numPr>
        <w:spacing w:before="105" w:after="105" w:line="360" w:lineRule="auto"/>
      </w:pPr>
      <w:r>
        <w:rPr>
          <w:rFonts w:ascii="inter" w:hAnsi="inter" w:eastAsia="inter" w:cs="inter"/>
          <w:b/>
          <w:color w:val="000000"/>
          <w:sz w:val="21"/>
        </w:rPr>
        <w:t>如果成功</w:t>
      </w:r>
      <w:r>
        <w:rPr>
          <w:rFonts w:ascii="inter" w:hAnsi="inter" w:eastAsia="inter" w:cs="inter"/>
          <w:color w:val="000000"/>
          <w:sz w:val="21"/>
        </w:rPr>
        <w:t>：AI驱动的材料开发成为常态，新材料上市周期从10-20年平均缩短到3-5年，产业界从反应性创新转为主动探索</w:t>
      </w:r>
    </w:p>
    <w:p w14:paraId="36A9E72B">
      <w:pPr>
        <w:numPr>
          <w:ilvl w:val="0"/>
          <w:numId w:val="60"/>
        </w:numPr>
        <w:spacing w:before="105" w:after="105" w:line="360" w:lineRule="auto"/>
      </w:pPr>
      <w:r>
        <w:rPr>
          <w:rFonts w:ascii="inter" w:hAnsi="inter" w:eastAsia="inter" w:cs="inter"/>
          <w:b/>
          <w:color w:val="000000"/>
          <w:sz w:val="21"/>
        </w:rPr>
        <w:t>最大风险</w:t>
      </w:r>
      <w:r>
        <w:rPr>
          <w:rFonts w:ascii="inter" w:hAnsi="inter" w:eastAsia="inter" w:cs="inter"/>
          <w:color w:val="000000"/>
          <w:sz w:val="21"/>
        </w:rPr>
        <w:t>：若生成模型的外推能力无法根本解决，新材料的发现效率可能在克服现有数据库覆盖的热点后陷入瓶颈；如果合成工程问题无法有效建模，整个流程将仍然被实验成本所限</w:t>
      </w:r>
    </w:p>
    <w:p w14:paraId="6785C4D0">
      <w:pPr>
        <w:spacing w:after="210" w:line="360" w:lineRule="auto"/>
      </w:pPr>
      <w:r>
        <w:rPr>
          <w:rFonts w:ascii="inter" w:hAnsi="inter" w:eastAsia="inter" w:cs="inter"/>
          <w:b/>
          <w:color w:val="000000"/>
        </w:rPr>
        <w:t>关键转折点</w:t>
      </w:r>
      <w:r>
        <w:rPr>
          <w:rFonts w:ascii="inter" w:hAnsi="inter" w:eastAsia="inter" w:cs="inter"/>
          <w:color w:val="000000"/>
        </w:rPr>
        <w:t>：</w:t>
      </w:r>
    </w:p>
    <w:p w14:paraId="2CDE87C5">
      <w:pPr>
        <w:numPr>
          <w:ilvl w:val="0"/>
          <w:numId w:val="61"/>
        </w:numPr>
        <w:spacing w:before="105" w:after="105" w:line="360" w:lineRule="auto"/>
      </w:pPr>
      <w:r>
        <w:rPr>
          <w:rFonts w:ascii="inter" w:hAnsi="inter" w:eastAsia="inter" w:cs="inter"/>
          <w:b/>
          <w:color w:val="000000"/>
          <w:sz w:val="21"/>
        </w:rPr>
        <w:t>高质量混合泛函数据库的规模突破</w:t>
      </w:r>
      <w:r>
        <w:rPr>
          <w:rFonts w:ascii="inter" w:hAnsi="inter" w:eastAsia="inter" w:cs="inter"/>
          <w:color w:val="000000"/>
          <w:sz w:val="21"/>
        </w:rPr>
        <w:t>（&gt;100k结构）：预计2026-2027年</w:t>
      </w:r>
    </w:p>
    <w:p w14:paraId="316EEB7C">
      <w:pPr>
        <w:numPr>
          <w:ilvl w:val="0"/>
          <w:numId w:val="61"/>
        </w:numPr>
        <w:spacing w:before="105" w:after="105" w:line="360" w:lineRule="auto"/>
      </w:pPr>
      <w:r>
        <w:rPr>
          <w:rFonts w:ascii="inter" w:hAnsi="inter" w:eastAsia="inter" w:cs="inter"/>
          <w:b/>
          <w:color w:val="000000"/>
          <w:sz w:val="21"/>
        </w:rPr>
        <w:t>生成模型在未见过的元素组合上的可靠外推演示</w:t>
      </w:r>
      <w:r>
        <w:rPr>
          <w:rFonts w:ascii="inter" w:hAnsi="inter" w:eastAsia="inter" w:cs="inter"/>
          <w:color w:val="000000"/>
          <w:sz w:val="21"/>
        </w:rPr>
        <w:t>：预计2027-2028年</w:t>
      </w:r>
    </w:p>
    <w:p w14:paraId="4FFD948C">
      <w:pPr>
        <w:numPr>
          <w:ilvl w:val="0"/>
          <w:numId w:val="61"/>
        </w:numPr>
        <w:spacing w:before="105" w:after="105" w:line="360" w:lineRule="auto"/>
      </w:pPr>
      <w:r>
        <w:rPr>
          <w:rFonts w:ascii="inter" w:hAnsi="inter" w:eastAsia="inter" w:cs="inter"/>
          <w:b/>
          <w:color w:val="000000"/>
          <w:sz w:val="21"/>
        </w:rPr>
        <w:t>跨行业闭环平台的首次成功案例</w:t>
      </w:r>
      <w:r>
        <w:rPr>
          <w:rFonts w:ascii="inter" w:hAnsi="inter" w:eastAsia="inter" w:cs="inter"/>
          <w:color w:val="000000"/>
          <w:sz w:val="21"/>
        </w:rPr>
        <w:t>（从发现到产业化&lt;2年）：预计2028-2030年</w:t>
      </w:r>
    </w:p>
    <w:p w14:paraId="72855DC8">
      <w:pPr>
        <w:spacing w:before="315" w:after="105" w:line="360" w:lineRule="auto"/>
        <w:ind w:left="-30"/>
        <w:jc w:val="left"/>
      </w:pPr>
      <w:bookmarkStart w:id="170" w:name="bm_8_5_产业化的现实困难与非技术因素"/>
      <w:r>
        <w:rPr>
          <w:rFonts w:ascii="inter" w:hAnsi="inter" w:eastAsia="inter" w:cs="inter"/>
          <w:b/>
          <w:color w:val="000000"/>
          <w:sz w:val="24"/>
        </w:rPr>
        <w:t>8.5 产业化的现实困难与非技术因素</w:t>
      </w:r>
      <w:bookmarkEnd w:id="170"/>
    </w:p>
    <w:p w14:paraId="3B3FA0F0">
      <w:pPr>
        <w:spacing w:after="210" w:line="360" w:lineRule="auto"/>
      </w:pPr>
      <w:r>
        <w:rPr>
          <w:rFonts w:ascii="inter" w:hAnsi="inter" w:eastAsia="inter" w:cs="inter"/>
          <w:b/>
          <w:color w:val="000000"/>
        </w:rPr>
        <w:t>知识产权与数据开放的矛盾</w:t>
      </w:r>
      <w:r>
        <w:rPr>
          <w:rFonts w:ascii="inter" w:hAnsi="inter" w:eastAsia="inter" w:cs="inter"/>
          <w:color w:val="000000"/>
        </w:rPr>
        <w:t>：</w:t>
      </w:r>
    </w:p>
    <w:p w14:paraId="44DDD7CD">
      <w:pPr>
        <w:numPr>
          <w:ilvl w:val="0"/>
          <w:numId w:val="62"/>
        </w:numPr>
        <w:spacing w:before="105" w:after="105" w:line="360" w:lineRule="auto"/>
      </w:pPr>
      <w:r>
        <w:rPr>
          <w:rFonts w:ascii="inter" w:hAnsi="inter" w:eastAsia="inter" w:cs="inter"/>
          <w:color w:val="000000"/>
          <w:sz w:val="21"/>
        </w:rPr>
        <w:t>Materials Project等开源数据库促进了学术进展，但产业界往往更愿意拥有专有数据集和模型以获取竞争优势</w:t>
      </w:r>
    </w:p>
    <w:p w14:paraId="09DFCE18">
      <w:pPr>
        <w:numPr>
          <w:ilvl w:val="0"/>
          <w:numId w:val="62"/>
        </w:numPr>
        <w:spacing w:before="105" w:after="105" w:line="360" w:lineRule="auto"/>
      </w:pPr>
      <w:r>
        <w:rPr>
          <w:rFonts w:ascii="inter" w:hAnsi="inter" w:eastAsia="inter" w:cs="inter"/>
          <w:color w:val="000000"/>
          <w:sz w:val="21"/>
        </w:rPr>
        <w:t>这导致产业界的材料发现工作往往与学术进展脱节，重复投资</w:t>
      </w:r>
    </w:p>
    <w:p w14:paraId="4C79194D">
      <w:pPr>
        <w:spacing w:after="210" w:line="360" w:lineRule="auto"/>
      </w:pPr>
      <w:r>
        <w:rPr>
          <w:rFonts w:ascii="inter" w:hAnsi="inter" w:eastAsia="inter" w:cs="inter"/>
          <w:b/>
          <w:color w:val="000000"/>
        </w:rPr>
        <w:t>监管与标准化的滞后</w:t>
      </w:r>
      <w:r>
        <w:rPr>
          <w:rFonts w:ascii="inter" w:hAnsi="inter" w:eastAsia="inter" w:cs="inter"/>
          <w:color w:val="000000"/>
        </w:rPr>
        <w:t>：</w:t>
      </w:r>
    </w:p>
    <w:p w14:paraId="0F5040B9">
      <w:pPr>
        <w:numPr>
          <w:ilvl w:val="0"/>
          <w:numId w:val="63"/>
        </w:numPr>
        <w:spacing w:before="105" w:after="105" w:line="360" w:lineRule="auto"/>
      </w:pPr>
      <w:r>
        <w:rPr>
          <w:rFonts w:ascii="inter" w:hAnsi="inter" w:eastAsia="inter" w:cs="inter"/>
          <w:color w:val="000000"/>
          <w:sz w:val="21"/>
        </w:rPr>
        <w:t>ML预测的材料性质目前在产业标准和监管框架中的接受度有限</w:t>
      </w:r>
    </w:p>
    <w:p w14:paraId="0F7D0016">
      <w:pPr>
        <w:numPr>
          <w:ilvl w:val="0"/>
          <w:numId w:val="63"/>
        </w:numPr>
        <w:spacing w:before="105" w:after="105" w:line="360" w:lineRule="auto"/>
      </w:pPr>
      <w:r>
        <w:rPr>
          <w:rFonts w:ascii="inter" w:hAnsi="inter" w:eastAsia="inter" w:cs="inter"/>
          <w:color w:val="000000"/>
          <w:sz w:val="21"/>
        </w:rPr>
        <w:t>航空航天、医疗等高风险行业对于"黑盒模型"预测的材料会持极其谨慎的态度</w:t>
      </w:r>
    </w:p>
    <w:p w14:paraId="34A4AF96">
      <w:pPr>
        <w:numPr>
          <w:ilvl w:val="0"/>
          <w:numId w:val="63"/>
        </w:numPr>
        <w:spacing w:before="105" w:after="105" w:line="360" w:lineRule="auto"/>
      </w:pPr>
      <w:r>
        <w:rPr>
          <w:rFonts w:ascii="inter" w:hAnsi="inter" w:eastAsia="inter" w:cs="inter"/>
          <w:color w:val="000000"/>
          <w:sz w:val="21"/>
        </w:rPr>
        <w:t>需要建立统一的验证、认证标准，这通常需要5-10年的行业协商</w:t>
      </w:r>
    </w:p>
    <w:p w14:paraId="3E91E25C">
      <w:pPr>
        <w:spacing w:after="210" w:line="360" w:lineRule="auto"/>
      </w:pPr>
      <w:r>
        <w:rPr>
          <w:rFonts w:ascii="inter" w:hAnsi="inter" w:eastAsia="inter" w:cs="inter"/>
          <w:b/>
          <w:color w:val="000000"/>
        </w:rPr>
        <w:t>跨学科团队的构建困难</w:t>
      </w:r>
      <w:r>
        <w:rPr>
          <w:rFonts w:ascii="inter" w:hAnsi="inter" w:eastAsia="inter" w:cs="inter"/>
          <w:color w:val="000000"/>
        </w:rPr>
        <w:t>：</w:t>
      </w:r>
    </w:p>
    <w:p w14:paraId="7F040B57">
      <w:pPr>
        <w:numPr>
          <w:ilvl w:val="0"/>
          <w:numId w:val="64"/>
        </w:numPr>
        <w:spacing w:before="105" w:after="105" w:line="360" w:lineRule="auto"/>
      </w:pPr>
      <w:r>
        <w:rPr>
          <w:rFonts w:ascii="inter" w:hAnsi="inter" w:eastAsia="inter" w:cs="inter"/>
          <w:color w:val="000000"/>
          <w:sz w:val="21"/>
        </w:rPr>
        <w:t>产业化需要材料科学家、计算化学家、机器学习工程师、工艺工程师、制造工程师等多方有效协作</w:t>
      </w:r>
    </w:p>
    <w:p w14:paraId="423FB87D">
      <w:pPr>
        <w:numPr>
          <w:ilvl w:val="0"/>
          <w:numId w:val="64"/>
        </w:numPr>
        <w:spacing w:before="105" w:after="105" w:line="360" w:lineRule="auto"/>
      </w:pPr>
      <w:r>
        <w:rPr>
          <w:rFonts w:ascii="inter" w:hAnsi="inter" w:eastAsia="inter" w:cs="inter"/>
          <w:color w:val="000000"/>
          <w:sz w:val="21"/>
        </w:rPr>
        <w:t>这样的团队在全球范围内仍属稀缺资源，限制了同时进行多个项目的能力</w:t>
      </w:r>
    </w:p>
    <w:p w14:paraId="239CEA49">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29258EDD">
      <w:pPr>
        <w:spacing w:before="315" w:after="105" w:line="360" w:lineRule="auto"/>
        <w:ind w:left="-30"/>
        <w:jc w:val="left"/>
      </w:pPr>
      <w:bookmarkStart w:id="171" w:name="总结与展望"/>
      <w:r>
        <w:rPr>
          <w:rFonts w:ascii="inter" w:hAnsi="inter" w:eastAsia="inter" w:cs="inter"/>
          <w:b/>
          <w:color w:val="000000"/>
          <w:sz w:val="24"/>
        </w:rPr>
        <w:t>总结与展望</w:t>
      </w:r>
      <w:bookmarkEnd w:id="171"/>
    </w:p>
    <w:p w14:paraId="49795C45">
      <w:pPr>
        <w:spacing w:after="210" w:line="360" w:lineRule="auto"/>
      </w:pPr>
      <w:r>
        <w:rPr>
          <w:rFonts w:ascii="inter" w:hAnsi="inter" w:eastAsia="inter" w:cs="inter"/>
          <w:color w:val="000000"/>
        </w:rPr>
        <w:t>机器学习和深度学习在材料元素配比优化中的应用代表了材料科学的范式转变，从"试错法"向"数据驱动设计"的转变已成为不可逆转的趋势。Materials Project、AFLOW、OQMD等基础设施的建立，以及GNN、生成模型等算法的快速迭代，为该领域的快速发展提供了坚实基础。</w:t>
      </w:r>
    </w:p>
    <w:p w14:paraId="397A23F8">
      <w:pPr>
        <w:spacing w:after="210" w:line="360" w:lineRule="auto"/>
      </w:pPr>
      <w:r>
        <w:rPr>
          <w:rFonts w:ascii="inter" w:hAnsi="inter" w:eastAsia="inter" w:cs="inter"/>
          <w:color w:val="000000"/>
        </w:rPr>
        <w:t>然而，从"成功的科学论文"到"工业级可靠产品"之间仍存在巨大的鸿沟。现阶段的关键瓶颈包括：数据质量与覆盖的根本局限、模型泛化能力的真实边界、合成性与工程可行性的难以预测性，以及产业化所需的跨学科整合与基础设施投资。</w:t>
      </w:r>
    </w:p>
    <w:p w14:paraId="70AE5CCF">
      <w:pPr>
        <w:spacing w:after="210" w:line="360" w:lineRule="auto"/>
      </w:pPr>
      <w:r>
        <w:rPr>
          <w:rFonts w:ascii="inter" w:hAnsi="inter" w:eastAsia="inter" w:cs="inter"/>
          <w:b/>
          <w:color w:val="000000"/>
        </w:rPr>
        <w:t>产业化可行性的分层判断</w:t>
      </w:r>
      <w:r>
        <w:rPr>
          <w:rFonts w:ascii="inter" w:hAnsi="inter" w:eastAsia="inter" w:cs="inter"/>
          <w:color w:val="000000"/>
        </w:rPr>
        <w:t>：</w:t>
      </w:r>
    </w:p>
    <w:p w14:paraId="50ED8393">
      <w:pPr>
        <w:numPr>
          <w:ilvl w:val="0"/>
          <w:numId w:val="65"/>
        </w:numPr>
        <w:spacing w:after="210" w:line="360" w:lineRule="auto"/>
      </w:pPr>
      <w:r>
        <w:rPr>
          <w:rFonts w:ascii="inter" w:hAnsi="inter" w:eastAsia="inter" w:cs="inter"/>
          <w:b/>
          <w:color w:val="000000"/>
          <w:sz w:val="21"/>
        </w:rPr>
        <w:t>高可行性领域</w:t>
      </w:r>
      <w:r>
        <w:rPr>
          <w:rFonts w:ascii="inter" w:hAnsi="inter" w:eastAsia="inter" w:cs="inter"/>
          <w:color w:val="000000"/>
          <w:sz w:val="21"/>
        </w:rPr>
        <w:t>（3-5年内可达产业部署）：高熵合金、已成熟的合金体系的性质优化、特定电池材料体系的正极设计</w:t>
      </w:r>
    </w:p>
    <w:p w14:paraId="126ABEF5">
      <w:pPr>
        <w:numPr>
          <w:ilvl w:val="0"/>
          <w:numId w:val="65"/>
        </w:numPr>
        <w:spacing w:after="210" w:line="360" w:lineRule="auto"/>
      </w:pPr>
      <w:r>
        <w:rPr>
          <w:rFonts w:ascii="inter" w:hAnsi="inter" w:eastAsia="inter" w:cs="inter"/>
          <w:b/>
          <w:color w:val="000000"/>
          <w:sz w:val="21"/>
        </w:rPr>
        <w:t>中可行性领域</w:t>
      </w:r>
      <w:r>
        <w:rPr>
          <w:rFonts w:ascii="inter" w:hAnsi="inter" w:eastAsia="inter" w:cs="inter"/>
          <w:color w:val="000000"/>
          <w:sz w:val="21"/>
        </w:rPr>
        <w:t>（5-10年内）：新型陶瓷材料的定向设计、多功能复合材料的配方优化、在专有工艺条件下的材料筛选</w:t>
      </w:r>
    </w:p>
    <w:p w14:paraId="4F6C1D05">
      <w:pPr>
        <w:numPr>
          <w:ilvl w:val="0"/>
          <w:numId w:val="65"/>
        </w:numPr>
        <w:spacing w:after="210" w:line="360" w:lineRule="auto"/>
      </w:pPr>
      <w:r>
        <w:rPr>
          <w:rFonts w:ascii="inter" w:hAnsi="inter" w:eastAsia="inter" w:cs="inter"/>
          <w:b/>
          <w:color w:val="000000"/>
          <w:sz w:val="21"/>
        </w:rPr>
        <w:t>低可行性领域</w:t>
      </w:r>
      <w:r>
        <w:rPr>
          <w:rFonts w:ascii="inter" w:hAnsi="inter" w:eastAsia="inter" w:cs="inter"/>
          <w:color w:val="000000"/>
          <w:sz w:val="21"/>
        </w:rPr>
        <w:t>（10年以上或需要突破性技术）：完全陌生化学空间的外推、完整工艺参数空间的同时优化、非平衡和亚稳态材料的可靠预测</w:t>
      </w:r>
    </w:p>
    <w:p w14:paraId="7064CA11">
      <w:pPr>
        <w:spacing w:after="210" w:line="360" w:lineRule="auto"/>
      </w:pPr>
      <w:r>
        <w:rPr>
          <w:rFonts w:ascii="inter" w:hAnsi="inter" w:eastAsia="inter" w:cs="inter"/>
          <w:color w:val="000000"/>
        </w:rPr>
        <w:t>最具战略意义的投资方向应当聚焦于：(1)多保真度数据的大规模收集与整合；(2)可解释与物理信息融合的模型设计；(3)产业级闭环实验平台的建立与标准化；(4)跨学科人才培养体系的完善。唯有在这些基础设施与能力建设上取得进展，AI驱动的材料发现才能真正实</w:t>
      </w:r>
      <w:bookmarkStart w:id="254" w:name="_GoBack"/>
      <w:bookmarkEnd w:id="254"/>
      <w:r>
        <w:rPr>
          <w:rFonts w:ascii="inter" w:hAnsi="inter" w:eastAsia="inter" w:cs="inter"/>
          <w:color w:val="000000"/>
        </w:rPr>
        <w:t>现从科学突破向产业创新的转化。</w:t>
      </w:r>
    </w:p>
    <w:p w14:paraId="7CCC1722">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69DA6CC9">
      <w:pPr>
        <w:spacing w:before="315" w:after="105" w:line="360" w:lineRule="auto"/>
        <w:ind w:left="-30"/>
        <w:jc w:val="left"/>
      </w:pPr>
      <w:bookmarkStart w:id="172" w:name="参考文献索引"/>
      <w:r>
        <w:rPr>
          <w:rFonts w:ascii="inter" w:hAnsi="inter" w:eastAsia="inter" w:cs="inter"/>
          <w:b/>
          <w:color w:val="000000"/>
          <w:sz w:val="24"/>
        </w:rPr>
        <w:t>参考文献索引</w:t>
      </w:r>
      <w:bookmarkEnd w:id="172"/>
    </w:p>
    <w:p w14:paraId="304880A8">
      <w:pPr>
        <w:spacing w:after="210" w:line="360" w:lineRule="auto"/>
      </w:pPr>
      <w:r>
        <w:rPr>
          <w:rFonts w:ascii="inter" w:hAnsi="inter" w:eastAsia="inter" w:cs="inter"/>
          <w:color w:val="000000"/>
        </w:rPr>
        <w:t>本报告共引用150余个权威来源，包括Nature、Science、ACS等顶级期刊论文，国家实验室技术报告，及行业分析报告，覆盖2015-2025年的最新研究进展。</w:t>
      </w:r>
      <w:r>
        <w:rPr>
          <w:rFonts w:ascii="inter" w:hAnsi="inter" w:eastAsia="inter" w:cs="inter"/>
          <w:color w:val="000000"/>
        </w:rPr>
        <w:br w:type="textWrapping"/>
      </w:r>
    </w:p>
    <w:p w14:paraId="22612706">
      <w:pPr>
        <w:spacing w:line="360" w:lineRule="auto"/>
      </w:pPr>
      <w:r>
        <w:rPr>
          <w:rFonts w:ascii="inter" w:hAnsi="inter" w:eastAsia="inter" w:cs="inter"/>
          <w:color w:val="000000"/>
        </w:rPr>
        <w:t>⁂</w:t>
      </w:r>
    </w:p>
    <w:p w14:paraId="7A48165E">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66C6483C">
      <w:pPr>
        <w:numPr>
          <w:ilvl w:val="0"/>
          <w:numId w:val="66"/>
        </w:numPr>
        <w:spacing w:after="210" w:line="360" w:lineRule="auto"/>
      </w:pPr>
      <w:bookmarkStart w:id="173" w:name="fn1"/>
      <w:bookmarkEnd w:id="173"/>
      <w:r>
        <w:fldChar w:fldCharType="begin"/>
      </w:r>
      <w:r>
        <w:instrText xml:space="preserve"> HYPERLINK "https://newscenter.lbl.gov/2023/11/29/google-deepmind-new-compounds-materials-project/" \h </w:instrText>
      </w:r>
      <w:r>
        <w:fldChar w:fldCharType="separate"/>
      </w:r>
      <w:r>
        <w:rPr>
          <w:rFonts w:ascii="inter" w:hAnsi="inter" w:eastAsia="inter" w:cs="inter"/>
          <w:color w:val="000000"/>
          <w:sz w:val="18"/>
          <w:u w:val="single"/>
        </w:rPr>
        <w:t>https://newscenter.lbl.gov/2023/11/29/google-deepmind-new-compounds-materials-project/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F22B38">
      <w:pPr>
        <w:numPr>
          <w:ilvl w:val="0"/>
          <w:numId w:val="66"/>
        </w:numPr>
        <w:spacing w:after="210" w:line="360" w:lineRule="auto"/>
      </w:pPr>
      <w:bookmarkStart w:id="174" w:name="fn2"/>
      <w:bookmarkEnd w:id="174"/>
      <w:r>
        <w:fldChar w:fldCharType="begin"/>
      </w:r>
      <w:r>
        <w:instrText xml:space="preserve"> HYPERLINK "https://www.sentisight.ai/ai-materials-discovery-gnome-changes-science/" \h </w:instrText>
      </w:r>
      <w:r>
        <w:fldChar w:fldCharType="separate"/>
      </w:r>
      <w:r>
        <w:rPr>
          <w:rFonts w:ascii="inter" w:hAnsi="inter" w:eastAsia="inter" w:cs="inter"/>
          <w:color w:val="000000"/>
          <w:sz w:val="18"/>
          <w:u w:val="single"/>
        </w:rPr>
        <w:t>https://www.sentisight.ai/ai-materials-discovery-gnome-changes-science/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C06C22">
      <w:pPr>
        <w:numPr>
          <w:ilvl w:val="0"/>
          <w:numId w:val="66"/>
        </w:numPr>
        <w:spacing w:after="210" w:line="360" w:lineRule="auto"/>
      </w:pPr>
      <w:bookmarkStart w:id="175" w:name="fn3"/>
      <w:bookmarkEnd w:id="175"/>
      <w:r>
        <w:fldChar w:fldCharType="begin"/>
      </w:r>
      <w:r>
        <w:instrText xml:space="preserve"> HYPERLINK "https://www.linkedin.com/news/story/ai-tool-discovers-22m-structures-5558185/" \h </w:instrText>
      </w:r>
      <w:r>
        <w:fldChar w:fldCharType="separate"/>
      </w:r>
      <w:r>
        <w:rPr>
          <w:rFonts w:ascii="inter" w:hAnsi="inter" w:eastAsia="inter" w:cs="inter"/>
          <w:color w:val="000000"/>
          <w:sz w:val="18"/>
          <w:u w:val="single"/>
        </w:rPr>
        <w:t>https://www.linkedin.com/news/story/ai-tool-discovers-22m-structures-5558185/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B8CA0D">
      <w:pPr>
        <w:numPr>
          <w:ilvl w:val="0"/>
          <w:numId w:val="66"/>
        </w:numPr>
        <w:spacing w:after="210" w:line="360" w:lineRule="auto"/>
      </w:pPr>
      <w:bookmarkStart w:id="176" w:name="fn4"/>
      <w:bookmarkEnd w:id="176"/>
      <w:r>
        <w:fldChar w:fldCharType="begin"/>
      </w:r>
      <w:r>
        <w:instrText xml:space="preserve"> HYPERLINK "https://www.nature.com/articles/s41586-025-08628-5" \h </w:instrText>
      </w:r>
      <w:r>
        <w:fldChar w:fldCharType="separate"/>
      </w:r>
      <w:r>
        <w:rPr>
          <w:rFonts w:ascii="inter" w:hAnsi="inter" w:eastAsia="inter" w:cs="inter"/>
          <w:color w:val="000000"/>
          <w:sz w:val="18"/>
          <w:u w:val="single"/>
        </w:rPr>
        <w:t>https://www.nature.com/articles/s41586-025-08628-5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BF1093">
      <w:pPr>
        <w:numPr>
          <w:ilvl w:val="0"/>
          <w:numId w:val="66"/>
        </w:numPr>
        <w:spacing w:after="210" w:line="360" w:lineRule="auto"/>
      </w:pPr>
      <w:bookmarkStart w:id="177" w:name="fn5"/>
      <w:bookmarkEnd w:id="177"/>
      <w:r>
        <w:fldChar w:fldCharType="begin"/>
      </w:r>
      <w:r>
        <w:instrText xml:space="preserve"> HYPERLINK "https://www.microsoft.com/en-us/research/publication/mattergen-a-generative-model-for-inorganic-materials-design/" \h </w:instrText>
      </w:r>
      <w:r>
        <w:fldChar w:fldCharType="separate"/>
      </w:r>
      <w:r>
        <w:rPr>
          <w:rFonts w:ascii="inter" w:hAnsi="inter" w:eastAsia="inter" w:cs="inter"/>
          <w:color w:val="000000"/>
          <w:sz w:val="18"/>
          <w:u w:val="single"/>
        </w:rPr>
        <w:t>https://www.microsoft.com/en-us/research/publication/mattergen-a-generative-model-for-inorganic-materials-design/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1E71D5">
      <w:pPr>
        <w:numPr>
          <w:ilvl w:val="0"/>
          <w:numId w:val="66"/>
        </w:numPr>
        <w:spacing w:after="210" w:line="360" w:lineRule="auto"/>
      </w:pPr>
      <w:bookmarkStart w:id="178" w:name="fn6"/>
      <w:bookmarkEnd w:id="178"/>
      <w:r>
        <w:fldChar w:fldCharType="begin"/>
      </w:r>
      <w:r>
        <w:instrText xml:space="preserve"> HYPERLINK "https://www.oaepublish.com/articles/jmi.2024.108" \h </w:instrText>
      </w:r>
      <w:r>
        <w:fldChar w:fldCharType="separate"/>
      </w:r>
      <w:r>
        <w:rPr>
          <w:rFonts w:ascii="inter" w:hAnsi="inter" w:eastAsia="inter" w:cs="inter"/>
          <w:color w:val="000000"/>
          <w:sz w:val="18"/>
          <w:u w:val="single"/>
        </w:rPr>
        <w:t>https://www.oaepublish.com/articles/jmi.2024.108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ACC681">
      <w:pPr>
        <w:numPr>
          <w:ilvl w:val="0"/>
          <w:numId w:val="66"/>
        </w:numPr>
        <w:spacing w:after="210" w:line="360" w:lineRule="auto"/>
      </w:pPr>
      <w:bookmarkStart w:id="179" w:name="fn7"/>
      <w:bookmarkEnd w:id="179"/>
      <w:r>
        <w:fldChar w:fldCharType="begin"/>
      </w:r>
      <w:r>
        <w:instrText xml:space="preserve"> HYPERLINK "https://www.nature.com/articles/s41524-022-00926-0" \h </w:instrText>
      </w:r>
      <w:r>
        <w:fldChar w:fldCharType="separate"/>
      </w:r>
      <w:r>
        <w:rPr>
          <w:rFonts w:ascii="inter" w:hAnsi="inter" w:eastAsia="inter" w:cs="inter"/>
          <w:color w:val="000000"/>
          <w:sz w:val="18"/>
          <w:u w:val="single"/>
        </w:rPr>
        <w:t>https://www.nature.com/articles/s41524-022-00926-0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3B334A">
      <w:pPr>
        <w:numPr>
          <w:ilvl w:val="0"/>
          <w:numId w:val="66"/>
        </w:numPr>
        <w:spacing w:after="210" w:line="360" w:lineRule="auto"/>
      </w:pPr>
      <w:bookmarkStart w:id="180" w:name="fn8"/>
      <w:bookmarkEnd w:id="180"/>
      <w:r>
        <w:fldChar w:fldCharType="begin"/>
      </w:r>
      <w:r>
        <w:instrText xml:space="preserve"> HYPERLINK "https://pubs.rsc.org/en/content/articlehtml/2025/ta/d5ta00982k" \h </w:instrText>
      </w:r>
      <w:r>
        <w:fldChar w:fldCharType="separate"/>
      </w:r>
      <w:r>
        <w:rPr>
          <w:rFonts w:ascii="inter" w:hAnsi="inter" w:eastAsia="inter" w:cs="inter"/>
          <w:color w:val="000000"/>
          <w:sz w:val="18"/>
          <w:u w:val="single"/>
        </w:rPr>
        <w:t>https://pubs.rsc.org/en/content/articlehtml/2025/ta/d5ta00982k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EB7DE6">
      <w:pPr>
        <w:numPr>
          <w:ilvl w:val="0"/>
          <w:numId w:val="66"/>
        </w:numPr>
        <w:spacing w:after="210" w:line="360" w:lineRule="auto"/>
      </w:pPr>
      <w:bookmarkStart w:id="181" w:name="fn9"/>
      <w:bookmarkEnd w:id="181"/>
      <w:r>
        <w:fldChar w:fldCharType="begin"/>
      </w:r>
      <w:r>
        <w:instrText xml:space="preserve"> HYPERLINK "https://escholarship.org/content/qt6qv9r31x/qt6qv9r31x.pdf" \h </w:instrText>
      </w:r>
      <w:r>
        <w:fldChar w:fldCharType="separate"/>
      </w:r>
      <w:r>
        <w:rPr>
          <w:rFonts w:ascii="inter" w:hAnsi="inter" w:eastAsia="inter" w:cs="inter"/>
          <w:color w:val="000000"/>
          <w:sz w:val="18"/>
          <w:u w:val="single"/>
        </w:rPr>
        <w:t>https://escholarship.org/content/qt6qv9r31x/qt6qv9r31x.pdf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D47F11">
      <w:pPr>
        <w:numPr>
          <w:ilvl w:val="0"/>
          <w:numId w:val="66"/>
        </w:numPr>
        <w:spacing w:after="210" w:line="360" w:lineRule="auto"/>
      </w:pPr>
      <w:bookmarkStart w:id="182" w:name="fn10"/>
      <w:bookmarkEnd w:id="182"/>
      <w:r>
        <w:fldChar w:fldCharType="begin"/>
      </w:r>
      <w:r>
        <w:instrText xml:space="preserve"> HYPERLINK "https://computron.github.io/docs/Jain_CV_web.pdf" \h </w:instrText>
      </w:r>
      <w:r>
        <w:fldChar w:fldCharType="separate"/>
      </w:r>
      <w:r>
        <w:rPr>
          <w:rFonts w:ascii="inter" w:hAnsi="inter" w:eastAsia="inter" w:cs="inter"/>
          <w:color w:val="000000"/>
          <w:sz w:val="18"/>
          <w:u w:val="single"/>
        </w:rPr>
        <w:t>https://computron.github.io/docs/Jain_CV_web.pdf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F7844A">
      <w:pPr>
        <w:numPr>
          <w:ilvl w:val="0"/>
          <w:numId w:val="66"/>
        </w:numPr>
        <w:spacing w:after="210" w:line="360" w:lineRule="auto"/>
      </w:pPr>
      <w:bookmarkStart w:id="183" w:name="fn11"/>
      <w:bookmarkEnd w:id="183"/>
      <w:r>
        <w:fldChar w:fldCharType="begin"/>
      </w:r>
      <w:r>
        <w:instrText xml:space="preserve"> HYPERLINK "https://www.youtube.com/watch?v=m_o-tptCjAg" \h </w:instrText>
      </w:r>
      <w:r>
        <w:fldChar w:fldCharType="separate"/>
      </w:r>
      <w:r>
        <w:rPr>
          <w:rFonts w:ascii="inter" w:hAnsi="inter" w:eastAsia="inter" w:cs="inter"/>
          <w:color w:val="000000"/>
          <w:sz w:val="18"/>
          <w:u w:val="single"/>
        </w:rPr>
        <w:t>https://www.youtube.com/watch?v=m_o-tptCjAg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493481">
      <w:pPr>
        <w:numPr>
          <w:ilvl w:val="0"/>
          <w:numId w:val="66"/>
        </w:numPr>
        <w:spacing w:after="210" w:line="360" w:lineRule="auto"/>
      </w:pPr>
      <w:bookmarkStart w:id="184" w:name="fn12"/>
      <w:bookmarkEnd w:id="184"/>
      <w:r>
        <w:fldChar w:fldCharType="begin"/>
      </w:r>
      <w:r>
        <w:instrText xml:space="preserve"> HYPERLINK "https://aithermworkshop.nd.edu/speakers/anubhav-jain/" \h </w:instrText>
      </w:r>
      <w:r>
        <w:fldChar w:fldCharType="separate"/>
      </w:r>
      <w:r>
        <w:rPr>
          <w:rFonts w:ascii="inter" w:hAnsi="inter" w:eastAsia="inter" w:cs="inter"/>
          <w:color w:val="000000"/>
          <w:sz w:val="18"/>
          <w:u w:val="single"/>
        </w:rPr>
        <w:t>https://aithermworkshop.nd.edu/speakers/anubhav-jain/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DF60D2">
      <w:pPr>
        <w:numPr>
          <w:ilvl w:val="0"/>
          <w:numId w:val="66"/>
        </w:numPr>
        <w:spacing w:after="210" w:line="360" w:lineRule="auto"/>
      </w:pPr>
      <w:bookmarkStart w:id="185" w:name="fn13"/>
      <w:bookmarkEnd w:id="185"/>
      <w:r>
        <w:fldChar w:fldCharType="begin"/>
      </w:r>
      <w:r>
        <w:instrText xml:space="preserve"> HYPERLINK "https://hackingmaterials.lbl.gov" \h </w:instrText>
      </w:r>
      <w:r>
        <w:fldChar w:fldCharType="separate"/>
      </w:r>
      <w:r>
        <w:rPr>
          <w:rFonts w:ascii="inter" w:hAnsi="inter" w:eastAsia="inter" w:cs="inter"/>
          <w:color w:val="000000"/>
          <w:sz w:val="18"/>
          <w:u w:val="single"/>
        </w:rPr>
        <w:t>https://hackingmaterials.lbl.gov</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FA0BA9">
      <w:pPr>
        <w:numPr>
          <w:ilvl w:val="0"/>
          <w:numId w:val="66"/>
        </w:numPr>
        <w:spacing w:after="210" w:line="360" w:lineRule="auto"/>
      </w:pPr>
      <w:bookmarkStart w:id="186" w:name="fn14"/>
      <w:bookmarkEnd w:id="186"/>
      <w:r>
        <w:fldChar w:fldCharType="begin"/>
      </w:r>
      <w:r>
        <w:instrText xml:space="preserve"> HYPERLINK "https://www.nature.com/articles/npjcompumats201510" \h </w:instrText>
      </w:r>
      <w:r>
        <w:fldChar w:fldCharType="separate"/>
      </w:r>
      <w:r>
        <w:rPr>
          <w:rFonts w:ascii="inter" w:hAnsi="inter" w:eastAsia="inter" w:cs="inter"/>
          <w:color w:val="000000"/>
          <w:sz w:val="18"/>
          <w:u w:val="single"/>
        </w:rPr>
        <w:t>https://www.nature.com/articles/npjcompumats201510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8FC2F8">
      <w:pPr>
        <w:numPr>
          <w:ilvl w:val="0"/>
          <w:numId w:val="66"/>
        </w:numPr>
        <w:spacing w:after="210" w:line="360" w:lineRule="auto"/>
      </w:pPr>
      <w:bookmarkStart w:id="187" w:name="fn15"/>
      <w:bookmarkEnd w:id="187"/>
      <w:r>
        <w:fldChar w:fldCharType="begin"/>
      </w:r>
      <w:r>
        <w:instrText xml:space="preserve"> HYPERLINK "https://en.wikipedia.org/wiki/Chris_Wolverton" \h </w:instrText>
      </w:r>
      <w:r>
        <w:fldChar w:fldCharType="separate"/>
      </w:r>
      <w:r>
        <w:rPr>
          <w:rFonts w:ascii="inter" w:hAnsi="inter" w:eastAsia="inter" w:cs="inter"/>
          <w:color w:val="000000"/>
          <w:sz w:val="18"/>
          <w:u w:val="single"/>
        </w:rPr>
        <w:t>https://en.wikipedia.org/wiki/Chris_Wolverton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1AF87B">
      <w:pPr>
        <w:numPr>
          <w:ilvl w:val="0"/>
          <w:numId w:val="66"/>
        </w:numPr>
        <w:spacing w:after="210" w:line="360" w:lineRule="auto"/>
      </w:pPr>
      <w:bookmarkStart w:id="188" w:name="fn16"/>
      <w:bookmarkEnd w:id="188"/>
      <w:r>
        <w:fldChar w:fldCharType="begin"/>
      </w:r>
      <w:r>
        <w:instrText xml:space="preserve"> HYPERLINK "https://www.sciencedirect.com/science/article/abs/pii/S0927025615004292" \h </w:instrText>
      </w:r>
      <w:r>
        <w:fldChar w:fldCharType="separate"/>
      </w:r>
      <w:r>
        <w:rPr>
          <w:rFonts w:ascii="inter" w:hAnsi="inter" w:eastAsia="inter" w:cs="inter"/>
          <w:color w:val="000000"/>
          <w:sz w:val="18"/>
          <w:u w:val="single"/>
        </w:rPr>
        <w:t>https://www.sciencedirect.com/science/article/abs/pii/S0927025615004292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89AB87">
      <w:pPr>
        <w:numPr>
          <w:ilvl w:val="0"/>
          <w:numId w:val="66"/>
        </w:numPr>
        <w:spacing w:after="210" w:line="360" w:lineRule="auto"/>
      </w:pPr>
      <w:bookmarkStart w:id="189" w:name="fn17"/>
      <w:bookmarkEnd w:id="189"/>
      <w:r>
        <w:fldChar w:fldCharType="begin"/>
      </w:r>
      <w:r>
        <w:instrText xml:space="preserve"> HYPERLINK "https://www.mccormick.northwestern.edu/news/articles/2025/11/wolverton-selected-to-receive-2025-mrs-materials-theory-award/" \h </w:instrText>
      </w:r>
      <w:r>
        <w:fldChar w:fldCharType="separate"/>
      </w:r>
      <w:r>
        <w:rPr>
          <w:rFonts w:ascii="inter" w:hAnsi="inter" w:eastAsia="inter" w:cs="inter"/>
          <w:color w:val="000000"/>
          <w:sz w:val="18"/>
          <w:u w:val="single"/>
        </w:rPr>
        <w:t>https://www.mccormick.northwestern.edu/news/articles/2025/11/wolverton-selected-to-receive-2025-mrs-materials-theory-award/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528949">
      <w:pPr>
        <w:numPr>
          <w:ilvl w:val="0"/>
          <w:numId w:val="66"/>
        </w:numPr>
        <w:spacing w:after="210" w:line="360" w:lineRule="auto"/>
      </w:pPr>
      <w:bookmarkStart w:id="190" w:name="fn18"/>
      <w:bookmarkEnd w:id="190"/>
      <w:r>
        <w:fldChar w:fldCharType="begin"/>
      </w:r>
      <w:r>
        <w:instrText xml:space="preserve"> HYPERLINK "https://en.wikipedia.org/wiki/Shyue_Ping_Ong" \h </w:instrText>
      </w:r>
      <w:r>
        <w:fldChar w:fldCharType="separate"/>
      </w:r>
      <w:r>
        <w:rPr>
          <w:rFonts w:ascii="inter" w:hAnsi="inter" w:eastAsia="inter" w:cs="inter"/>
          <w:color w:val="000000"/>
          <w:sz w:val="18"/>
          <w:u w:val="single"/>
        </w:rPr>
        <w:t>https://en.wikipedia.org/wiki/Shyue_Ping_Ong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13D73A">
      <w:pPr>
        <w:numPr>
          <w:ilvl w:val="0"/>
          <w:numId w:val="66"/>
        </w:numPr>
        <w:spacing w:after="210" w:line="360" w:lineRule="auto"/>
      </w:pPr>
      <w:bookmarkStart w:id="191" w:name="fn19"/>
      <w:bookmarkEnd w:id="191"/>
      <w:r>
        <w:fldChar w:fldCharType="begin"/>
      </w:r>
      <w:r>
        <w:instrText xml:space="preserve"> HYPERLINK "https://ccam.uci.edu/people/shyue-ping-ong/" \h </w:instrText>
      </w:r>
      <w:r>
        <w:fldChar w:fldCharType="separate"/>
      </w:r>
      <w:r>
        <w:rPr>
          <w:rFonts w:ascii="inter" w:hAnsi="inter" w:eastAsia="inter" w:cs="inter"/>
          <w:color w:val="000000"/>
          <w:sz w:val="18"/>
          <w:u w:val="single"/>
        </w:rPr>
        <w:t>https://ccam.uci.edu/people/shyue-ping-ong/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E3EDA4">
      <w:pPr>
        <w:numPr>
          <w:ilvl w:val="0"/>
          <w:numId w:val="66"/>
        </w:numPr>
        <w:spacing w:after="210" w:line="360" w:lineRule="auto"/>
      </w:pPr>
      <w:bookmarkStart w:id="192" w:name="fn20"/>
      <w:bookmarkEnd w:id="192"/>
      <w:r>
        <w:fldChar w:fldCharType="begin"/>
      </w:r>
      <w:r>
        <w:instrText xml:space="preserve"> HYPERLINK "https://coreyoses.com/publications/10.1007_978-3-319-42913-7_63-2.pdf" \h </w:instrText>
      </w:r>
      <w:r>
        <w:fldChar w:fldCharType="separate"/>
      </w:r>
      <w:r>
        <w:rPr>
          <w:rFonts w:ascii="inter" w:hAnsi="inter" w:eastAsia="inter" w:cs="inter"/>
          <w:color w:val="000000"/>
          <w:sz w:val="18"/>
          <w:u w:val="single"/>
        </w:rPr>
        <w:t>https://coreyoses.com/publications/10.1007_978-3-319-42913-7_63-2.pdf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5ED9D2">
      <w:pPr>
        <w:numPr>
          <w:ilvl w:val="0"/>
          <w:numId w:val="66"/>
        </w:numPr>
        <w:spacing w:after="210" w:line="360" w:lineRule="auto"/>
      </w:pPr>
      <w:bookmarkStart w:id="193" w:name="fn21"/>
      <w:bookmarkEnd w:id="193"/>
      <w:r>
        <w:fldChar w:fldCharType="begin"/>
      </w:r>
      <w:r>
        <w:instrText xml:space="preserve"> HYPERLINK "https://www.nature.com/articles/s41586-023-06735-9" \h </w:instrText>
      </w:r>
      <w:r>
        <w:fldChar w:fldCharType="separate"/>
      </w:r>
      <w:r>
        <w:rPr>
          <w:rFonts w:ascii="inter" w:hAnsi="inter" w:eastAsia="inter" w:cs="inter"/>
          <w:color w:val="000000"/>
          <w:sz w:val="18"/>
          <w:u w:val="single"/>
        </w:rPr>
        <w:t>https://www.nature.com/articles/s41586-023-06735-9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B3AB47">
      <w:pPr>
        <w:numPr>
          <w:ilvl w:val="0"/>
          <w:numId w:val="66"/>
        </w:numPr>
        <w:spacing w:after="210" w:line="360" w:lineRule="auto"/>
      </w:pPr>
      <w:bookmarkStart w:id="194" w:name="fn22"/>
      <w:bookmarkEnd w:id="194"/>
      <w:r>
        <w:fldChar w:fldCharType="begin"/>
      </w:r>
      <w:r>
        <w:instrText xml:space="preserve"> HYPERLINK "https://www.iop.cas.cn/xwzx/kydt/202510/P020251113378898649957.pdf" \h </w:instrText>
      </w:r>
      <w:r>
        <w:fldChar w:fldCharType="separate"/>
      </w:r>
      <w:r>
        <w:rPr>
          <w:rFonts w:ascii="inter" w:hAnsi="inter" w:eastAsia="inter" w:cs="inter"/>
          <w:color w:val="000000"/>
          <w:sz w:val="18"/>
          <w:u w:val="single"/>
        </w:rPr>
        <w:t>https://www.iop.cas.cn/xwzx/kydt/202510/P020251113378898649957.pdf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86F064">
      <w:pPr>
        <w:numPr>
          <w:ilvl w:val="0"/>
          <w:numId w:val="66"/>
        </w:numPr>
        <w:spacing w:after="210" w:line="360" w:lineRule="auto"/>
      </w:pPr>
      <w:bookmarkStart w:id="195" w:name="fn23"/>
      <w:bookmarkEnd w:id="195"/>
      <w:r>
        <w:fldChar w:fldCharType="begin"/>
      </w:r>
      <w:r>
        <w:instrText xml:space="preserve"> HYPERLINK "https://iccms.jlu.edu.cn/info/1037/1221.htm" \h </w:instrText>
      </w:r>
      <w:r>
        <w:fldChar w:fldCharType="separate"/>
      </w:r>
      <w:r>
        <w:rPr>
          <w:rFonts w:ascii="inter" w:hAnsi="inter" w:eastAsia="inter" w:cs="inter"/>
          <w:color w:val="000000"/>
          <w:sz w:val="18"/>
          <w:u w:val="single"/>
        </w:rPr>
        <w:t>https://iccms.jlu.edu.cn/info/1037/1221.htm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F6EB9D">
      <w:pPr>
        <w:numPr>
          <w:ilvl w:val="0"/>
          <w:numId w:val="66"/>
        </w:numPr>
        <w:spacing w:after="210" w:line="360" w:lineRule="auto"/>
      </w:pPr>
      <w:bookmarkStart w:id="196" w:name="fn24"/>
      <w:bookmarkEnd w:id="196"/>
      <w:r>
        <w:fldChar w:fldCharType="begin"/>
      </w:r>
      <w:r>
        <w:instrText xml:space="preserve"> HYPERLINK "https://www.nature.com/articles/s41524-021-00650-1" \h </w:instrText>
      </w:r>
      <w:r>
        <w:fldChar w:fldCharType="separate"/>
      </w:r>
      <w:r>
        <w:rPr>
          <w:rFonts w:ascii="inter" w:hAnsi="inter" w:eastAsia="inter" w:cs="inter"/>
          <w:color w:val="000000"/>
          <w:sz w:val="18"/>
          <w:u w:val="single"/>
        </w:rPr>
        <w:t>https://www.nature.com/articles/s41524-021-00650-1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C83FA7">
      <w:pPr>
        <w:numPr>
          <w:ilvl w:val="0"/>
          <w:numId w:val="66"/>
        </w:numPr>
        <w:spacing w:after="210" w:line="360" w:lineRule="auto"/>
      </w:pPr>
      <w:bookmarkStart w:id="197" w:name="fn25"/>
      <w:bookmarkEnd w:id="197"/>
      <w:r>
        <w:fldChar w:fldCharType="begin"/>
      </w:r>
      <w:r>
        <w:instrText xml:space="preserve"> HYPERLINK "https://www.science.org/doi/10.1126/sciadv.adi3245" \h </w:instrText>
      </w:r>
      <w:r>
        <w:fldChar w:fldCharType="separate"/>
      </w:r>
      <w:r>
        <w:rPr>
          <w:rFonts w:ascii="inter" w:hAnsi="inter" w:eastAsia="inter" w:cs="inter"/>
          <w:color w:val="000000"/>
          <w:sz w:val="18"/>
          <w:u w:val="single"/>
        </w:rPr>
        <w:t>https://www.science.org/doi/10.1126/sciadv.adi3245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CC4B34">
      <w:pPr>
        <w:numPr>
          <w:ilvl w:val="0"/>
          <w:numId w:val="66"/>
        </w:numPr>
        <w:spacing w:after="210" w:line="360" w:lineRule="auto"/>
      </w:pPr>
      <w:bookmarkStart w:id="198" w:name="fn26"/>
      <w:bookmarkEnd w:id="198"/>
      <w:r>
        <w:fldChar w:fldCharType="begin"/>
      </w:r>
      <w:r>
        <w:instrText xml:space="preserve"> HYPERLINK "https://pubs.acs.org/doi/abs/10.1021/acs.jcim.3c00916" \h </w:instrText>
      </w:r>
      <w:r>
        <w:fldChar w:fldCharType="separate"/>
      </w:r>
      <w:r>
        <w:rPr>
          <w:rFonts w:ascii="inter" w:hAnsi="inter" w:eastAsia="inter" w:cs="inter"/>
          <w:color w:val="000000"/>
          <w:sz w:val="18"/>
          <w:u w:val="single"/>
        </w:rPr>
        <w:t>https://pubs.acs.org/doi/abs/10.1021/acs.jcim.3c00916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A0872E">
      <w:pPr>
        <w:numPr>
          <w:ilvl w:val="0"/>
          <w:numId w:val="66"/>
        </w:numPr>
        <w:spacing w:after="210" w:line="360" w:lineRule="auto"/>
      </w:pPr>
      <w:bookmarkStart w:id="199" w:name="fn27"/>
      <w:bookmarkEnd w:id="199"/>
      <w:r>
        <w:fldChar w:fldCharType="begin"/>
      </w:r>
      <w:r>
        <w:instrText xml:space="preserve"> HYPERLINK "https://pubs.acs.org/doi/full/10.1021/acs.jctc.5c00143" \h </w:instrText>
      </w:r>
      <w:r>
        <w:fldChar w:fldCharType="separate"/>
      </w:r>
      <w:r>
        <w:rPr>
          <w:rFonts w:ascii="inter" w:hAnsi="inter" w:eastAsia="inter" w:cs="inter"/>
          <w:color w:val="000000"/>
          <w:sz w:val="18"/>
          <w:u w:val="single"/>
        </w:rPr>
        <w:t>https://pubs.acs.org/doi/full/10.1021/acs.jctc.5c00143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EF3BAC">
      <w:pPr>
        <w:numPr>
          <w:ilvl w:val="0"/>
          <w:numId w:val="66"/>
        </w:numPr>
        <w:spacing w:after="210" w:line="360" w:lineRule="auto"/>
      </w:pPr>
      <w:bookmarkStart w:id="200" w:name="fn28"/>
      <w:bookmarkEnd w:id="200"/>
      <w:r>
        <w:fldChar w:fldCharType="begin"/>
      </w:r>
      <w:r>
        <w:instrText xml:space="preserve"> HYPERLINK "https://en.wikipedia.org/wiki/Materials_Project" \h </w:instrText>
      </w:r>
      <w:r>
        <w:fldChar w:fldCharType="separate"/>
      </w:r>
      <w:r>
        <w:rPr>
          <w:rFonts w:ascii="inter" w:hAnsi="inter" w:eastAsia="inter" w:cs="inter"/>
          <w:color w:val="000000"/>
          <w:sz w:val="18"/>
          <w:u w:val="single"/>
        </w:rPr>
        <w:t>https://en.wikipedia.org/wiki/Materials_Project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780DB0">
      <w:pPr>
        <w:numPr>
          <w:ilvl w:val="0"/>
          <w:numId w:val="66"/>
        </w:numPr>
        <w:spacing w:after="210" w:line="360" w:lineRule="auto"/>
      </w:pPr>
      <w:bookmarkStart w:id="201" w:name="fn29"/>
      <w:bookmarkEnd w:id="201"/>
      <w:r>
        <w:fldChar w:fldCharType="begin"/>
      </w:r>
      <w:r>
        <w:instrText xml:space="preserve"> HYPERLINK "https://docs.materialsproject.org/changes/database-versions" \h </w:instrText>
      </w:r>
      <w:r>
        <w:fldChar w:fldCharType="separate"/>
      </w:r>
      <w:r>
        <w:rPr>
          <w:rFonts w:ascii="inter" w:hAnsi="inter" w:eastAsia="inter" w:cs="inter"/>
          <w:color w:val="000000"/>
          <w:sz w:val="18"/>
          <w:u w:val="single"/>
        </w:rPr>
        <w:t>https://docs.materialsproject.org/changes/database-versions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3EA2CD">
      <w:pPr>
        <w:numPr>
          <w:ilvl w:val="0"/>
          <w:numId w:val="66"/>
        </w:numPr>
        <w:spacing w:after="210" w:line="360" w:lineRule="auto"/>
      </w:pPr>
      <w:bookmarkStart w:id="202" w:name="fn30"/>
      <w:bookmarkEnd w:id="202"/>
      <w:r>
        <w:fldChar w:fldCharType="begin"/>
      </w:r>
      <w:r>
        <w:instrText xml:space="preserve"> HYPERLINK "https://pmc.ncbi.nlm.nih.gov/articles/PMC12397313/" \h </w:instrText>
      </w:r>
      <w:r>
        <w:fldChar w:fldCharType="separate"/>
      </w:r>
      <w:r>
        <w:rPr>
          <w:rFonts w:ascii="inter" w:hAnsi="inter" w:eastAsia="inter" w:cs="inter"/>
          <w:color w:val="000000"/>
          <w:sz w:val="18"/>
          <w:u w:val="single"/>
        </w:rPr>
        <w:t>https://pmc.ncbi.nlm.nih.gov/articles/PMC12397313/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4D5504">
      <w:pPr>
        <w:numPr>
          <w:ilvl w:val="0"/>
          <w:numId w:val="66"/>
        </w:numPr>
        <w:spacing w:after="210" w:line="360" w:lineRule="auto"/>
      </w:pPr>
      <w:bookmarkStart w:id="203" w:name="fn31"/>
      <w:bookmarkEnd w:id="203"/>
      <w:r>
        <w:fldChar w:fldCharType="begin"/>
      </w:r>
      <w:r>
        <w:instrText xml:space="preserve"> HYPERLINK "https://nomad-lab.eu/nomad-lab/nomad.html" \h </w:instrText>
      </w:r>
      <w:r>
        <w:fldChar w:fldCharType="separate"/>
      </w:r>
      <w:r>
        <w:rPr>
          <w:rFonts w:ascii="inter" w:hAnsi="inter" w:eastAsia="inter" w:cs="inter"/>
          <w:color w:val="000000"/>
          <w:sz w:val="18"/>
          <w:u w:val="single"/>
        </w:rPr>
        <w:t>https://nomad-lab.eu/nomad-lab/nomad.html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8BCD6F">
      <w:pPr>
        <w:numPr>
          <w:ilvl w:val="0"/>
          <w:numId w:val="66"/>
        </w:numPr>
        <w:spacing w:after="210" w:line="360" w:lineRule="auto"/>
      </w:pPr>
      <w:bookmarkStart w:id="204" w:name="fn32"/>
      <w:bookmarkEnd w:id="204"/>
      <w:r>
        <w:fldChar w:fldCharType="begin"/>
      </w:r>
      <w:r>
        <w:instrText xml:space="preserve"> HYPERLINK "https://arxiv.org/html/2511.01790v1" \h </w:instrText>
      </w:r>
      <w:r>
        <w:fldChar w:fldCharType="separate"/>
      </w:r>
      <w:r>
        <w:rPr>
          <w:rFonts w:ascii="inter" w:hAnsi="inter" w:eastAsia="inter" w:cs="inter"/>
          <w:color w:val="000000"/>
          <w:sz w:val="18"/>
          <w:u w:val="single"/>
        </w:rPr>
        <w:t>https://arxiv.org/html/2511.01790v1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BCE5FB">
      <w:pPr>
        <w:numPr>
          <w:ilvl w:val="0"/>
          <w:numId w:val="66"/>
        </w:numPr>
        <w:spacing w:after="210" w:line="360" w:lineRule="auto"/>
      </w:pPr>
      <w:bookmarkStart w:id="205" w:name="fn33"/>
      <w:bookmarkEnd w:id="205"/>
      <w:r>
        <w:fldChar w:fldCharType="begin"/>
      </w:r>
      <w:r>
        <w:instrText xml:space="preserve"> HYPERLINK "https://par.nsf.gov/servlets/purl/10318113" \h </w:instrText>
      </w:r>
      <w:r>
        <w:fldChar w:fldCharType="separate"/>
      </w:r>
      <w:r>
        <w:rPr>
          <w:rFonts w:ascii="inter" w:hAnsi="inter" w:eastAsia="inter" w:cs="inter"/>
          <w:color w:val="000000"/>
          <w:sz w:val="18"/>
          <w:u w:val="single"/>
        </w:rPr>
        <w:t>https://par.nsf.gov/servlets/purl/10318113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7CEC2E">
      <w:pPr>
        <w:numPr>
          <w:ilvl w:val="0"/>
          <w:numId w:val="66"/>
        </w:numPr>
        <w:spacing w:after="210" w:line="360" w:lineRule="auto"/>
      </w:pPr>
      <w:bookmarkStart w:id="206" w:name="fn34"/>
      <w:bookmarkEnd w:id="206"/>
      <w:r>
        <w:fldChar w:fldCharType="begin"/>
      </w:r>
      <w:r>
        <w:instrText xml:space="preserve"> HYPERLINK "https://pmc.ncbi.nlm.nih.gov/articles/PMC11782585/" \h </w:instrText>
      </w:r>
      <w:r>
        <w:fldChar w:fldCharType="separate"/>
      </w:r>
      <w:r>
        <w:rPr>
          <w:rFonts w:ascii="inter" w:hAnsi="inter" w:eastAsia="inter" w:cs="inter"/>
          <w:color w:val="000000"/>
          <w:sz w:val="18"/>
          <w:u w:val="single"/>
        </w:rPr>
        <w:t>https://pmc.ncbi.nlm.nih.gov/articles/PMC11782585/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1F56CC">
      <w:pPr>
        <w:numPr>
          <w:ilvl w:val="0"/>
          <w:numId w:val="66"/>
        </w:numPr>
        <w:spacing w:after="210" w:line="360" w:lineRule="auto"/>
      </w:pPr>
      <w:bookmarkStart w:id="207" w:name="fn35"/>
      <w:bookmarkEnd w:id="207"/>
      <w:r>
        <w:fldChar w:fldCharType="begin"/>
      </w:r>
      <w:r>
        <w:instrText xml:space="preserve"> HYPERLINK "https://arxiv.org/html/2503.03360v3" \h </w:instrText>
      </w:r>
      <w:r>
        <w:fldChar w:fldCharType="separate"/>
      </w:r>
      <w:r>
        <w:rPr>
          <w:rFonts w:ascii="inter" w:hAnsi="inter" w:eastAsia="inter" w:cs="inter"/>
          <w:color w:val="000000"/>
          <w:sz w:val="18"/>
          <w:u w:val="single"/>
        </w:rPr>
        <w:t>https://arxiv.org/html/2503.03360v3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7CB96B">
      <w:pPr>
        <w:numPr>
          <w:ilvl w:val="0"/>
          <w:numId w:val="66"/>
        </w:numPr>
        <w:spacing w:after="210" w:line="360" w:lineRule="auto"/>
      </w:pPr>
      <w:bookmarkStart w:id="208" w:name="fn36"/>
      <w:bookmarkEnd w:id="208"/>
      <w:r>
        <w:fldChar w:fldCharType="begin"/>
      </w:r>
      <w:r>
        <w:instrText xml:space="preserve"> HYPERLINK "https://www.nature.com/articles/s41524-025-01536-2" \h </w:instrText>
      </w:r>
      <w:r>
        <w:fldChar w:fldCharType="separate"/>
      </w:r>
      <w:r>
        <w:rPr>
          <w:rFonts w:ascii="inter" w:hAnsi="inter" w:eastAsia="inter" w:cs="inter"/>
          <w:color w:val="000000"/>
          <w:sz w:val="18"/>
          <w:u w:val="single"/>
        </w:rPr>
        <w:t>https://www.nature.com/articles/s41524-025-01536-2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473D3D">
      <w:pPr>
        <w:numPr>
          <w:ilvl w:val="0"/>
          <w:numId w:val="66"/>
        </w:numPr>
        <w:spacing w:after="210" w:line="360" w:lineRule="auto"/>
      </w:pPr>
      <w:bookmarkStart w:id="209" w:name="fn37"/>
      <w:bookmarkEnd w:id="209"/>
      <w:r>
        <w:fldChar w:fldCharType="begin"/>
      </w:r>
      <w:r>
        <w:instrText xml:space="preserve"> HYPERLINK "https://www.nature.com/articles/s41467-024-46276-x" \h </w:instrText>
      </w:r>
      <w:r>
        <w:fldChar w:fldCharType="separate"/>
      </w:r>
      <w:r>
        <w:rPr>
          <w:rFonts w:ascii="inter" w:hAnsi="inter" w:eastAsia="inter" w:cs="inter"/>
          <w:color w:val="000000"/>
          <w:sz w:val="18"/>
          <w:u w:val="single"/>
        </w:rPr>
        <w:t>https://www.nature.com/articles/s41467-024-46276-x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B598C4">
      <w:pPr>
        <w:numPr>
          <w:ilvl w:val="0"/>
          <w:numId w:val="66"/>
        </w:numPr>
        <w:spacing w:after="210" w:line="360" w:lineRule="auto"/>
      </w:pPr>
      <w:bookmarkStart w:id="210" w:name="fn38"/>
      <w:bookmarkEnd w:id="210"/>
      <w:r>
        <w:fldChar w:fldCharType="begin"/>
      </w:r>
      <w:r>
        <w:instrText xml:space="preserve"> HYPERLINK "https://pubs.rsc.org/en/content/articlehtml/2024/dd/d3dd00137g" \h </w:instrText>
      </w:r>
      <w:r>
        <w:fldChar w:fldCharType="separate"/>
      </w:r>
      <w:r>
        <w:rPr>
          <w:rFonts w:ascii="inter" w:hAnsi="inter" w:eastAsia="inter" w:cs="inter"/>
          <w:color w:val="000000"/>
          <w:sz w:val="18"/>
          <w:u w:val="single"/>
        </w:rPr>
        <w:t>https://pubs.rsc.org/en/content/articlehtml/2024/dd/d3dd00137g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71071B">
      <w:pPr>
        <w:numPr>
          <w:ilvl w:val="0"/>
          <w:numId w:val="66"/>
        </w:numPr>
        <w:spacing w:after="210" w:line="360" w:lineRule="auto"/>
      </w:pPr>
      <w:bookmarkStart w:id="211" w:name="fn39"/>
      <w:bookmarkEnd w:id="211"/>
      <w:r>
        <w:fldChar w:fldCharType="begin"/>
      </w:r>
      <w:r>
        <w:instrText xml:space="preserve"> HYPERLINK "https://arxiv.org/html/2505.00076v1" \h </w:instrText>
      </w:r>
      <w:r>
        <w:fldChar w:fldCharType="separate"/>
      </w:r>
      <w:r>
        <w:rPr>
          <w:rFonts w:ascii="inter" w:hAnsi="inter" w:eastAsia="inter" w:cs="inter"/>
          <w:color w:val="000000"/>
          <w:sz w:val="18"/>
          <w:u w:val="single"/>
        </w:rPr>
        <w:t>https://arxiv.org/html/2505.00076v1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4EF013">
      <w:pPr>
        <w:numPr>
          <w:ilvl w:val="0"/>
          <w:numId w:val="66"/>
        </w:numPr>
        <w:spacing w:after="210" w:line="360" w:lineRule="auto"/>
      </w:pPr>
      <w:bookmarkStart w:id="212" w:name="fn40"/>
      <w:bookmarkEnd w:id="212"/>
      <w:r>
        <w:fldChar w:fldCharType="begin"/>
      </w:r>
      <w:r>
        <w:instrText xml:space="preserve"> HYPERLINK "https://www.nature.com/articles/s41524-020-00352-0" \h </w:instrText>
      </w:r>
      <w:r>
        <w:fldChar w:fldCharType="separate"/>
      </w:r>
      <w:r>
        <w:rPr>
          <w:rFonts w:ascii="inter" w:hAnsi="inter" w:eastAsia="inter" w:cs="inter"/>
          <w:color w:val="000000"/>
          <w:sz w:val="18"/>
          <w:u w:val="single"/>
        </w:rPr>
        <w:t>https://www.nature.com/articles/s41524-020-00352-0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66B6C8">
      <w:pPr>
        <w:numPr>
          <w:ilvl w:val="0"/>
          <w:numId w:val="66"/>
        </w:numPr>
        <w:spacing w:after="210" w:line="360" w:lineRule="auto"/>
      </w:pPr>
      <w:bookmarkStart w:id="213" w:name="fn41"/>
      <w:bookmarkEnd w:id="213"/>
      <w:r>
        <w:fldChar w:fldCharType="begin"/>
      </w:r>
      <w:r>
        <w:instrText xml:space="preserve"> HYPERLINK "https://pmc.ncbi.nlm.nih.gov/articles/PMC7699297/" \h </w:instrText>
      </w:r>
      <w:r>
        <w:fldChar w:fldCharType="separate"/>
      </w:r>
      <w:r>
        <w:rPr>
          <w:rFonts w:ascii="inter" w:hAnsi="inter" w:eastAsia="inter" w:cs="inter"/>
          <w:color w:val="000000"/>
          <w:sz w:val="18"/>
          <w:u w:val="single"/>
        </w:rPr>
        <w:t>https://pmc.ncbi.nlm.nih.gov/articles/PMC7699297/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5BC47C">
      <w:pPr>
        <w:numPr>
          <w:ilvl w:val="0"/>
          <w:numId w:val="66"/>
        </w:numPr>
        <w:spacing w:after="210" w:line="360" w:lineRule="auto"/>
      </w:pPr>
      <w:bookmarkStart w:id="214" w:name="fn42"/>
      <w:bookmarkEnd w:id="214"/>
      <w:r>
        <w:fldChar w:fldCharType="begin"/>
      </w:r>
      <w:r>
        <w:instrText xml:space="preserve"> HYPERLINK "https://www.frontiersin.org/journals/environmental-science/articles/10.3389/fenvs.2024.1464241/full" \h </w:instrText>
      </w:r>
      <w:r>
        <w:fldChar w:fldCharType="separate"/>
      </w:r>
      <w:r>
        <w:rPr>
          <w:rFonts w:ascii="inter" w:hAnsi="inter" w:eastAsia="inter" w:cs="inter"/>
          <w:color w:val="000000"/>
          <w:sz w:val="18"/>
          <w:u w:val="single"/>
        </w:rPr>
        <w:t>https://www.frontiersin.org/journals/environmental-science/articles/10.3389/fenvs.2024.1464241/full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1487C0">
      <w:pPr>
        <w:numPr>
          <w:ilvl w:val="0"/>
          <w:numId w:val="66"/>
        </w:numPr>
        <w:spacing w:after="210" w:line="360" w:lineRule="auto"/>
      </w:pPr>
      <w:bookmarkStart w:id="215" w:name="fn43"/>
      <w:bookmarkEnd w:id="215"/>
      <w:r>
        <w:fldChar w:fldCharType="begin"/>
      </w:r>
      <w:r>
        <w:instrText xml:space="preserve"> HYPERLINK "https://pmc.ncbi.nlm.nih.gov/articles/PMC8192505/" \h </w:instrText>
      </w:r>
      <w:r>
        <w:fldChar w:fldCharType="separate"/>
      </w:r>
      <w:r>
        <w:rPr>
          <w:rFonts w:ascii="inter" w:hAnsi="inter" w:eastAsia="inter" w:cs="inter"/>
          <w:color w:val="000000"/>
          <w:sz w:val="18"/>
          <w:u w:val="single"/>
        </w:rPr>
        <w:t>https://pmc.ncbi.nlm.nih.gov/articles/PMC8192505/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7E18AA">
      <w:pPr>
        <w:numPr>
          <w:ilvl w:val="0"/>
          <w:numId w:val="66"/>
        </w:numPr>
        <w:spacing w:after="210" w:line="360" w:lineRule="auto"/>
      </w:pPr>
      <w:bookmarkStart w:id="216" w:name="fn44"/>
      <w:bookmarkEnd w:id="216"/>
      <w:r>
        <w:fldChar w:fldCharType="begin"/>
      </w:r>
      <w:r>
        <w:instrText xml:space="preserve"> HYPERLINK "https://www.nature.com/articles/s41598-024-61189-x" \h </w:instrText>
      </w:r>
      <w:r>
        <w:fldChar w:fldCharType="separate"/>
      </w:r>
      <w:r>
        <w:rPr>
          <w:rFonts w:ascii="inter" w:hAnsi="inter" w:eastAsia="inter" w:cs="inter"/>
          <w:color w:val="000000"/>
          <w:sz w:val="18"/>
          <w:u w:val="single"/>
        </w:rPr>
        <w:t>https://www.nature.com/articles/s41598-024-61189-x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C801CC">
      <w:pPr>
        <w:numPr>
          <w:ilvl w:val="0"/>
          <w:numId w:val="66"/>
        </w:numPr>
        <w:spacing w:after="210" w:line="360" w:lineRule="auto"/>
      </w:pPr>
      <w:bookmarkStart w:id="217" w:name="fn45"/>
      <w:bookmarkEnd w:id="217"/>
      <w:r>
        <w:fldChar w:fldCharType="begin"/>
      </w:r>
      <w:r>
        <w:instrText xml:space="preserve"> HYPERLINK "https://www.nature.com/articles/s41524-023-01114-4" \h </w:instrText>
      </w:r>
      <w:r>
        <w:fldChar w:fldCharType="separate"/>
      </w:r>
      <w:r>
        <w:rPr>
          <w:rFonts w:ascii="inter" w:hAnsi="inter" w:eastAsia="inter" w:cs="inter"/>
          <w:color w:val="000000"/>
          <w:sz w:val="18"/>
          <w:u w:val="single"/>
        </w:rPr>
        <w:t>https://www.nature.com/articles/s41524-023-01114-4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401AA5">
      <w:pPr>
        <w:numPr>
          <w:ilvl w:val="0"/>
          <w:numId w:val="66"/>
        </w:numPr>
        <w:spacing w:after="210" w:line="360" w:lineRule="auto"/>
      </w:pPr>
      <w:bookmarkStart w:id="218" w:name="fn46"/>
      <w:bookmarkEnd w:id="218"/>
      <w:r>
        <w:fldChar w:fldCharType="begin"/>
      </w:r>
      <w:r>
        <w:instrText xml:space="preserve"> HYPERLINK "https://www.osti.gov/servlets/purl/1839689" \h </w:instrText>
      </w:r>
      <w:r>
        <w:fldChar w:fldCharType="separate"/>
      </w:r>
      <w:r>
        <w:rPr>
          <w:rFonts w:ascii="inter" w:hAnsi="inter" w:eastAsia="inter" w:cs="inter"/>
          <w:color w:val="000000"/>
          <w:sz w:val="18"/>
          <w:u w:val="single"/>
        </w:rPr>
        <w:t>https://www.osti.gov/servlets/purl/1839689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69D9CE">
      <w:pPr>
        <w:numPr>
          <w:ilvl w:val="0"/>
          <w:numId w:val="66"/>
        </w:numPr>
        <w:spacing w:after="210" w:line="360" w:lineRule="auto"/>
      </w:pPr>
      <w:bookmarkStart w:id="219" w:name="fn47"/>
      <w:bookmarkEnd w:id="219"/>
      <w:r>
        <w:fldChar w:fldCharType="begin"/>
      </w:r>
      <w:r>
        <w:instrText xml:space="preserve"> HYPERLINK "https://www.sciencedirect.com/science/article/abs/pii/S2589597420303178" \h </w:instrText>
      </w:r>
      <w:r>
        <w:fldChar w:fldCharType="separate"/>
      </w:r>
      <w:r>
        <w:rPr>
          <w:rFonts w:ascii="inter" w:hAnsi="inter" w:eastAsia="inter" w:cs="inter"/>
          <w:color w:val="000000"/>
          <w:sz w:val="18"/>
          <w:u w:val="single"/>
        </w:rPr>
        <w:t>https://www.sciencedirect.com/science/article/abs/pii/S2589597420303178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D3F9E3">
      <w:pPr>
        <w:numPr>
          <w:ilvl w:val="0"/>
          <w:numId w:val="66"/>
        </w:numPr>
        <w:spacing w:after="210" w:line="360" w:lineRule="auto"/>
      </w:pPr>
      <w:bookmarkStart w:id="220" w:name="fn48"/>
      <w:bookmarkEnd w:id="220"/>
      <w:r>
        <w:fldChar w:fldCharType="begin"/>
      </w:r>
      <w:r>
        <w:instrText xml:space="preserve"> HYPERLINK "https://pubs.acs.org/doi/10.1021/accountsmr.1c00244" \h </w:instrText>
      </w:r>
      <w:r>
        <w:fldChar w:fldCharType="separate"/>
      </w:r>
      <w:r>
        <w:rPr>
          <w:rFonts w:ascii="inter" w:hAnsi="inter" w:eastAsia="inter" w:cs="inter"/>
          <w:color w:val="000000"/>
          <w:sz w:val="18"/>
          <w:u w:val="single"/>
        </w:rPr>
        <w:t>https://pubs.acs.org/doi/10.1021/accountsmr.1c00244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B10309">
      <w:pPr>
        <w:numPr>
          <w:ilvl w:val="0"/>
          <w:numId w:val="66"/>
        </w:numPr>
        <w:spacing w:after="210" w:line="360" w:lineRule="auto"/>
      </w:pPr>
      <w:bookmarkStart w:id="221" w:name="fn49"/>
      <w:bookmarkEnd w:id="221"/>
      <w:r>
        <w:fldChar w:fldCharType="begin"/>
      </w:r>
      <w:r>
        <w:instrText xml:space="preserve"> HYPERLINK "https://pmc.ncbi.nlm.nih.gov/articles/PMC11873011/" \h </w:instrText>
      </w:r>
      <w:r>
        <w:fldChar w:fldCharType="separate"/>
      </w:r>
      <w:r>
        <w:rPr>
          <w:rFonts w:ascii="inter" w:hAnsi="inter" w:eastAsia="inter" w:cs="inter"/>
          <w:color w:val="000000"/>
          <w:sz w:val="18"/>
          <w:u w:val="single"/>
        </w:rPr>
        <w:t>https://pmc.ncbi.nlm.nih.gov/articles/PMC11873011/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B98167">
      <w:pPr>
        <w:numPr>
          <w:ilvl w:val="0"/>
          <w:numId w:val="66"/>
        </w:numPr>
        <w:spacing w:after="210" w:line="360" w:lineRule="auto"/>
      </w:pPr>
      <w:bookmarkStart w:id="222" w:name="fn50"/>
      <w:bookmarkEnd w:id="222"/>
      <w:r>
        <w:fldChar w:fldCharType="begin"/>
      </w:r>
      <w:r>
        <w:instrText xml:space="preserve"> HYPERLINK "https://www.nature.com/articles/s43246-024-00731-w" \h </w:instrText>
      </w:r>
      <w:r>
        <w:fldChar w:fldCharType="separate"/>
      </w:r>
      <w:r>
        <w:rPr>
          <w:rFonts w:ascii="inter" w:hAnsi="inter" w:eastAsia="inter" w:cs="inter"/>
          <w:color w:val="000000"/>
          <w:sz w:val="18"/>
          <w:u w:val="single"/>
        </w:rPr>
        <w:t>https://www.nature.com/articles/s43246-024-00731-w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4C1F4A">
      <w:pPr>
        <w:numPr>
          <w:ilvl w:val="0"/>
          <w:numId w:val="66"/>
        </w:numPr>
        <w:spacing w:after="210" w:line="360" w:lineRule="auto"/>
      </w:pPr>
      <w:bookmarkStart w:id="223" w:name="fn51"/>
      <w:bookmarkEnd w:id="223"/>
      <w:r>
        <w:fldChar w:fldCharType="begin"/>
      </w:r>
      <w:r>
        <w:instrText xml:space="preserve"> HYPERLINK "https://matlantis.com/en/resources/blog/dft-software/" \h </w:instrText>
      </w:r>
      <w:r>
        <w:fldChar w:fldCharType="separate"/>
      </w:r>
      <w:r>
        <w:rPr>
          <w:rFonts w:ascii="inter" w:hAnsi="inter" w:eastAsia="inter" w:cs="inter"/>
          <w:color w:val="000000"/>
          <w:sz w:val="18"/>
          <w:u w:val="single"/>
        </w:rPr>
        <w:t>https://matlantis.com/en/resources/blog/dft-software/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ED8455">
      <w:pPr>
        <w:numPr>
          <w:ilvl w:val="0"/>
          <w:numId w:val="66"/>
        </w:numPr>
        <w:spacing w:after="210" w:line="360" w:lineRule="auto"/>
      </w:pPr>
      <w:bookmarkStart w:id="224" w:name="fn52"/>
      <w:bookmarkEnd w:id="224"/>
      <w:r>
        <w:fldChar w:fldCharType="begin"/>
      </w:r>
      <w:r>
        <w:instrText xml:space="preserve"> HYPERLINK "https://www.ideals.illinois.edu/items/133312/bitstreams/441157/data.pdf" \h </w:instrText>
      </w:r>
      <w:r>
        <w:fldChar w:fldCharType="separate"/>
      </w:r>
      <w:r>
        <w:rPr>
          <w:rFonts w:ascii="inter" w:hAnsi="inter" w:eastAsia="inter" w:cs="inter"/>
          <w:color w:val="000000"/>
          <w:sz w:val="18"/>
          <w:u w:val="single"/>
        </w:rPr>
        <w:t>https://www.ideals.illinois.edu/items/133312/bitstreams/441157/data.pdf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DCC92C">
      <w:pPr>
        <w:numPr>
          <w:ilvl w:val="0"/>
          <w:numId w:val="66"/>
        </w:numPr>
        <w:spacing w:after="210" w:line="360" w:lineRule="auto"/>
      </w:pPr>
      <w:bookmarkStart w:id="225" w:name="fn53"/>
      <w:bookmarkEnd w:id="225"/>
      <w:r>
        <w:fldChar w:fldCharType="begin"/>
      </w:r>
      <w:r>
        <w:instrText xml:space="preserve"> HYPERLINK "https://www.forbes.com/sites/gauravsharma/2025/12/08/could-ai-driven-materials-discovery-be-the-next-big-investment-boom/" \h </w:instrText>
      </w:r>
      <w:r>
        <w:fldChar w:fldCharType="separate"/>
      </w:r>
      <w:r>
        <w:rPr>
          <w:rFonts w:ascii="inter" w:hAnsi="inter" w:eastAsia="inter" w:cs="inter"/>
          <w:color w:val="000000"/>
          <w:sz w:val="18"/>
          <w:u w:val="single"/>
        </w:rPr>
        <w:t>https://www.forbes.com/sites/gauravsharma/2025/12/08/could-ai-driven-materials-discovery-be-the-next-big-investment-boom/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A8E3CC">
      <w:pPr>
        <w:numPr>
          <w:ilvl w:val="0"/>
          <w:numId w:val="66"/>
        </w:numPr>
        <w:spacing w:after="210" w:line="360" w:lineRule="auto"/>
      </w:pPr>
      <w:bookmarkStart w:id="226" w:name="fn54"/>
      <w:bookmarkEnd w:id="226"/>
      <w:r>
        <w:fldChar w:fldCharType="begin"/>
      </w:r>
      <w:r>
        <w:instrText xml:space="preserve"> HYPERLINK "https://www.microsoft.com/en-us/research/story/ai-meets-materials-discovery/" \h </w:instrText>
      </w:r>
      <w:r>
        <w:fldChar w:fldCharType="separate"/>
      </w:r>
      <w:r>
        <w:rPr>
          <w:rFonts w:ascii="inter" w:hAnsi="inter" w:eastAsia="inter" w:cs="inter"/>
          <w:color w:val="000000"/>
          <w:sz w:val="18"/>
          <w:u w:val="single"/>
        </w:rPr>
        <w:t>https://www.microsoft.com/en-us/research/story/ai-meets-materials-discovery/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5376D0">
      <w:pPr>
        <w:numPr>
          <w:ilvl w:val="0"/>
          <w:numId w:val="66"/>
        </w:numPr>
        <w:spacing w:after="210" w:line="360" w:lineRule="auto"/>
      </w:pPr>
      <w:bookmarkStart w:id="227" w:name="fn55"/>
      <w:bookmarkEnd w:id="227"/>
      <w:r>
        <w:fldChar w:fldCharType="begin"/>
      </w:r>
      <w:r>
        <w:instrText xml:space="preserve"> HYPERLINK "https://pubs.acs.org/doi/full/10.1021/acs.jcim.4c01689" \h </w:instrText>
      </w:r>
      <w:r>
        <w:fldChar w:fldCharType="separate"/>
      </w:r>
      <w:r>
        <w:rPr>
          <w:rFonts w:ascii="inter" w:hAnsi="inter" w:eastAsia="inter" w:cs="inter"/>
          <w:color w:val="000000"/>
          <w:sz w:val="18"/>
          <w:u w:val="single"/>
        </w:rPr>
        <w:t>https://pubs.acs.org/doi/full/10.1021/acs.jcim.4c01689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1A955D">
      <w:pPr>
        <w:numPr>
          <w:ilvl w:val="0"/>
          <w:numId w:val="66"/>
        </w:numPr>
        <w:spacing w:after="210" w:line="360" w:lineRule="auto"/>
      </w:pPr>
      <w:bookmarkStart w:id="228" w:name="fn56"/>
      <w:bookmarkEnd w:id="228"/>
      <w:r>
        <w:fldChar w:fldCharType="begin"/>
      </w:r>
      <w:r>
        <w:instrText xml:space="preserve"> HYPERLINK "https://pubs.aip.org/aip/adv/article/14/5/055033/3295158/SA-GNN-Prediction-of-material-properties-using" \h </w:instrText>
      </w:r>
      <w:r>
        <w:fldChar w:fldCharType="separate"/>
      </w:r>
      <w:r>
        <w:rPr>
          <w:rFonts w:ascii="inter" w:hAnsi="inter" w:eastAsia="inter" w:cs="inter"/>
          <w:color w:val="000000"/>
          <w:sz w:val="18"/>
          <w:u w:val="single"/>
        </w:rPr>
        <w:t>https://pubs.aip.org/aip/adv/article/14/5/055033/3295158/SA-GNN-Prediction-of-material-properties-using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A5ED11">
      <w:pPr>
        <w:numPr>
          <w:ilvl w:val="0"/>
          <w:numId w:val="66"/>
        </w:numPr>
        <w:spacing w:after="210" w:line="360" w:lineRule="auto"/>
      </w:pPr>
      <w:bookmarkStart w:id="229" w:name="fn57"/>
      <w:bookmarkEnd w:id="229"/>
      <w:r>
        <w:fldChar w:fldCharType="begin"/>
      </w:r>
      <w:r>
        <w:instrText xml:space="preserve"> HYPERLINK "https://pmc.ncbi.nlm.nih.gov/articles/PMC10637739/" \h </w:instrText>
      </w:r>
      <w:r>
        <w:fldChar w:fldCharType="separate"/>
      </w:r>
      <w:r>
        <w:rPr>
          <w:rFonts w:ascii="inter" w:hAnsi="inter" w:eastAsia="inter" w:cs="inter"/>
          <w:color w:val="000000"/>
          <w:sz w:val="18"/>
          <w:u w:val="single"/>
        </w:rPr>
        <w:t>https://pmc.ncbi.nlm.nih.gov/articles/PMC10637739/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C8EDB0">
      <w:pPr>
        <w:numPr>
          <w:ilvl w:val="0"/>
          <w:numId w:val="66"/>
        </w:numPr>
        <w:spacing w:after="210" w:line="360" w:lineRule="auto"/>
      </w:pPr>
      <w:bookmarkStart w:id="230" w:name="fn58"/>
      <w:bookmarkEnd w:id="230"/>
      <w:r>
        <w:fldChar w:fldCharType="begin"/>
      </w:r>
      <w:r>
        <w:instrText xml:space="preserve"> HYPERLINK "https://arxiv.org/pdf/2306.08383.pdf" \h </w:instrText>
      </w:r>
      <w:r>
        <w:fldChar w:fldCharType="separate"/>
      </w:r>
      <w:r>
        <w:rPr>
          <w:rFonts w:ascii="inter" w:hAnsi="inter" w:eastAsia="inter" w:cs="inter"/>
          <w:color w:val="000000"/>
          <w:sz w:val="18"/>
          <w:u w:val="single"/>
        </w:rPr>
        <w:t>https://arxiv.org/pdf/2306.08383.pdf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E9F92B">
      <w:pPr>
        <w:numPr>
          <w:ilvl w:val="0"/>
          <w:numId w:val="66"/>
        </w:numPr>
        <w:spacing w:after="210" w:line="360" w:lineRule="auto"/>
      </w:pPr>
      <w:bookmarkStart w:id="231" w:name="fn59"/>
      <w:bookmarkEnd w:id="231"/>
      <w:r>
        <w:fldChar w:fldCharType="begin"/>
      </w:r>
      <w:r>
        <w:instrText xml:space="preserve"> HYPERLINK "https://www.oaepublish.com/articles/jmi.2024.18" \h </w:instrText>
      </w:r>
      <w:r>
        <w:fldChar w:fldCharType="separate"/>
      </w:r>
      <w:r>
        <w:rPr>
          <w:rFonts w:ascii="inter" w:hAnsi="inter" w:eastAsia="inter" w:cs="inter"/>
          <w:color w:val="000000"/>
          <w:sz w:val="18"/>
          <w:u w:val="single"/>
        </w:rPr>
        <w:t>https://www.oaepublish.com/articles/jmi.2024.18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D19D9C">
      <w:pPr>
        <w:numPr>
          <w:ilvl w:val="0"/>
          <w:numId w:val="66"/>
        </w:numPr>
        <w:spacing w:after="210" w:line="360" w:lineRule="auto"/>
      </w:pPr>
      <w:bookmarkStart w:id="232" w:name="fn60"/>
      <w:bookmarkEnd w:id="232"/>
      <w:r>
        <w:fldChar w:fldCharType="begin"/>
      </w:r>
      <w:r>
        <w:instrText xml:space="preserve"> HYPERLINK "https://www.sciencedirect.com/science/article/pii/S0264127524008281" \h </w:instrText>
      </w:r>
      <w:r>
        <w:fldChar w:fldCharType="separate"/>
      </w:r>
      <w:r>
        <w:rPr>
          <w:rFonts w:ascii="inter" w:hAnsi="inter" w:eastAsia="inter" w:cs="inter"/>
          <w:color w:val="000000"/>
          <w:sz w:val="18"/>
          <w:u w:val="single"/>
        </w:rPr>
        <w:t>https://www.sciencedirect.com/science/article/pii/S0264127524008281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6A5338">
      <w:pPr>
        <w:numPr>
          <w:ilvl w:val="0"/>
          <w:numId w:val="66"/>
        </w:numPr>
        <w:spacing w:after="210" w:line="360" w:lineRule="auto"/>
      </w:pPr>
      <w:bookmarkStart w:id="233" w:name="fn61"/>
      <w:bookmarkEnd w:id="233"/>
      <w:r>
        <w:fldChar w:fldCharType="begin"/>
      </w:r>
      <w:r>
        <w:instrText xml:space="preserve"> HYPERLINK "https://link.aps.org/doi/10.1103/PhysRevMaterials.7.053805" \h </w:instrText>
      </w:r>
      <w:r>
        <w:fldChar w:fldCharType="separate"/>
      </w:r>
      <w:r>
        <w:rPr>
          <w:rFonts w:ascii="inter" w:hAnsi="inter" w:eastAsia="inter" w:cs="inter"/>
          <w:color w:val="000000"/>
          <w:sz w:val="18"/>
          <w:u w:val="single"/>
        </w:rPr>
        <w:t>https://link.aps.org/doi/10.1103/PhysRevMaterials.7.053805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13535F">
      <w:pPr>
        <w:numPr>
          <w:ilvl w:val="0"/>
          <w:numId w:val="66"/>
        </w:numPr>
        <w:spacing w:after="210" w:line="360" w:lineRule="auto"/>
      </w:pPr>
      <w:bookmarkStart w:id="234" w:name="fn62"/>
      <w:bookmarkEnd w:id="234"/>
      <w:r>
        <w:fldChar w:fldCharType="begin"/>
      </w:r>
      <w:r>
        <w:instrText xml:space="preserve"> HYPERLINK "https://arxiv.org/abs/2007.01988" \h </w:instrText>
      </w:r>
      <w:r>
        <w:fldChar w:fldCharType="separate"/>
      </w:r>
      <w:r>
        <w:rPr>
          <w:rFonts w:ascii="inter" w:hAnsi="inter" w:eastAsia="inter" w:cs="inter"/>
          <w:color w:val="000000"/>
          <w:sz w:val="18"/>
          <w:u w:val="single"/>
        </w:rPr>
        <w:t>https://arxiv.org/abs/2007.01988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40F787">
      <w:pPr>
        <w:numPr>
          <w:ilvl w:val="0"/>
          <w:numId w:val="66"/>
        </w:numPr>
        <w:spacing w:after="210" w:line="360" w:lineRule="auto"/>
      </w:pPr>
      <w:bookmarkStart w:id="235" w:name="fn63"/>
      <w:bookmarkEnd w:id="235"/>
      <w:r>
        <w:fldChar w:fldCharType="begin"/>
      </w:r>
      <w:r>
        <w:instrText xml:space="preserve"> HYPERLINK "http://www.mccormick.northwestern.edu/research-faculty/directory/profiles/wolverton-chris.html" \h </w:instrText>
      </w:r>
      <w:r>
        <w:fldChar w:fldCharType="separate"/>
      </w:r>
      <w:r>
        <w:rPr>
          <w:rFonts w:ascii="inter" w:hAnsi="inter" w:eastAsia="inter" w:cs="inter"/>
          <w:color w:val="000000"/>
          <w:sz w:val="18"/>
          <w:u w:val="single"/>
        </w:rPr>
        <w:t>http://www.mccormick.northwestern.edu/research-faculty/directory/profiles/wolverton-chris.html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0AC291">
      <w:pPr>
        <w:numPr>
          <w:ilvl w:val="0"/>
          <w:numId w:val="66"/>
        </w:numPr>
        <w:spacing w:after="210" w:line="360" w:lineRule="auto"/>
      </w:pPr>
      <w:bookmarkStart w:id="236" w:name="fn64"/>
      <w:bookmarkEnd w:id="236"/>
      <w:r>
        <w:fldChar w:fldCharType="begin"/>
      </w:r>
      <w:r>
        <w:instrText xml:space="preserve"> HYPERLINK "http://scholar.google.com/citations?user=L3fXIPsAAAAJ&amp;hl=zh-CN" \h </w:instrText>
      </w:r>
      <w:r>
        <w:fldChar w:fldCharType="separate"/>
      </w:r>
      <w:r>
        <w:rPr>
          <w:rFonts w:ascii="inter" w:hAnsi="inter" w:eastAsia="inter" w:cs="inter"/>
          <w:color w:val="000000"/>
          <w:sz w:val="18"/>
          <w:u w:val="single"/>
        </w:rPr>
        <w:t>http://scholar.google.com/citations?user=L3fXIPsAAAAJ&amp;hl=zh-CN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4DFBAC">
      <w:pPr>
        <w:numPr>
          <w:ilvl w:val="0"/>
          <w:numId w:val="66"/>
        </w:numPr>
        <w:spacing w:after="210" w:line="360" w:lineRule="auto"/>
      </w:pPr>
      <w:bookmarkStart w:id="237" w:name="fn65"/>
      <w:bookmarkEnd w:id="237"/>
      <w:r>
        <w:fldChar w:fldCharType="begin"/>
      </w:r>
      <w:r>
        <w:instrText xml:space="preserve"> HYPERLINK "https://scholar.google.com/citations?user=BfiQq-4AAAAJ&amp;hl=en" \h </w:instrText>
      </w:r>
      <w:r>
        <w:fldChar w:fldCharType="separate"/>
      </w:r>
      <w:r>
        <w:rPr>
          <w:rFonts w:ascii="inter" w:hAnsi="inter" w:eastAsia="inter" w:cs="inter"/>
          <w:color w:val="000000"/>
          <w:sz w:val="18"/>
          <w:u w:val="single"/>
        </w:rPr>
        <w:t>https://scholar.google.com/citations?user=BfiQq-4AAAAJ&amp;hl=en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B05804">
      <w:pPr>
        <w:numPr>
          <w:ilvl w:val="0"/>
          <w:numId w:val="66"/>
        </w:numPr>
        <w:spacing w:after="210" w:line="360" w:lineRule="auto"/>
      </w:pPr>
      <w:bookmarkStart w:id="238" w:name="fn66"/>
      <w:bookmarkEnd w:id="238"/>
      <w:r>
        <w:fldChar w:fldCharType="begin"/>
      </w:r>
      <w:r>
        <w:instrText xml:space="preserve"> HYPERLINK "https://www.sciencedirect.com/author/57200581837/jian-lv" \h </w:instrText>
      </w:r>
      <w:r>
        <w:fldChar w:fldCharType="separate"/>
      </w:r>
      <w:r>
        <w:rPr>
          <w:rFonts w:ascii="inter" w:hAnsi="inter" w:eastAsia="inter" w:cs="inter"/>
          <w:color w:val="000000"/>
          <w:sz w:val="18"/>
          <w:u w:val="single"/>
        </w:rPr>
        <w:t>https://www.sciencedirect.com/author/57200581837/jian-lv</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8A0FB2">
      <w:pPr>
        <w:numPr>
          <w:ilvl w:val="0"/>
          <w:numId w:val="66"/>
        </w:numPr>
        <w:spacing w:after="210" w:line="360" w:lineRule="auto"/>
      </w:pPr>
      <w:bookmarkStart w:id="239" w:name="fn67"/>
      <w:bookmarkEnd w:id="239"/>
      <w:r>
        <w:fldChar w:fldCharType="begin"/>
      </w:r>
      <w:r>
        <w:instrText xml:space="preserve"> HYPERLINK "https://chemrxiv.org/engage/api-gateway/chemrxiv/assets/orp/resource/item/63694d64fbfd387c25d2d395/original/generative-adversarial-networks-and-diffusion-models-in-material-discovery.pdf" \h </w:instrText>
      </w:r>
      <w:r>
        <w:fldChar w:fldCharType="separate"/>
      </w:r>
      <w:r>
        <w:rPr>
          <w:rFonts w:ascii="inter" w:hAnsi="inter" w:eastAsia="inter" w:cs="inter"/>
          <w:color w:val="000000"/>
          <w:sz w:val="18"/>
          <w:u w:val="single"/>
        </w:rPr>
        <w:t>https://chemrxiv.org/engage/api-gateway/chemrxiv/assets/orp/resource/item/63694d64fbfd387c25d2d395/original/generative-adversarial-networks-and-diffusion-models-in-material-discovery.pdf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6D6767">
      <w:pPr>
        <w:numPr>
          <w:ilvl w:val="0"/>
          <w:numId w:val="66"/>
        </w:numPr>
        <w:spacing w:after="210" w:line="360" w:lineRule="auto"/>
      </w:pPr>
      <w:bookmarkStart w:id="240" w:name="fn68"/>
      <w:bookmarkEnd w:id="240"/>
      <w:r>
        <w:fldChar w:fldCharType="begin"/>
      </w:r>
      <w:r>
        <w:instrText xml:space="preserve"> HYPERLINK "https://arxiv.org/abs/2503.18975" \h </w:instrText>
      </w:r>
      <w:r>
        <w:fldChar w:fldCharType="separate"/>
      </w:r>
      <w:r>
        <w:rPr>
          <w:rFonts w:ascii="inter" w:hAnsi="inter" w:eastAsia="inter" w:cs="inter"/>
          <w:color w:val="000000"/>
          <w:sz w:val="18"/>
          <w:u w:val="single"/>
        </w:rPr>
        <w:t>https://arxiv.org/abs/2503.18975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87162D">
      <w:pPr>
        <w:numPr>
          <w:ilvl w:val="0"/>
          <w:numId w:val="66"/>
        </w:numPr>
        <w:spacing w:after="210" w:line="360" w:lineRule="auto"/>
      </w:pPr>
      <w:bookmarkStart w:id="241" w:name="fn69"/>
      <w:bookmarkEnd w:id="241"/>
      <w:r>
        <w:fldChar w:fldCharType="begin"/>
      </w:r>
      <w:r>
        <w:instrText xml:space="preserve"> HYPERLINK "https://link.aps.org/doi/10.1103/PhysRevB.102.035203" \h </w:instrText>
      </w:r>
      <w:r>
        <w:fldChar w:fldCharType="separate"/>
      </w:r>
      <w:r>
        <w:rPr>
          <w:rFonts w:ascii="inter" w:hAnsi="inter" w:eastAsia="inter" w:cs="inter"/>
          <w:color w:val="000000"/>
          <w:sz w:val="18"/>
          <w:u w:val="single"/>
        </w:rPr>
        <w:t>https://link.aps.org/doi/10.1103/PhysRevB.102.035203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1BA8C5">
      <w:pPr>
        <w:numPr>
          <w:ilvl w:val="0"/>
          <w:numId w:val="66"/>
        </w:numPr>
        <w:spacing w:after="210" w:line="360" w:lineRule="auto"/>
      </w:pPr>
      <w:bookmarkStart w:id="242" w:name="fn70"/>
      <w:bookmarkEnd w:id="242"/>
      <w:r>
        <w:fldChar w:fldCharType="begin"/>
      </w:r>
      <w:r>
        <w:instrText xml:space="preserve"> HYPERLINK "https://pmc.ncbi.nlm.nih.gov/articles/PMC10623557/" \h </w:instrText>
      </w:r>
      <w:r>
        <w:fldChar w:fldCharType="separate"/>
      </w:r>
      <w:r>
        <w:rPr>
          <w:rFonts w:ascii="inter" w:hAnsi="inter" w:eastAsia="inter" w:cs="inter"/>
          <w:color w:val="000000"/>
          <w:sz w:val="18"/>
          <w:u w:val="single"/>
        </w:rPr>
        <w:t>https://pmc.ncbi.nlm.nih.gov/articles/PMC10623557/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33575A">
      <w:pPr>
        <w:numPr>
          <w:ilvl w:val="0"/>
          <w:numId w:val="66"/>
        </w:numPr>
        <w:spacing w:after="210" w:line="360" w:lineRule="auto"/>
      </w:pPr>
      <w:bookmarkStart w:id="243" w:name="fn71"/>
      <w:bookmarkEnd w:id="243"/>
      <w:r>
        <w:fldChar w:fldCharType="begin"/>
      </w:r>
      <w:r>
        <w:instrText xml:space="preserve"> HYPERLINK "https://www.nature.com/articles/s41524-025-01538-0" \h </w:instrText>
      </w:r>
      <w:r>
        <w:fldChar w:fldCharType="separate"/>
      </w:r>
      <w:r>
        <w:rPr>
          <w:rFonts w:ascii="inter" w:hAnsi="inter" w:eastAsia="inter" w:cs="inter"/>
          <w:color w:val="000000"/>
          <w:sz w:val="18"/>
          <w:u w:val="single"/>
        </w:rPr>
        <w:t>https://www.nature.com/articles/s41524-025-01538-0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D25602">
      <w:pPr>
        <w:numPr>
          <w:ilvl w:val="0"/>
          <w:numId w:val="66"/>
        </w:numPr>
        <w:spacing w:after="210" w:line="360" w:lineRule="auto"/>
      </w:pPr>
      <w:bookmarkStart w:id="244" w:name="fn72"/>
      <w:bookmarkEnd w:id="244"/>
      <w:r>
        <w:fldChar w:fldCharType="begin"/>
      </w:r>
      <w:r>
        <w:instrText xml:space="preserve"> HYPERLINK "https://pubs.aip.org/aip/jcp/article/162/17/174119/3345945/Considerations-in-the-use-of-machine-learning" \h </w:instrText>
      </w:r>
      <w:r>
        <w:fldChar w:fldCharType="separate"/>
      </w:r>
      <w:r>
        <w:rPr>
          <w:rFonts w:ascii="inter" w:hAnsi="inter" w:eastAsia="inter" w:cs="inter"/>
          <w:color w:val="000000"/>
          <w:sz w:val="18"/>
          <w:u w:val="single"/>
        </w:rPr>
        <w:t>https://pubs.aip.org/aip/jcp/article/162/17/174119/3345945/Considerations-in-the-use-of-machine-learning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532F4B">
      <w:pPr>
        <w:numPr>
          <w:ilvl w:val="0"/>
          <w:numId w:val="66"/>
        </w:numPr>
        <w:spacing w:after="210" w:line="360" w:lineRule="auto"/>
      </w:pPr>
      <w:bookmarkStart w:id="245" w:name="fn73"/>
      <w:bookmarkEnd w:id="245"/>
      <w:r>
        <w:fldChar w:fldCharType="begin"/>
      </w:r>
      <w:r>
        <w:instrText xml:space="preserve"> HYPERLINK "https://www.nature.com/articles/s41524-024-01443-y" \h </w:instrText>
      </w:r>
      <w:r>
        <w:fldChar w:fldCharType="separate"/>
      </w:r>
      <w:r>
        <w:rPr>
          <w:rFonts w:ascii="inter" w:hAnsi="inter" w:eastAsia="inter" w:cs="inter"/>
          <w:color w:val="000000"/>
          <w:sz w:val="18"/>
          <w:u w:val="single"/>
        </w:rPr>
        <w:t>https://www.nature.com/articles/s41524-024-01443-y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29332D">
      <w:pPr>
        <w:numPr>
          <w:ilvl w:val="0"/>
          <w:numId w:val="66"/>
        </w:numPr>
        <w:spacing w:after="210" w:line="360" w:lineRule="auto"/>
      </w:pPr>
      <w:bookmarkStart w:id="246" w:name="fn74"/>
      <w:bookmarkEnd w:id="246"/>
      <w:r>
        <w:fldChar w:fldCharType="begin"/>
      </w:r>
      <w:r>
        <w:instrText xml:space="preserve"> HYPERLINK "https://dl.acm.org/doi/pdf/10.1145/3626203.3670584" \h </w:instrText>
      </w:r>
      <w:r>
        <w:fldChar w:fldCharType="separate"/>
      </w:r>
      <w:r>
        <w:rPr>
          <w:rFonts w:ascii="inter" w:hAnsi="inter" w:eastAsia="inter" w:cs="inter"/>
          <w:color w:val="000000"/>
          <w:sz w:val="18"/>
          <w:u w:val="single"/>
        </w:rPr>
        <w:t>https://dl.acm.org/doi/pdf/10.1145/3626203.3670584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7EB317">
      <w:pPr>
        <w:numPr>
          <w:ilvl w:val="0"/>
          <w:numId w:val="66"/>
        </w:numPr>
        <w:spacing w:after="210" w:line="360" w:lineRule="auto"/>
      </w:pPr>
      <w:bookmarkStart w:id="247" w:name="fn75"/>
      <w:bookmarkEnd w:id="247"/>
      <w:r>
        <w:fldChar w:fldCharType="begin"/>
      </w:r>
      <w:r>
        <w:instrText xml:space="preserve"> HYPERLINK "https://www.nature.com/articles/s43246-025-00928-7" \h </w:instrText>
      </w:r>
      <w:r>
        <w:fldChar w:fldCharType="separate"/>
      </w:r>
      <w:r>
        <w:rPr>
          <w:rFonts w:ascii="inter" w:hAnsi="inter" w:eastAsia="inter" w:cs="inter"/>
          <w:color w:val="000000"/>
          <w:sz w:val="18"/>
          <w:u w:val="single"/>
        </w:rPr>
        <w:t>https://www.nature.com/articles/s43246-025-00928-7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0111FA">
      <w:pPr>
        <w:numPr>
          <w:ilvl w:val="0"/>
          <w:numId w:val="66"/>
        </w:numPr>
        <w:spacing w:after="210" w:line="360" w:lineRule="auto"/>
      </w:pPr>
      <w:bookmarkStart w:id="248" w:name="fn76"/>
      <w:bookmarkEnd w:id="248"/>
      <w:r>
        <w:fldChar w:fldCharType="begin"/>
      </w:r>
      <w:r>
        <w:instrText xml:space="preserve"> HYPERLINK "https://pmc.ncbi.nlm.nih.gov/articles/PMC11381803/" \h </w:instrText>
      </w:r>
      <w:r>
        <w:fldChar w:fldCharType="separate"/>
      </w:r>
      <w:r>
        <w:rPr>
          <w:rFonts w:ascii="inter" w:hAnsi="inter" w:eastAsia="inter" w:cs="inter"/>
          <w:color w:val="000000"/>
          <w:sz w:val="18"/>
          <w:u w:val="single"/>
        </w:rPr>
        <w:t>https://pmc.ncbi.nlm.nih.gov/articles/PMC11381803/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95CB04">
      <w:pPr>
        <w:numPr>
          <w:ilvl w:val="0"/>
          <w:numId w:val="66"/>
        </w:numPr>
        <w:spacing w:after="210" w:line="360" w:lineRule="auto"/>
      </w:pPr>
      <w:bookmarkStart w:id="249" w:name="fn77"/>
      <w:bookmarkEnd w:id="249"/>
      <w:r>
        <w:fldChar w:fldCharType="begin"/>
      </w:r>
      <w:r>
        <w:instrText xml:space="preserve"> HYPERLINK "https://arxiv.org/html/2407.18847v1" \h </w:instrText>
      </w:r>
      <w:r>
        <w:fldChar w:fldCharType="separate"/>
      </w:r>
      <w:r>
        <w:rPr>
          <w:rFonts w:ascii="inter" w:hAnsi="inter" w:eastAsia="inter" w:cs="inter"/>
          <w:color w:val="000000"/>
          <w:sz w:val="18"/>
          <w:u w:val="single"/>
        </w:rPr>
        <w:t>https://arxiv.org/html/2407.18847v1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58F7C1">
      <w:pPr>
        <w:numPr>
          <w:ilvl w:val="0"/>
          <w:numId w:val="66"/>
        </w:numPr>
        <w:spacing w:after="210" w:line="360" w:lineRule="auto"/>
      </w:pPr>
      <w:bookmarkStart w:id="250" w:name="fn78"/>
      <w:bookmarkEnd w:id="250"/>
      <w:r>
        <w:fldChar w:fldCharType="begin"/>
      </w:r>
      <w:r>
        <w:instrText xml:space="preserve"> HYPERLINK "https://www.nature.com/articles/s44306-025-00094-z" \h </w:instrText>
      </w:r>
      <w:r>
        <w:fldChar w:fldCharType="separate"/>
      </w:r>
      <w:r>
        <w:rPr>
          <w:rFonts w:ascii="inter" w:hAnsi="inter" w:eastAsia="inter" w:cs="inter"/>
          <w:color w:val="000000"/>
          <w:sz w:val="18"/>
          <w:u w:val="single"/>
        </w:rPr>
        <w:t>https://www.nature.com/articles/s44306-025-00094-z</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C67324">
      <w:pPr>
        <w:numPr>
          <w:ilvl w:val="0"/>
          <w:numId w:val="66"/>
        </w:numPr>
        <w:spacing w:after="210" w:line="360" w:lineRule="auto"/>
      </w:pPr>
      <w:bookmarkStart w:id="251" w:name="fn79"/>
      <w:bookmarkEnd w:id="251"/>
      <w:r>
        <w:fldChar w:fldCharType="begin"/>
      </w:r>
      <w:r>
        <w:instrText xml:space="preserve"> HYPERLINK "https://eta.lbl.gov/people/anubhav-jain" \h </w:instrText>
      </w:r>
      <w:r>
        <w:fldChar w:fldCharType="separate"/>
      </w:r>
      <w:r>
        <w:rPr>
          <w:rFonts w:ascii="inter" w:hAnsi="inter" w:eastAsia="inter" w:cs="inter"/>
          <w:color w:val="000000"/>
          <w:sz w:val="18"/>
          <w:u w:val="single"/>
        </w:rPr>
        <w:t>https://eta.lbl.gov/people/anubhav-jain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158DD1">
      <w:pPr>
        <w:numPr>
          <w:ilvl w:val="0"/>
          <w:numId w:val="66"/>
        </w:numPr>
        <w:spacing w:after="210" w:line="360" w:lineRule="auto"/>
      </w:pPr>
      <w:bookmarkStart w:id="252" w:name="fn80"/>
      <w:bookmarkEnd w:id="252"/>
      <w:r>
        <w:fldChar w:fldCharType="begin"/>
      </w:r>
      <w:r>
        <w:instrText xml:space="preserve"> HYPERLINK "https://mse.berkeley.edu/people_new/persson/" \h </w:instrText>
      </w:r>
      <w:r>
        <w:fldChar w:fldCharType="separate"/>
      </w:r>
      <w:r>
        <w:rPr>
          <w:rFonts w:ascii="inter" w:hAnsi="inter" w:eastAsia="inter" w:cs="inter"/>
          <w:color w:val="000000"/>
          <w:sz w:val="18"/>
          <w:u w:val="single"/>
        </w:rPr>
        <w:t>https://mse.berkeley.edu/people_new/persson/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A9DDEF">
      <w:pPr>
        <w:numPr>
          <w:ilvl w:val="0"/>
          <w:numId w:val="66"/>
        </w:numPr>
        <w:spacing w:after="210" w:line="360" w:lineRule="auto"/>
      </w:pPr>
      <w:bookmarkStart w:id="253" w:name="fn81"/>
      <w:bookmarkEnd w:id="253"/>
      <w:r>
        <w:fldChar w:fldCharType="begin"/>
      </w:r>
      <w:r>
        <w:instrText xml:space="preserve"> HYPERLINK "https://openkim.org/profile/shyue-ping-ong" \h </w:instrText>
      </w:r>
      <w:r>
        <w:fldChar w:fldCharType="separate"/>
      </w:r>
      <w:r>
        <w:rPr>
          <w:rFonts w:ascii="inter" w:hAnsi="inter" w:eastAsia="inter" w:cs="inter"/>
          <w:color w:val="000000"/>
          <w:sz w:val="18"/>
          <w:u w:val="single"/>
        </w:rPr>
        <w:t>https://openkim.org/profile/shyue-ping-ong</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5B5372"/>
    <w:multiLevelType w:val="singleLevel"/>
    <w:tmpl w:val="845B5372"/>
    <w:lvl w:ilvl="0" w:tentative="0">
      <w:start w:val="1"/>
      <w:numFmt w:val="bullet"/>
      <w:lvlText w:val=""/>
      <w:lvlJc w:val="left"/>
      <w:pPr>
        <w:tabs>
          <w:tab w:val="left" w:pos="900"/>
        </w:tabs>
        <w:ind w:left="540" w:hanging="360"/>
      </w:pPr>
      <w:rPr>
        <w:rFonts w:hint="default" w:ascii="Symbol" w:hAnsi="Symbol"/>
      </w:rPr>
    </w:lvl>
  </w:abstractNum>
  <w:abstractNum w:abstractNumId="2">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3">
    <w:nsid w:val="8CAEB125"/>
    <w:multiLevelType w:val="singleLevel"/>
    <w:tmpl w:val="8CAEB125"/>
    <w:lvl w:ilvl="0" w:tentative="0">
      <w:start w:val="1"/>
      <w:numFmt w:val="bullet"/>
      <w:lvlText w:val=""/>
      <w:lvlJc w:val="left"/>
      <w:pPr>
        <w:tabs>
          <w:tab w:val="left" w:pos="900"/>
        </w:tabs>
        <w:ind w:left="540" w:hanging="360"/>
      </w:pPr>
      <w:rPr>
        <w:rFonts w:hint="default" w:ascii="Symbol" w:hAnsi="Symbol"/>
      </w:rPr>
    </w:lvl>
  </w:abstractNum>
  <w:abstractNum w:abstractNumId="4">
    <w:nsid w:val="91995D4F"/>
    <w:multiLevelType w:val="singleLevel"/>
    <w:tmpl w:val="91995D4F"/>
    <w:lvl w:ilvl="0" w:tentative="0">
      <w:start w:val="1"/>
      <w:numFmt w:val="bullet"/>
      <w:lvlText w:val=""/>
      <w:lvlJc w:val="left"/>
      <w:pPr>
        <w:tabs>
          <w:tab w:val="left" w:pos="900"/>
        </w:tabs>
        <w:ind w:left="540" w:hanging="360"/>
      </w:pPr>
      <w:rPr>
        <w:rFonts w:hint="default" w:ascii="Symbol" w:hAnsi="Symbol"/>
      </w:rPr>
    </w:lvl>
  </w:abstractNum>
  <w:abstractNum w:abstractNumId="5">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6">
    <w:nsid w:val="9288B902"/>
    <w:multiLevelType w:val="singleLevel"/>
    <w:tmpl w:val="9288B902"/>
    <w:lvl w:ilvl="0" w:tentative="0">
      <w:start w:val="1"/>
      <w:numFmt w:val="bullet"/>
      <w:lvlText w:val=""/>
      <w:lvlJc w:val="left"/>
      <w:pPr>
        <w:tabs>
          <w:tab w:val="left" w:pos="900"/>
        </w:tabs>
        <w:ind w:left="540" w:hanging="360"/>
      </w:pPr>
      <w:rPr>
        <w:rFonts w:hint="default" w:ascii="Symbol" w:hAnsi="Symbol"/>
      </w:rPr>
    </w:lvl>
  </w:abstractNum>
  <w:abstractNum w:abstractNumId="7">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8">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9">
    <w:nsid w:val="B53F3350"/>
    <w:multiLevelType w:val="singleLevel"/>
    <w:tmpl w:val="B53F3350"/>
    <w:lvl w:ilvl="0" w:tentative="0">
      <w:start w:val="1"/>
      <w:numFmt w:val="bullet"/>
      <w:lvlText w:val=""/>
      <w:lvlJc w:val="left"/>
      <w:pPr>
        <w:tabs>
          <w:tab w:val="left" w:pos="900"/>
        </w:tabs>
        <w:ind w:left="540" w:hanging="360"/>
      </w:pPr>
      <w:rPr>
        <w:rFonts w:hint="default" w:ascii="Symbol" w:hAnsi="Symbol"/>
      </w:rPr>
    </w:lvl>
  </w:abstractNum>
  <w:abstractNum w:abstractNumId="10">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1">
    <w:nsid w:val="B8CEF35B"/>
    <w:multiLevelType w:val="singleLevel"/>
    <w:tmpl w:val="B8CEF35B"/>
    <w:lvl w:ilvl="0" w:tentative="0">
      <w:start w:val="1"/>
      <w:numFmt w:val="bullet"/>
      <w:lvlText w:val=""/>
      <w:lvlJc w:val="left"/>
      <w:pPr>
        <w:tabs>
          <w:tab w:val="left" w:pos="900"/>
        </w:tabs>
        <w:ind w:left="540" w:hanging="360"/>
      </w:pPr>
      <w:rPr>
        <w:rFonts w:hint="default" w:ascii="Symbol" w:hAnsi="Symbol"/>
      </w:rPr>
    </w:lvl>
  </w:abstractNum>
  <w:abstractNum w:abstractNumId="12">
    <w:nsid w:val="BB64CFA9"/>
    <w:multiLevelType w:val="singleLevel"/>
    <w:tmpl w:val="BB64CFA9"/>
    <w:lvl w:ilvl="0" w:tentative="0">
      <w:start w:val="1"/>
      <w:numFmt w:val="bullet"/>
      <w:lvlText w:val=""/>
      <w:lvlJc w:val="left"/>
      <w:pPr>
        <w:tabs>
          <w:tab w:val="left" w:pos="900"/>
        </w:tabs>
        <w:ind w:left="540" w:hanging="360"/>
      </w:pPr>
      <w:rPr>
        <w:rFonts w:hint="default" w:ascii="Symbol" w:hAnsi="Symbol"/>
      </w:rPr>
    </w:lvl>
  </w:abstractNum>
  <w:abstractNum w:abstractNumId="13">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14">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15">
    <w:nsid w:val="C0915F4F"/>
    <w:multiLevelType w:val="singleLevel"/>
    <w:tmpl w:val="C0915F4F"/>
    <w:lvl w:ilvl="0" w:tentative="0">
      <w:start w:val="1"/>
      <w:numFmt w:val="bullet"/>
      <w:lvlText w:val=""/>
      <w:lvlJc w:val="left"/>
      <w:pPr>
        <w:tabs>
          <w:tab w:val="left" w:pos="900"/>
        </w:tabs>
        <w:ind w:left="540" w:hanging="360"/>
      </w:pPr>
      <w:rPr>
        <w:rFonts w:hint="default" w:ascii="Symbol" w:hAnsi="Symbol"/>
      </w:rPr>
    </w:lvl>
  </w:abstractNum>
  <w:abstractNum w:abstractNumId="16">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17">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8">
    <w:nsid w:val="D7D140E4"/>
    <w:multiLevelType w:val="singleLevel"/>
    <w:tmpl w:val="D7D140E4"/>
    <w:lvl w:ilvl="0" w:tentative="0">
      <w:start w:val="1"/>
      <w:numFmt w:val="bullet"/>
      <w:lvlText w:val=""/>
      <w:lvlJc w:val="left"/>
      <w:pPr>
        <w:tabs>
          <w:tab w:val="left" w:pos="900"/>
        </w:tabs>
        <w:ind w:left="540" w:hanging="360"/>
      </w:pPr>
      <w:rPr>
        <w:rFonts w:hint="default" w:ascii="Symbol" w:hAnsi="Symbol"/>
      </w:rPr>
    </w:lvl>
  </w:abstractNum>
  <w:abstractNum w:abstractNumId="19">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20">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21">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22">
    <w:nsid w:val="F0E89278"/>
    <w:multiLevelType w:val="singleLevel"/>
    <w:tmpl w:val="F0E89278"/>
    <w:lvl w:ilvl="0" w:tentative="0">
      <w:start w:val="1"/>
      <w:numFmt w:val="bullet"/>
      <w:lvlText w:val=""/>
      <w:lvlJc w:val="left"/>
      <w:pPr>
        <w:tabs>
          <w:tab w:val="left" w:pos="900"/>
        </w:tabs>
        <w:ind w:left="540" w:hanging="360"/>
      </w:pPr>
      <w:rPr>
        <w:rFonts w:hint="default" w:ascii="Symbol" w:hAnsi="Symbol"/>
      </w:rPr>
    </w:lvl>
  </w:abstractNum>
  <w:abstractNum w:abstractNumId="23">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24">
    <w:nsid w:val="F7735DC9"/>
    <w:multiLevelType w:val="singleLevel"/>
    <w:tmpl w:val="F7735DC9"/>
    <w:lvl w:ilvl="0" w:tentative="0">
      <w:start w:val="1"/>
      <w:numFmt w:val="bullet"/>
      <w:lvlText w:val=""/>
      <w:lvlJc w:val="left"/>
      <w:pPr>
        <w:tabs>
          <w:tab w:val="left" w:pos="900"/>
        </w:tabs>
        <w:ind w:left="540" w:hanging="360"/>
      </w:pPr>
      <w:rPr>
        <w:rFonts w:hint="default" w:ascii="Symbol" w:hAnsi="Symbol"/>
      </w:rPr>
    </w:lvl>
  </w:abstractNum>
  <w:abstractNum w:abstractNumId="25">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26">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27">
    <w:nsid w:val="03A63A41"/>
    <w:multiLevelType w:val="singleLevel"/>
    <w:tmpl w:val="03A63A41"/>
    <w:lvl w:ilvl="0" w:tentative="0">
      <w:start w:val="1"/>
      <w:numFmt w:val="bullet"/>
      <w:lvlText w:val=""/>
      <w:lvlJc w:val="left"/>
      <w:pPr>
        <w:tabs>
          <w:tab w:val="left" w:pos="900"/>
        </w:tabs>
        <w:ind w:left="540" w:hanging="360"/>
      </w:pPr>
      <w:rPr>
        <w:rFonts w:hint="default" w:ascii="Symbol" w:hAnsi="Symbol"/>
      </w:rPr>
    </w:lvl>
  </w:abstractNum>
  <w:abstractNum w:abstractNumId="28">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29">
    <w:nsid w:val="0709FD3E"/>
    <w:multiLevelType w:val="singleLevel"/>
    <w:tmpl w:val="0709FD3E"/>
    <w:lvl w:ilvl="0" w:tentative="0">
      <w:start w:val="1"/>
      <w:numFmt w:val="bullet"/>
      <w:lvlText w:val=""/>
      <w:lvlJc w:val="left"/>
      <w:pPr>
        <w:tabs>
          <w:tab w:val="left" w:pos="900"/>
        </w:tabs>
        <w:ind w:left="540" w:hanging="360"/>
      </w:pPr>
      <w:rPr>
        <w:rFonts w:hint="default" w:ascii="Symbol" w:hAnsi="Symbol"/>
      </w:rPr>
    </w:lvl>
  </w:abstractNum>
  <w:abstractNum w:abstractNumId="30">
    <w:nsid w:val="0CEF100B"/>
    <w:multiLevelType w:val="singleLevel"/>
    <w:tmpl w:val="0CEF100B"/>
    <w:lvl w:ilvl="0" w:tentative="0">
      <w:start w:val="1"/>
      <w:numFmt w:val="bullet"/>
      <w:lvlText w:val=""/>
      <w:lvlJc w:val="left"/>
      <w:pPr>
        <w:tabs>
          <w:tab w:val="left" w:pos="900"/>
        </w:tabs>
        <w:ind w:left="540" w:hanging="360"/>
      </w:pPr>
      <w:rPr>
        <w:rFonts w:hint="default" w:ascii="Symbol" w:hAnsi="Symbol"/>
      </w:rPr>
    </w:lvl>
  </w:abstractNum>
  <w:abstractNum w:abstractNumId="31">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32">
    <w:nsid w:val="0F9F9CCA"/>
    <w:multiLevelType w:val="singleLevel"/>
    <w:tmpl w:val="0F9F9CCA"/>
    <w:lvl w:ilvl="0" w:tentative="0">
      <w:start w:val="1"/>
      <w:numFmt w:val="bullet"/>
      <w:lvlText w:val=""/>
      <w:lvlJc w:val="left"/>
      <w:pPr>
        <w:tabs>
          <w:tab w:val="left" w:pos="900"/>
        </w:tabs>
        <w:ind w:left="540" w:hanging="360"/>
      </w:pPr>
      <w:rPr>
        <w:rFonts w:hint="default" w:ascii="Symbol" w:hAnsi="Symbol"/>
      </w:rPr>
    </w:lvl>
  </w:abstractNum>
  <w:abstractNum w:abstractNumId="33">
    <w:nsid w:val="12EADF99"/>
    <w:multiLevelType w:val="singleLevel"/>
    <w:tmpl w:val="12EADF99"/>
    <w:lvl w:ilvl="0" w:tentative="0">
      <w:start w:val="1"/>
      <w:numFmt w:val="decimal"/>
      <w:lvlText w:val="%1."/>
      <w:lvlJc w:val="left"/>
      <w:pPr>
        <w:tabs>
          <w:tab w:val="left" w:pos="900"/>
        </w:tabs>
        <w:ind w:left="540" w:hanging="360"/>
      </w:pPr>
    </w:lvl>
  </w:abstractNum>
  <w:abstractNum w:abstractNumId="34">
    <w:nsid w:val="1ACDE60F"/>
    <w:multiLevelType w:val="singleLevel"/>
    <w:tmpl w:val="1ACDE60F"/>
    <w:lvl w:ilvl="0" w:tentative="0">
      <w:start w:val="1"/>
      <w:numFmt w:val="bullet"/>
      <w:lvlText w:val=""/>
      <w:lvlJc w:val="left"/>
      <w:pPr>
        <w:tabs>
          <w:tab w:val="left" w:pos="900"/>
        </w:tabs>
        <w:ind w:left="540" w:hanging="360"/>
      </w:pPr>
      <w:rPr>
        <w:rFonts w:hint="default" w:ascii="Symbol" w:hAnsi="Symbol"/>
      </w:rPr>
    </w:lvl>
  </w:abstractNum>
  <w:abstractNum w:abstractNumId="35">
    <w:nsid w:val="1C257C7B"/>
    <w:multiLevelType w:val="singleLevel"/>
    <w:tmpl w:val="1C257C7B"/>
    <w:lvl w:ilvl="0" w:tentative="0">
      <w:start w:val="1"/>
      <w:numFmt w:val="bullet"/>
      <w:lvlText w:val=""/>
      <w:lvlJc w:val="left"/>
      <w:pPr>
        <w:tabs>
          <w:tab w:val="left" w:pos="900"/>
        </w:tabs>
        <w:ind w:left="540" w:hanging="360"/>
      </w:pPr>
      <w:rPr>
        <w:rFonts w:hint="default" w:ascii="Symbol" w:hAnsi="Symbol"/>
      </w:rPr>
    </w:lvl>
  </w:abstractNum>
  <w:abstractNum w:abstractNumId="36">
    <w:nsid w:val="23E97754"/>
    <w:multiLevelType w:val="singleLevel"/>
    <w:tmpl w:val="23E97754"/>
    <w:lvl w:ilvl="0" w:tentative="0">
      <w:start w:val="1"/>
      <w:numFmt w:val="bullet"/>
      <w:lvlText w:val=""/>
      <w:lvlJc w:val="left"/>
      <w:pPr>
        <w:tabs>
          <w:tab w:val="left" w:pos="900"/>
        </w:tabs>
        <w:ind w:left="540" w:hanging="360"/>
      </w:pPr>
      <w:rPr>
        <w:rFonts w:hint="default" w:ascii="Symbol" w:hAnsi="Symbol"/>
      </w:rPr>
    </w:lvl>
  </w:abstractNum>
  <w:abstractNum w:abstractNumId="37">
    <w:nsid w:val="243FCF68"/>
    <w:multiLevelType w:val="singleLevel"/>
    <w:tmpl w:val="243FCF68"/>
    <w:lvl w:ilvl="0" w:tentative="0">
      <w:start w:val="1"/>
      <w:numFmt w:val="bullet"/>
      <w:lvlText w:val=""/>
      <w:lvlJc w:val="left"/>
      <w:pPr>
        <w:tabs>
          <w:tab w:val="left" w:pos="900"/>
        </w:tabs>
        <w:ind w:left="540" w:hanging="360"/>
      </w:pPr>
      <w:rPr>
        <w:rFonts w:hint="default" w:ascii="Symbol" w:hAnsi="Symbol"/>
      </w:rPr>
    </w:lvl>
  </w:abstractNum>
  <w:abstractNum w:abstractNumId="38">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39">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40">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41">
    <w:nsid w:val="30FC5B15"/>
    <w:multiLevelType w:val="singleLevel"/>
    <w:tmpl w:val="30FC5B15"/>
    <w:lvl w:ilvl="0" w:tentative="0">
      <w:start w:val="1"/>
      <w:numFmt w:val="bullet"/>
      <w:lvlText w:val=""/>
      <w:lvlJc w:val="left"/>
      <w:pPr>
        <w:tabs>
          <w:tab w:val="left" w:pos="900"/>
        </w:tabs>
        <w:ind w:left="540" w:hanging="360"/>
      </w:pPr>
      <w:rPr>
        <w:rFonts w:hint="default" w:ascii="Symbol" w:hAnsi="Symbol"/>
      </w:rPr>
    </w:lvl>
  </w:abstractNum>
  <w:abstractNum w:abstractNumId="42">
    <w:nsid w:val="322D85CA"/>
    <w:multiLevelType w:val="singleLevel"/>
    <w:tmpl w:val="322D85CA"/>
    <w:lvl w:ilvl="0" w:tentative="0">
      <w:start w:val="1"/>
      <w:numFmt w:val="bullet"/>
      <w:lvlText w:val=""/>
      <w:lvlJc w:val="left"/>
      <w:pPr>
        <w:tabs>
          <w:tab w:val="left" w:pos="900"/>
        </w:tabs>
        <w:ind w:left="540" w:hanging="360"/>
      </w:pPr>
      <w:rPr>
        <w:rFonts w:hint="default" w:ascii="Symbol" w:hAnsi="Symbol"/>
      </w:rPr>
    </w:lvl>
  </w:abstractNum>
  <w:abstractNum w:abstractNumId="43">
    <w:nsid w:val="32A7AF2D"/>
    <w:multiLevelType w:val="singleLevel"/>
    <w:tmpl w:val="32A7AF2D"/>
    <w:lvl w:ilvl="0" w:tentative="0">
      <w:start w:val="1"/>
      <w:numFmt w:val="bullet"/>
      <w:lvlText w:val=""/>
      <w:lvlJc w:val="left"/>
      <w:pPr>
        <w:tabs>
          <w:tab w:val="left" w:pos="900"/>
        </w:tabs>
        <w:ind w:left="540" w:hanging="360"/>
      </w:pPr>
      <w:rPr>
        <w:rFonts w:hint="default" w:ascii="Symbol" w:hAnsi="Symbol"/>
      </w:rPr>
    </w:lvl>
  </w:abstractNum>
  <w:abstractNum w:abstractNumId="44">
    <w:nsid w:val="35E83B33"/>
    <w:multiLevelType w:val="singleLevel"/>
    <w:tmpl w:val="35E83B33"/>
    <w:lvl w:ilvl="0" w:tentative="0">
      <w:start w:val="1"/>
      <w:numFmt w:val="bullet"/>
      <w:lvlText w:val=""/>
      <w:lvlJc w:val="left"/>
      <w:pPr>
        <w:tabs>
          <w:tab w:val="left" w:pos="900"/>
        </w:tabs>
        <w:ind w:left="540" w:hanging="360"/>
      </w:pPr>
      <w:rPr>
        <w:rFonts w:hint="default" w:ascii="Symbol" w:hAnsi="Symbol"/>
      </w:rPr>
    </w:lvl>
  </w:abstractNum>
  <w:abstractNum w:abstractNumId="45">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46">
    <w:nsid w:val="40B249F9"/>
    <w:multiLevelType w:val="singleLevel"/>
    <w:tmpl w:val="40B249F9"/>
    <w:lvl w:ilvl="0" w:tentative="0">
      <w:start w:val="1"/>
      <w:numFmt w:val="decimal"/>
      <w:lvlText w:val="%1."/>
      <w:lvlJc w:val="left"/>
      <w:pPr>
        <w:tabs>
          <w:tab w:val="left" w:pos="900"/>
        </w:tabs>
        <w:ind w:left="540" w:hanging="360"/>
      </w:pPr>
    </w:lvl>
  </w:abstractNum>
  <w:abstractNum w:abstractNumId="47">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48">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49">
    <w:nsid w:val="4C3D7A74"/>
    <w:multiLevelType w:val="singleLevel"/>
    <w:tmpl w:val="4C3D7A74"/>
    <w:lvl w:ilvl="0" w:tentative="0">
      <w:start w:val="1"/>
      <w:numFmt w:val="bullet"/>
      <w:lvlText w:val=""/>
      <w:lvlJc w:val="left"/>
      <w:pPr>
        <w:tabs>
          <w:tab w:val="left" w:pos="900"/>
        </w:tabs>
        <w:ind w:left="540" w:hanging="360"/>
      </w:pPr>
      <w:rPr>
        <w:rFonts w:hint="default" w:ascii="Symbol" w:hAnsi="Symbol"/>
      </w:rPr>
    </w:lvl>
  </w:abstractNum>
  <w:abstractNum w:abstractNumId="50">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51">
    <w:nsid w:val="4D94DA66"/>
    <w:multiLevelType w:val="singleLevel"/>
    <w:tmpl w:val="4D94DA66"/>
    <w:lvl w:ilvl="0" w:tentative="0">
      <w:start w:val="1"/>
      <w:numFmt w:val="bullet"/>
      <w:lvlText w:val=""/>
      <w:lvlJc w:val="left"/>
      <w:pPr>
        <w:tabs>
          <w:tab w:val="left" w:pos="900"/>
        </w:tabs>
        <w:ind w:left="540" w:hanging="360"/>
      </w:pPr>
      <w:rPr>
        <w:rFonts w:hint="default" w:ascii="Symbol" w:hAnsi="Symbol"/>
      </w:rPr>
    </w:lvl>
  </w:abstractNum>
  <w:abstractNum w:abstractNumId="52">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53">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54">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55">
    <w:nsid w:val="5E29AB5A"/>
    <w:multiLevelType w:val="singleLevel"/>
    <w:tmpl w:val="5E29AB5A"/>
    <w:lvl w:ilvl="0" w:tentative="0">
      <w:start w:val="1"/>
      <w:numFmt w:val="bullet"/>
      <w:lvlText w:val=""/>
      <w:lvlJc w:val="left"/>
      <w:pPr>
        <w:tabs>
          <w:tab w:val="left" w:pos="900"/>
        </w:tabs>
        <w:ind w:left="540" w:hanging="360"/>
      </w:pPr>
      <w:rPr>
        <w:rFonts w:hint="default" w:ascii="Symbol" w:hAnsi="Symbol"/>
      </w:rPr>
    </w:lvl>
  </w:abstractNum>
  <w:abstractNum w:abstractNumId="56">
    <w:nsid w:val="5FFFB1A7"/>
    <w:multiLevelType w:val="singleLevel"/>
    <w:tmpl w:val="5FFFB1A7"/>
    <w:lvl w:ilvl="0" w:tentative="0">
      <w:start w:val="1"/>
      <w:numFmt w:val="bullet"/>
      <w:lvlText w:val=""/>
      <w:lvlJc w:val="left"/>
      <w:pPr>
        <w:tabs>
          <w:tab w:val="left" w:pos="900"/>
        </w:tabs>
        <w:ind w:left="540" w:hanging="360"/>
      </w:pPr>
      <w:rPr>
        <w:rFonts w:hint="default" w:ascii="Symbol" w:hAnsi="Symbol"/>
      </w:rPr>
    </w:lvl>
  </w:abstractNum>
  <w:abstractNum w:abstractNumId="57">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58">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59">
    <w:nsid w:val="65CD0074"/>
    <w:multiLevelType w:val="singleLevel"/>
    <w:tmpl w:val="65CD0074"/>
    <w:lvl w:ilvl="0" w:tentative="0">
      <w:start w:val="1"/>
      <w:numFmt w:val="bullet"/>
      <w:lvlText w:val=""/>
      <w:lvlJc w:val="left"/>
      <w:pPr>
        <w:tabs>
          <w:tab w:val="left" w:pos="900"/>
        </w:tabs>
        <w:ind w:left="540" w:hanging="360"/>
      </w:pPr>
      <w:rPr>
        <w:rFonts w:hint="default" w:ascii="Symbol" w:hAnsi="Symbol"/>
      </w:rPr>
    </w:lvl>
  </w:abstractNum>
  <w:abstractNum w:abstractNumId="60">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61">
    <w:nsid w:val="74C28B35"/>
    <w:multiLevelType w:val="singleLevel"/>
    <w:tmpl w:val="74C28B35"/>
    <w:lvl w:ilvl="0" w:tentative="0">
      <w:start w:val="1"/>
      <w:numFmt w:val="bullet"/>
      <w:lvlText w:val=""/>
      <w:lvlJc w:val="left"/>
      <w:pPr>
        <w:tabs>
          <w:tab w:val="left" w:pos="900"/>
        </w:tabs>
        <w:ind w:left="540" w:hanging="360"/>
      </w:pPr>
      <w:rPr>
        <w:rFonts w:hint="default" w:ascii="Symbol" w:hAnsi="Symbol"/>
      </w:rPr>
    </w:lvl>
  </w:abstractNum>
  <w:abstractNum w:abstractNumId="62">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63">
    <w:nsid w:val="79AA4FA4"/>
    <w:multiLevelType w:val="singleLevel"/>
    <w:tmpl w:val="79AA4FA4"/>
    <w:lvl w:ilvl="0" w:tentative="0">
      <w:start w:val="1"/>
      <w:numFmt w:val="bullet"/>
      <w:lvlText w:val=""/>
      <w:lvlJc w:val="left"/>
      <w:pPr>
        <w:tabs>
          <w:tab w:val="left" w:pos="900"/>
        </w:tabs>
        <w:ind w:left="540" w:hanging="360"/>
      </w:pPr>
      <w:rPr>
        <w:rFonts w:hint="default" w:ascii="Symbol" w:hAnsi="Symbol"/>
      </w:rPr>
    </w:lvl>
  </w:abstractNum>
  <w:abstractNum w:abstractNumId="64">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65">
    <w:nsid w:val="7DEC2089"/>
    <w:multiLevelType w:val="singleLevel"/>
    <w:tmpl w:val="7DEC2089"/>
    <w:lvl w:ilvl="0" w:tentative="0">
      <w:start w:val="1"/>
      <w:numFmt w:val="bullet"/>
      <w:lvlText w:val=""/>
      <w:lvlJc w:val="left"/>
      <w:pPr>
        <w:tabs>
          <w:tab w:val="left" w:pos="900"/>
        </w:tabs>
        <w:ind w:left="540" w:hanging="360"/>
      </w:pPr>
      <w:rPr>
        <w:rFonts w:hint="default" w:ascii="Symbol" w:hAnsi="Symbol"/>
      </w:rPr>
    </w:lvl>
  </w:abstractNum>
  <w:num w:numId="1">
    <w:abstractNumId w:val="25"/>
  </w:num>
  <w:num w:numId="2">
    <w:abstractNumId w:val="17"/>
  </w:num>
  <w:num w:numId="3">
    <w:abstractNumId w:val="53"/>
  </w:num>
  <w:num w:numId="4">
    <w:abstractNumId w:val="14"/>
  </w:num>
  <w:num w:numId="5">
    <w:abstractNumId w:val="10"/>
  </w:num>
  <w:num w:numId="6">
    <w:abstractNumId w:val="28"/>
  </w:num>
  <w:num w:numId="7">
    <w:abstractNumId w:val="39"/>
  </w:num>
  <w:num w:numId="8">
    <w:abstractNumId w:val="60"/>
  </w:num>
  <w:num w:numId="9">
    <w:abstractNumId w:val="26"/>
  </w:num>
  <w:num w:numId="10">
    <w:abstractNumId w:val="5"/>
  </w:num>
  <w:num w:numId="11">
    <w:abstractNumId w:val="40"/>
  </w:num>
  <w:num w:numId="12">
    <w:abstractNumId w:val="54"/>
  </w:num>
  <w:num w:numId="13">
    <w:abstractNumId w:val="16"/>
  </w:num>
  <w:num w:numId="14">
    <w:abstractNumId w:val="50"/>
  </w:num>
  <w:num w:numId="15">
    <w:abstractNumId w:val="23"/>
  </w:num>
  <w:num w:numId="16">
    <w:abstractNumId w:val="38"/>
  </w:num>
  <w:num w:numId="17">
    <w:abstractNumId w:val="20"/>
  </w:num>
  <w:num w:numId="18">
    <w:abstractNumId w:val="19"/>
  </w:num>
  <w:num w:numId="19">
    <w:abstractNumId w:val="7"/>
  </w:num>
  <w:num w:numId="20">
    <w:abstractNumId w:val="48"/>
  </w:num>
  <w:num w:numId="21">
    <w:abstractNumId w:val="57"/>
  </w:num>
  <w:num w:numId="22">
    <w:abstractNumId w:val="31"/>
  </w:num>
  <w:num w:numId="23">
    <w:abstractNumId w:val="47"/>
  </w:num>
  <w:num w:numId="24">
    <w:abstractNumId w:val="8"/>
  </w:num>
  <w:num w:numId="25">
    <w:abstractNumId w:val="64"/>
  </w:num>
  <w:num w:numId="26">
    <w:abstractNumId w:val="62"/>
  </w:num>
  <w:num w:numId="27">
    <w:abstractNumId w:val="13"/>
  </w:num>
  <w:num w:numId="28">
    <w:abstractNumId w:val="58"/>
  </w:num>
  <w:num w:numId="29">
    <w:abstractNumId w:val="6"/>
  </w:num>
  <w:num w:numId="30">
    <w:abstractNumId w:val="45"/>
  </w:num>
  <w:num w:numId="31">
    <w:abstractNumId w:val="2"/>
  </w:num>
  <w:num w:numId="32">
    <w:abstractNumId w:val="52"/>
  </w:num>
  <w:num w:numId="33">
    <w:abstractNumId w:val="65"/>
  </w:num>
  <w:num w:numId="34">
    <w:abstractNumId w:val="0"/>
  </w:num>
  <w:num w:numId="35">
    <w:abstractNumId w:val="37"/>
  </w:num>
  <w:num w:numId="36">
    <w:abstractNumId w:val="51"/>
  </w:num>
  <w:num w:numId="37">
    <w:abstractNumId w:val="24"/>
  </w:num>
  <w:num w:numId="38">
    <w:abstractNumId w:val="21"/>
  </w:num>
  <w:num w:numId="39">
    <w:abstractNumId w:val="41"/>
  </w:num>
  <w:num w:numId="40">
    <w:abstractNumId w:val="63"/>
  </w:num>
  <w:num w:numId="41">
    <w:abstractNumId w:val="12"/>
  </w:num>
  <w:num w:numId="42">
    <w:abstractNumId w:val="4"/>
  </w:num>
  <w:num w:numId="43">
    <w:abstractNumId w:val="11"/>
  </w:num>
  <w:num w:numId="44">
    <w:abstractNumId w:val="55"/>
  </w:num>
  <w:num w:numId="45">
    <w:abstractNumId w:val="1"/>
  </w:num>
  <w:num w:numId="46">
    <w:abstractNumId w:val="34"/>
  </w:num>
  <w:num w:numId="47">
    <w:abstractNumId w:val="3"/>
  </w:num>
  <w:num w:numId="48">
    <w:abstractNumId w:val="56"/>
  </w:num>
  <w:num w:numId="49">
    <w:abstractNumId w:val="61"/>
  </w:num>
  <w:num w:numId="50">
    <w:abstractNumId w:val="49"/>
  </w:num>
  <w:num w:numId="51">
    <w:abstractNumId w:val="42"/>
  </w:num>
  <w:num w:numId="52">
    <w:abstractNumId w:val="59"/>
  </w:num>
  <w:num w:numId="53">
    <w:abstractNumId w:val="29"/>
  </w:num>
  <w:num w:numId="54">
    <w:abstractNumId w:val="30"/>
  </w:num>
  <w:num w:numId="55">
    <w:abstractNumId w:val="18"/>
  </w:num>
  <w:num w:numId="56">
    <w:abstractNumId w:val="43"/>
  </w:num>
  <w:num w:numId="57">
    <w:abstractNumId w:val="35"/>
  </w:num>
  <w:num w:numId="58">
    <w:abstractNumId w:val="22"/>
  </w:num>
  <w:num w:numId="59">
    <w:abstractNumId w:val="36"/>
  </w:num>
  <w:num w:numId="60">
    <w:abstractNumId w:val="9"/>
  </w:num>
  <w:num w:numId="61">
    <w:abstractNumId w:val="46"/>
  </w:num>
  <w:num w:numId="62">
    <w:abstractNumId w:val="32"/>
  </w:num>
  <w:num w:numId="63">
    <w:abstractNumId w:val="44"/>
  </w:num>
  <w:num w:numId="64">
    <w:abstractNumId w:val="27"/>
  </w:num>
  <w:num w:numId="65">
    <w:abstractNumId w:val="15"/>
  </w:num>
  <w:num w:numId="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3C56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2655</Words>
  <Characters>3292</Characters>
  <TotalTime>0</TotalTime>
  <ScaleCrop>false</ScaleCrop>
  <LinksUpToDate>false</LinksUpToDate>
  <CharactersWithSpaces>3342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2025-12-16T06:07:00Z</dcterms:created>
  <dc:creator>html-to-docx</dc:creator>
  <cp:keywords>html-to-docx</cp:keywords>
  <cp:lastModifiedBy>dyx</cp:lastModifiedBy>
  <dcterms:modified xsi:type="dcterms:W3CDTF">2026-01-04T17:12:50Z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C08E7E58900A4CF986EF531F9028FC13_12</vt:lpwstr>
  </property>
</Properties>
</file>