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923"/>
        <w:spacing w:before="47" w:line="381" w:lineRule="auto"/>
        <w:rPr/>
      </w:pPr>
      <w:r>
        <w:rPr>
          <w:spacing w:val="9"/>
        </w:rPr>
        <w:t>机器学习/深度学习在材料元素组合配比优化领域的专业报告</w:t>
      </w:r>
      <w:r>
        <w:rPr>
          <w:spacing w:val="3"/>
        </w:rPr>
        <w:t xml:space="preserve"> </w:t>
      </w:r>
      <w:r>
        <w:rPr>
          <w:spacing w:val="24"/>
        </w:rPr>
        <w:t>报告编制日期：2026年2月</w:t>
      </w:r>
    </w:p>
    <w:p>
      <w:pPr>
        <w:pStyle w:val="BodyText"/>
        <w:spacing w:before="1" w:line="220" w:lineRule="auto"/>
        <w:rPr/>
      </w:pPr>
      <w:r>
        <w:rPr>
          <w:spacing w:val="17"/>
        </w:rPr>
        <w:t>编制单位：国际材料信息学前沿观察(基于公开学术进展</w:t>
      </w:r>
      <w:r>
        <w:rPr>
          <w:spacing w:val="16"/>
        </w:rPr>
        <w:t>整合)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1.</w:t>
      </w:r>
      <w:r>
        <w:rPr>
          <w:sz w:val="30"/>
          <w:szCs w:val="30"/>
          <w:b/>
          <w:bCs/>
          <w:spacing w:val="-8"/>
        </w:rPr>
        <w:t>研究进展与应用现状概述</w:t>
      </w:r>
    </w:p>
    <w:p>
      <w:pPr>
        <w:pStyle w:val="BodyText"/>
        <w:ind w:right="218"/>
        <w:spacing w:before="243" w:line="299" w:lineRule="auto"/>
        <w:rPr>
          <w:rFonts w:ascii="SimSun" w:hAnsi="SimSun" w:eastAsia="SimSun" w:cs="SimSun"/>
        </w:rPr>
      </w:pPr>
      <w:r>
        <w:rPr>
          <w:spacing w:val="9"/>
        </w:rPr>
        <w:t>机器学习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ML</w:t>
      </w:r>
      <w:r>
        <w:rPr>
          <w:rFonts w:ascii="SimSun" w:hAnsi="SimSun" w:eastAsia="SimSun" w:cs="SimSun"/>
          <w:spacing w:val="9"/>
        </w:rPr>
        <w:t>)  </w:t>
      </w:r>
      <w:r>
        <w:rPr>
          <w:spacing w:val="9"/>
        </w:rPr>
        <w:t>与深度学习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DL</w:t>
      </w:r>
      <w:r>
        <w:rPr>
          <w:rFonts w:ascii="SimSun" w:hAnsi="SimSun" w:eastAsia="SimSun" w:cs="SimSun"/>
          <w:spacing w:val="9"/>
        </w:rPr>
        <w:t>)  </w:t>
      </w:r>
      <w:r>
        <w:rPr>
          <w:spacing w:val="9"/>
        </w:rPr>
        <w:t>在材料元素组合配比优化领域已从辅助工具逐步演变为核心</w:t>
      </w:r>
      <w:r>
        <w:rPr/>
        <w:t xml:space="preserve"> </w:t>
      </w:r>
      <w:r>
        <w:rPr>
          <w:spacing w:val="7"/>
        </w:rPr>
        <w:t>加速引擎，主要研究方向包括：(1)从化学组成直接</w:t>
      </w:r>
      <w:r>
        <w:rPr>
          <w:spacing w:val="6"/>
        </w:rPr>
        <w:t>预测材料性能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composition</w:t>
      </w:r>
      <w:r>
        <w:rPr>
          <w:rFonts w:ascii="SimSun" w:hAnsi="SimSun" w:eastAsia="SimSun" w:cs="SimSun"/>
          <w:spacing w:val="6"/>
        </w:rPr>
        <w:t>-</w:t>
      </w:r>
      <w:r>
        <w:rPr>
          <w:rFonts w:ascii="SimSun" w:hAnsi="SimSun" w:eastAsia="SimSun" w:cs="SimSun"/>
        </w:rPr>
        <w:t>only</w:t>
      </w:r>
    </w:p>
    <w:p>
      <w:pPr>
        <w:pStyle w:val="BodyText"/>
        <w:ind w:right="241"/>
        <w:spacing w:before="2" w:line="352" w:lineRule="auto"/>
        <w:rPr/>
      </w:pPr>
      <w:r>
        <w:rPr>
          <w:rFonts w:ascii="Arial" w:hAnsi="Arial" w:eastAsia="Arial" w:cs="Arial"/>
        </w:rPr>
        <w:t>prediction</w:t>
      </w:r>
      <w:r>
        <w:rPr>
          <w:rFonts w:ascii="Arial" w:hAnsi="Arial" w:eastAsia="Arial" w:cs="Arial"/>
          <w:spacing w:val="7"/>
        </w:rPr>
        <w:t>);(2)       </w:t>
      </w:r>
      <w:r>
        <w:rPr>
          <w:spacing w:val="7"/>
        </w:rPr>
        <w:t>结合晶体结构信息的</w:t>
      </w:r>
      <w:r>
        <w:rPr>
          <w:spacing w:val="6"/>
        </w:rPr>
        <w:t>端到端预测；(3)主动学习</w:t>
      </w:r>
      <w:r>
        <w:rPr>
          <w:spacing w:val="-17"/>
        </w:rPr>
        <w:t xml:space="preserve"> </w:t>
      </w:r>
      <w:r>
        <w:rPr>
          <w:rFonts w:ascii="Arial" w:hAnsi="Arial" w:eastAsia="Arial" w:cs="Arial"/>
          <w:spacing w:val="6"/>
        </w:rPr>
        <w:t>(</w:t>
      </w:r>
      <w:r>
        <w:rPr>
          <w:rFonts w:ascii="Arial" w:hAnsi="Arial" w:eastAsia="Arial" w:cs="Arial"/>
        </w:rPr>
        <w:t>Active</w:t>
      </w:r>
      <w:r>
        <w:rPr>
          <w:rFonts w:ascii="Arial" w:hAnsi="Arial" w:eastAsia="Arial" w:cs="Arial"/>
          <w:spacing w:val="6"/>
        </w:rPr>
        <w:t xml:space="preserve">     </w:t>
      </w:r>
      <w:r>
        <w:rPr>
          <w:rFonts w:ascii="Arial" w:hAnsi="Arial" w:eastAsia="Arial" w:cs="Arial"/>
        </w:rPr>
        <w:t>Learning</w:t>
      </w:r>
      <w:r>
        <w:rPr>
          <w:rFonts w:ascii="Arial" w:hAnsi="Arial" w:eastAsia="Arial" w:cs="Arial"/>
          <w:spacing w:val="6"/>
        </w:rPr>
        <w:t>)  </w:t>
      </w:r>
      <w:r>
        <w:rPr>
          <w:spacing w:val="6"/>
        </w:rPr>
        <w:t>驱动的实</w:t>
      </w:r>
      <w:r>
        <w:rPr/>
        <w:t xml:space="preserve"> </w:t>
      </w:r>
      <w:r>
        <w:rPr>
          <w:spacing w:val="9"/>
        </w:rPr>
        <w:t>验-计算闭环优化；(4)生成模型与逆向设计用于新型多组元材料探索。</w:t>
      </w:r>
    </w:p>
    <w:p>
      <w:pPr>
        <w:pStyle w:val="BodyText"/>
        <w:spacing w:before="140" w:line="212" w:lineRule="auto"/>
        <w:rPr>
          <w:rFonts w:ascii="Times New Roman" w:hAnsi="Times New Roman" w:eastAsia="Times New Roman" w:cs="Times New Roman"/>
        </w:rPr>
      </w:pPr>
      <w:r>
        <w:rPr>
          <w:spacing w:val="11"/>
        </w:rPr>
        <w:t>关键技术突破体现在2023年</w:t>
      </w:r>
      <w:r>
        <w:rPr>
          <w:rFonts w:ascii="Times New Roman" w:hAnsi="Times New Roman" w:eastAsia="Times New Roman" w:cs="Times New Roman"/>
        </w:rPr>
        <w:t>Google</w:t>
      </w:r>
      <w:r>
        <w:rPr>
          <w:rFonts w:ascii="Times New Roman" w:hAnsi="Times New Roman" w:eastAsia="Times New Roman" w:cs="Times New Roman"/>
          <w:spacing w:val="11"/>
        </w:rPr>
        <w:t xml:space="preserve">      </w:t>
      </w:r>
      <w:r>
        <w:rPr>
          <w:rFonts w:ascii="Times New Roman" w:hAnsi="Times New Roman" w:eastAsia="Times New Roman" w:cs="Times New Roman"/>
        </w:rPr>
        <w:t>DeepMind</w:t>
      </w:r>
      <w:r>
        <w:rPr>
          <w:spacing w:val="11"/>
        </w:rPr>
        <w:t>的</w:t>
      </w:r>
      <w:r>
        <w:rPr>
          <w:rFonts w:ascii="Times New Roman" w:hAnsi="Times New Roman" w:eastAsia="Times New Roman" w:cs="Times New Roman"/>
        </w:rPr>
        <w:t>GNoME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11"/>
        </w:rPr>
        <w:t>工作，通过大规模图</w:t>
      </w:r>
      <w:r>
        <w:rPr>
          <w:spacing w:val="10"/>
        </w:rPr>
        <w:t>神经网络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GNN</w:t>
      </w:r>
      <w:r>
        <w:rPr>
          <w:rFonts w:ascii="Times New Roman" w:hAnsi="Times New Roman" w:eastAsia="Times New Roman" w:cs="Times New Roman"/>
          <w:spacing w:val="10"/>
        </w:rPr>
        <w:t>)</w:t>
      </w:r>
    </w:p>
    <w:p>
      <w:pPr>
        <w:pStyle w:val="BodyText"/>
        <w:spacing w:before="180" w:line="352" w:lineRule="auto"/>
        <w:rPr/>
      </w:pPr>
      <w:r>
        <w:rPr>
          <w:spacing w:val="8"/>
        </w:rPr>
        <w:t>+主动学习，在</w:t>
      </w:r>
      <w:r>
        <w:rPr>
          <w:rFonts w:ascii="SimSun" w:hAnsi="SimSun" w:eastAsia="SimSun" w:cs="SimSun"/>
        </w:rPr>
        <w:t>Materials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</w:rPr>
        <w:t>Project</w:t>
      </w:r>
      <w:r>
        <w:rPr>
          <w:spacing w:val="8"/>
        </w:rPr>
        <w:t>基础上扩展了稳定晶体结构数量近10倍，能量预测</w:t>
      </w:r>
      <w:r>
        <w:rPr>
          <w:rFonts w:ascii="SimSun" w:hAnsi="SimSun" w:eastAsia="SimSun" w:cs="SimSun"/>
        </w:rPr>
        <w:t>MAE</w:t>
      </w:r>
      <w:r>
        <w:rPr>
          <w:rFonts w:ascii="SimSun" w:hAnsi="SimSun" w:eastAsia="SimSun" w:cs="SimSun"/>
          <w:spacing w:val="87"/>
        </w:rPr>
        <w:t xml:space="preserve"> </w:t>
      </w:r>
      <w:r>
        <w:rPr>
          <w:spacing w:val="8"/>
        </w:rPr>
        <w:t>降至约11</w:t>
      </w:r>
      <w:r>
        <w:rPr/>
        <w:t xml:space="preserve"> </w:t>
      </w:r>
      <w:r>
        <w:rPr>
          <w:rFonts w:ascii="SimSun" w:hAnsi="SimSun" w:eastAsia="SimSun" w:cs="SimSun"/>
        </w:rPr>
        <w:t>meV</w:t>
      </w:r>
      <w:r>
        <w:rPr>
          <w:rFonts w:ascii="SimSun" w:hAnsi="SimSun" w:eastAsia="SimSun" w:cs="SimSun"/>
          <w:spacing w:val="8"/>
        </w:rPr>
        <w:t>/</w:t>
      </w:r>
      <w:r>
        <w:rPr>
          <w:rFonts w:ascii="SimSun" w:hAnsi="SimSun" w:eastAsia="SimSun" w:cs="SimSun"/>
        </w:rPr>
        <w:t>atom</w:t>
      </w:r>
      <w:r>
        <w:rPr>
          <w:rFonts w:ascii="SimSun" w:hAnsi="SimSun" w:eastAsia="SimSun" w:cs="SimSun"/>
          <w:spacing w:val="8"/>
        </w:rPr>
        <w:t>,</w:t>
      </w:r>
      <w:r>
        <w:rPr>
          <w:rFonts w:ascii="SimSun" w:hAnsi="SimSun" w:eastAsia="SimSun" w:cs="SimSun"/>
          <w:spacing w:val="6"/>
        </w:rPr>
        <w:t xml:space="preserve">   </w:t>
      </w:r>
      <w:r>
        <w:rPr>
          <w:spacing w:val="8"/>
        </w:rPr>
        <w:t>显著提升了高熵合金、高熵氧化物等复杂体系的筛选效率。</w:t>
      </w:r>
    </w:p>
    <w:p>
      <w:pPr>
        <w:pStyle w:val="BodyText"/>
        <w:spacing w:before="75" w:line="222" w:lineRule="auto"/>
        <w:rPr/>
      </w:pPr>
      <w:r>
        <w:rPr>
          <w:spacing w:val="4"/>
        </w:rPr>
        <w:t>应用范围覆盖：</w:t>
      </w:r>
    </w:p>
    <w:p>
      <w:pPr>
        <w:pStyle w:val="BodyText"/>
        <w:ind w:left="509" w:right="311" w:hanging="140"/>
        <w:spacing w:before="262" w:line="282" w:lineRule="auto"/>
        <w:rPr/>
      </w:pPr>
      <w:r>
        <w:rPr>
          <w:spacing w:val="6"/>
        </w:rPr>
        <w:t>·</w:t>
      </w:r>
      <w:r>
        <w:rPr>
          <w:spacing w:val="-80"/>
        </w:rPr>
        <w:t xml:space="preserve"> </w:t>
      </w:r>
      <w:r>
        <w:rPr>
          <w:spacing w:val="6"/>
        </w:rPr>
        <w:t>合金：高熵合金、镁合金、镍基高温合金的成分-性能优化最为</w:t>
      </w:r>
      <w:r>
        <w:rPr>
          <w:spacing w:val="5"/>
        </w:rPr>
        <w:t>成熟，常用于强度、腐蚀、</w:t>
      </w:r>
      <w:r>
        <w:rPr/>
        <w:t xml:space="preserve"> </w:t>
      </w:r>
      <w:r>
        <w:rPr>
          <w:spacing w:val="7"/>
        </w:rPr>
        <w:t>抗氧化等目标。</w:t>
      </w:r>
    </w:p>
    <w:p>
      <w:pPr>
        <w:pStyle w:val="BodyText"/>
        <w:ind w:left="369"/>
        <w:spacing w:before="256" w:line="220" w:lineRule="auto"/>
        <w:rPr/>
      </w:pPr>
      <w:r>
        <w:rPr>
          <w:spacing w:val="5"/>
        </w:rPr>
        <w:t>·</w:t>
      </w:r>
      <w:r>
        <w:rPr>
          <w:spacing w:val="-91"/>
        </w:rPr>
        <w:t xml:space="preserve"> </w:t>
      </w:r>
      <w:r>
        <w:rPr>
          <w:spacing w:val="5"/>
        </w:rPr>
        <w:t>陶瓷：钙钛矿氧化物、高熵陶瓷的介电、热导、稳定性预测较为活跃。</w:t>
      </w:r>
    </w:p>
    <w:p>
      <w:pPr>
        <w:pStyle w:val="BodyText"/>
        <w:ind w:left="509" w:right="133" w:hanging="140"/>
        <w:spacing w:before="287" w:line="267" w:lineRule="auto"/>
        <w:rPr/>
      </w:pPr>
      <w:r>
        <w:rPr>
          <w:spacing w:val="8"/>
        </w:rPr>
        <w:t>·</w:t>
      </w:r>
      <w:r>
        <w:rPr>
          <w:spacing w:val="-95"/>
        </w:rPr>
        <w:t xml:space="preserve"> </w:t>
      </w:r>
      <w:r>
        <w:rPr>
          <w:spacing w:val="8"/>
        </w:rPr>
        <w:t>聚合物：聚合物组成与热导率、机械性能、玻璃化转变</w:t>
      </w:r>
      <w:r>
        <w:rPr>
          <w:spacing w:val="7"/>
        </w:rPr>
        <w:t>温度的预测快速发展，但数据稀疏性</w:t>
      </w:r>
      <w:r>
        <w:rPr/>
        <w:t xml:space="preserve"> </w:t>
      </w:r>
      <w:r>
        <w:rPr>
          <w:spacing w:val="9"/>
        </w:rPr>
        <w:t>更严重，常依赖分子指纹+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21"/>
        </w:rPr>
        <w:t xml:space="preserve">   </w:t>
      </w:r>
      <w:r>
        <w:rPr>
          <w:spacing w:val="9"/>
        </w:rPr>
        <w:t>架构。</w:t>
      </w:r>
    </w:p>
    <w:p>
      <w:pPr>
        <w:pStyle w:val="BodyText"/>
        <w:ind w:left="509" w:right="274"/>
        <w:spacing w:before="155" w:line="342" w:lineRule="auto"/>
        <w:rPr/>
      </w:pPr>
      <w:r>
        <w:rPr>
          <w:spacing w:val="16"/>
        </w:rPr>
        <w:t>总体而言，合金与无机非金属材料应用程度较高(已有多</w:t>
      </w:r>
      <w:r>
        <w:rPr>
          <w:spacing w:val="15"/>
        </w:rPr>
        <w:t>个工业验证案例),聚合物领域仍</w:t>
      </w:r>
      <w:r>
        <w:rPr/>
        <w:t xml:space="preserve"> </w:t>
      </w:r>
      <w:r>
        <w:rPr>
          <w:spacing w:val="8"/>
        </w:rPr>
        <w:t>处于快速追赶阶段，主要受限于高质量标注数据不足。</w:t>
      </w:r>
    </w:p>
    <w:p>
      <w:pPr>
        <w:pStyle w:val="BodyText"/>
        <w:ind w:left="4"/>
        <w:spacing w:before="325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2.</w:t>
      </w:r>
      <w:r>
        <w:rPr>
          <w:sz w:val="30"/>
          <w:szCs w:val="30"/>
          <w:b/>
          <w:bCs/>
          <w:spacing w:val="-2"/>
        </w:rPr>
        <w:t>活跃研究课题组及其研究方向</w:t>
      </w:r>
    </w:p>
    <w:p>
      <w:pPr>
        <w:pStyle w:val="BodyText"/>
        <w:spacing w:before="243" w:line="221" w:lineRule="auto"/>
        <w:rPr/>
      </w:pPr>
      <w:r>
        <w:rPr>
          <w:spacing w:val="13"/>
        </w:rPr>
        <w:t>以下列出近年来在材料配比优化领域最具代表性的活跃组别(基于</w:t>
      </w:r>
      <w:r>
        <w:rPr>
          <w:spacing w:val="12"/>
        </w:rPr>
        <w:t>高影响力论文与持续产出):</w:t>
      </w:r>
    </w:p>
    <w:p>
      <w:pPr>
        <w:spacing w:line="221" w:lineRule="auto"/>
        <w:sectPr>
          <w:pgSz w:w="12240" w:h="15840"/>
          <w:pgMar w:top="1170" w:right="993" w:bottom="0" w:left="980" w:header="0" w:footer="0" w:gutter="0"/>
        </w:sectPr>
        <w:rPr/>
      </w:pPr>
    </w:p>
    <w:p>
      <w:pPr>
        <w:pStyle w:val="BodyText"/>
        <w:ind w:left="499" w:right="185" w:hanging="136"/>
        <w:spacing w:before="48" w:line="295" w:lineRule="auto"/>
        <w:rPr/>
      </w:pPr>
      <w:r>
        <w:rPr>
          <w:rFonts w:ascii="SimSun" w:hAnsi="SimSun" w:eastAsia="SimSun" w:cs="SimSun"/>
          <w:b/>
          <w:bCs/>
          <w:spacing w:val="4"/>
        </w:rPr>
        <w:t>·</w:t>
      </w:r>
      <w:r>
        <w:rPr>
          <w:rFonts w:ascii="SimSun" w:hAnsi="SimSun" w:eastAsia="SimSun" w:cs="SimSun"/>
          <w:b/>
          <w:bCs/>
        </w:rPr>
        <w:t>Google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b/>
          <w:bCs/>
        </w:rPr>
        <w:t>DeepMind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b/>
          <w:bCs/>
        </w:rPr>
        <w:t>Materials</w:t>
      </w:r>
      <w:r>
        <w:rPr>
          <w:rFonts w:ascii="SimSun" w:hAnsi="SimSun" w:eastAsia="SimSun" w:cs="SimSun"/>
          <w:spacing w:val="24"/>
        </w:rPr>
        <w:t xml:space="preserve">  </w:t>
      </w:r>
      <w:r>
        <w:rPr>
          <w:rFonts w:ascii="SimSun" w:hAnsi="SimSun" w:eastAsia="SimSun" w:cs="SimSun"/>
          <w:b/>
          <w:bCs/>
        </w:rPr>
        <w:t>Team</w:t>
      </w:r>
      <w:r>
        <w:rPr>
          <w:rFonts w:ascii="SimSun" w:hAnsi="SimSun" w:eastAsia="SimSun" w:cs="SimSun"/>
          <w:spacing w:val="28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Merchant</w:t>
      </w:r>
      <w:r>
        <w:rPr>
          <w:rFonts w:ascii="SimSun" w:hAnsi="SimSun" w:eastAsia="SimSun" w:cs="SimSun"/>
          <w:spacing w:val="4"/>
        </w:rPr>
        <w:t>,A.</w:t>
      </w:r>
      <w:r>
        <w:rPr>
          <w:rFonts w:ascii="SimSun" w:hAnsi="SimSun" w:eastAsia="SimSun" w:cs="SimSun"/>
          <w:spacing w:val="20"/>
        </w:rPr>
        <w:t xml:space="preserve">  </w:t>
      </w:r>
      <w:r>
        <w:rPr>
          <w:spacing w:val="4"/>
        </w:rPr>
        <w:t>等):焦点为超大规模</w:t>
      </w:r>
      <w:r>
        <w:rPr>
          <w:rFonts w:ascii="SimSun" w:hAnsi="SimSun" w:eastAsia="SimSun" w:cs="SimSun"/>
        </w:rPr>
        <w:t>GNN</w:t>
      </w:r>
      <w:r>
        <w:rPr>
          <w:rFonts w:ascii="SimSun" w:hAnsi="SimSun" w:eastAsia="SimSun" w:cs="SimSun"/>
          <w:spacing w:val="4"/>
        </w:rPr>
        <w:t>+   </w:t>
      </w:r>
      <w:r>
        <w:rPr>
          <w:spacing w:val="4"/>
        </w:rPr>
        <w:t>主动学</w:t>
      </w:r>
      <w:r>
        <w:rPr/>
        <w:t xml:space="preserve"> </w:t>
      </w:r>
      <w:r>
        <w:rPr>
          <w:spacing w:val="7"/>
        </w:rPr>
        <w:t>习，实现从组成到稳定结构的端到端发现。</w:t>
      </w:r>
      <w:r>
        <w:rPr>
          <w:spacing w:val="6"/>
        </w:rPr>
        <w:t>特色：</w:t>
      </w:r>
      <w:r>
        <w:rPr>
          <w:spacing w:val="6"/>
        </w:rPr>
        <w:t xml:space="preserve"> </w:t>
      </w:r>
      <w:r>
        <w:rPr>
          <w:rFonts w:ascii="SimSun" w:hAnsi="SimSun" w:eastAsia="SimSun" w:cs="SimSun"/>
        </w:rPr>
        <w:t>GNoME</w:t>
      </w:r>
      <w:r>
        <w:rPr>
          <w:rFonts w:ascii="SimSun" w:hAnsi="SimSun" w:eastAsia="SimSun" w:cs="SimSun"/>
          <w:spacing w:val="35"/>
        </w:rPr>
        <w:t xml:space="preserve">  </w:t>
      </w:r>
      <w:r>
        <w:rPr>
          <w:spacing w:val="6"/>
        </w:rPr>
        <w:t>框架，首次将稳定晶体数量扩展</w:t>
      </w:r>
      <w:r>
        <w:rPr>
          <w:spacing w:val="1"/>
        </w:rPr>
        <w:t xml:space="preserve"> </w:t>
      </w:r>
      <w:r>
        <w:rPr>
          <w:spacing w:val="8"/>
        </w:rPr>
        <w:t>至百万级，特别擅长高组元体系的泛化。</w:t>
      </w:r>
    </w:p>
    <w:p>
      <w:pPr>
        <w:pStyle w:val="BodyText"/>
        <w:ind w:left="499" w:right="182" w:hanging="140"/>
        <w:spacing w:before="232" w:line="310" w:lineRule="auto"/>
        <w:rPr/>
      </w:pPr>
      <w:r>
        <w:rPr>
          <w:rFonts w:ascii="Arial" w:hAnsi="Arial" w:eastAsia="Arial" w:cs="Arial"/>
          <w:b/>
          <w:bCs/>
          <w:spacing w:val="-1"/>
        </w:rPr>
        <w:t>·Max  Planck  Insti</w:t>
      </w:r>
      <w:r>
        <w:rPr>
          <w:rFonts w:ascii="Arial" w:hAnsi="Arial" w:eastAsia="Arial" w:cs="Arial"/>
          <w:b/>
          <w:bCs/>
          <w:spacing w:val="-2"/>
        </w:rPr>
        <w:t>tute</w:t>
      </w:r>
      <w:r>
        <w:rPr>
          <w:rFonts w:ascii="Arial" w:hAnsi="Arial" w:eastAsia="Arial" w:cs="Arial"/>
          <w:b/>
          <w:bCs/>
          <w:spacing w:val="5"/>
        </w:rPr>
        <w:t xml:space="preserve">  </w:t>
      </w:r>
      <w:r>
        <w:rPr>
          <w:rFonts w:ascii="Arial" w:hAnsi="Arial" w:eastAsia="Arial" w:cs="Arial"/>
          <w:b/>
          <w:bCs/>
          <w:spacing w:val="-2"/>
        </w:rPr>
        <w:t>for</w:t>
      </w:r>
      <w:r>
        <w:rPr>
          <w:rFonts w:ascii="Arial" w:hAnsi="Arial" w:eastAsia="Arial" w:cs="Arial"/>
          <w:b/>
          <w:bCs/>
          <w:spacing w:val="5"/>
        </w:rPr>
        <w:t xml:space="preserve">  </w:t>
      </w:r>
      <w:r>
        <w:rPr>
          <w:rFonts w:ascii="Arial" w:hAnsi="Arial" w:eastAsia="Arial" w:cs="Arial"/>
          <w:b/>
          <w:bCs/>
          <w:spacing w:val="-2"/>
        </w:rPr>
        <w:t>Sustainable</w:t>
      </w:r>
      <w:r>
        <w:rPr>
          <w:rFonts w:ascii="Arial" w:hAnsi="Arial" w:eastAsia="Arial" w:cs="Arial"/>
          <w:b/>
          <w:bCs/>
          <w:spacing w:val="12"/>
        </w:rPr>
        <w:t xml:space="preserve">  </w:t>
      </w:r>
      <w:r>
        <w:rPr>
          <w:rFonts w:ascii="Arial" w:hAnsi="Arial" w:eastAsia="Arial" w:cs="Arial"/>
          <w:b/>
          <w:bCs/>
          <w:spacing w:val="-2"/>
        </w:rPr>
        <w:t>Materials</w:t>
      </w:r>
      <w:r>
        <w:rPr>
          <w:rFonts w:ascii="Arial" w:hAnsi="Arial" w:eastAsia="Arial" w:cs="Arial"/>
          <w:b/>
          <w:bCs/>
          <w:spacing w:val="9"/>
        </w:rPr>
        <w:t xml:space="preserve">  </w:t>
      </w:r>
      <w:r>
        <w:rPr>
          <w:rFonts w:ascii="Arial" w:hAnsi="Arial" w:eastAsia="Arial" w:cs="Arial"/>
          <w:b/>
          <w:bCs/>
          <w:spacing w:val="-2"/>
        </w:rPr>
        <w:t>-Al</w:t>
      </w:r>
      <w:r>
        <w:rPr>
          <w:rFonts w:ascii="Arial" w:hAnsi="Arial" w:eastAsia="Arial" w:cs="Arial"/>
          <w:b/>
          <w:bCs/>
          <w:spacing w:val="5"/>
        </w:rPr>
        <w:t xml:space="preserve">  </w:t>
      </w:r>
      <w:r>
        <w:rPr>
          <w:rFonts w:ascii="Arial" w:hAnsi="Arial" w:eastAsia="Arial" w:cs="Arial"/>
          <w:b/>
          <w:bCs/>
          <w:spacing w:val="-2"/>
        </w:rPr>
        <w:t>for</w:t>
      </w:r>
      <w:r>
        <w:rPr>
          <w:rFonts w:ascii="Arial" w:hAnsi="Arial" w:eastAsia="Arial" w:cs="Arial"/>
          <w:b/>
          <w:bCs/>
          <w:spacing w:val="10"/>
        </w:rPr>
        <w:t xml:space="preserve">  </w:t>
      </w:r>
      <w:r>
        <w:rPr>
          <w:rFonts w:ascii="Arial" w:hAnsi="Arial" w:eastAsia="Arial" w:cs="Arial"/>
          <w:b/>
          <w:bCs/>
          <w:spacing w:val="-2"/>
        </w:rPr>
        <w:t>M</w:t>
      </w:r>
      <w:r>
        <w:rPr>
          <w:rFonts w:ascii="Arial" w:hAnsi="Arial" w:eastAsia="Arial" w:cs="Arial"/>
          <w:spacing w:val="-2"/>
        </w:rPr>
        <w:t>aterials    Science    Group:  </w:t>
      </w:r>
      <w:r>
        <w:rPr>
          <w:spacing w:val="-2"/>
        </w:rPr>
        <w:t>专</w:t>
      </w:r>
      <w:r>
        <w:rPr/>
        <w:t xml:space="preserve"> </w:t>
      </w:r>
      <w:r>
        <w:rPr>
          <w:spacing w:val="9"/>
        </w:rPr>
        <w:t>注可解释物理信息驱动的机器学习，用于合金设计。特色：开发</w:t>
      </w:r>
      <w:r>
        <w:rPr>
          <w:rFonts w:ascii="SimSun" w:hAnsi="SimSun" w:eastAsia="SimSun" w:cs="SimSun"/>
        </w:rPr>
        <w:t>physics</w:t>
      </w:r>
      <w:r>
        <w:rPr>
          <w:rFonts w:ascii="SimSun" w:hAnsi="SimSun" w:eastAsia="SimSun" w:cs="SimSun"/>
          <w:spacing w:val="9"/>
        </w:rPr>
        <w:t>-</w:t>
      </w:r>
      <w:r>
        <w:rPr>
          <w:rFonts w:ascii="SimSun" w:hAnsi="SimSun" w:eastAsia="SimSun" w:cs="SimSun"/>
        </w:rPr>
        <w:t>informed</w:t>
      </w:r>
      <w:r>
        <w:rPr>
          <w:rFonts w:ascii="SimSun" w:hAnsi="SimSun" w:eastAsia="SimSun" w:cs="SimSun"/>
          <w:spacing w:val="4"/>
        </w:rPr>
        <w:t xml:space="preserve">    </w:t>
      </w:r>
      <w:r>
        <w:rPr>
          <w:rFonts w:ascii="SimSun" w:hAnsi="SimSun" w:eastAsia="SimSun" w:cs="SimSun"/>
        </w:rPr>
        <w:t>GNN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8"/>
        </w:rPr>
        <w:t>提升模型在成分优化中的可解释性与泛化。</w:t>
      </w:r>
    </w:p>
    <w:p>
      <w:pPr>
        <w:pStyle w:val="BodyText"/>
        <w:ind w:left="499" w:right="52" w:hanging="136"/>
        <w:spacing w:before="184" w:line="293" w:lineRule="auto"/>
        <w:rPr/>
      </w:pPr>
      <w:r>
        <w:rPr>
          <w:rFonts w:ascii="SimSun" w:hAnsi="SimSun" w:eastAsia="SimSun" w:cs="SimSun"/>
          <w:sz w:val="30"/>
          <w:szCs w:val="30"/>
          <w:b/>
          <w:bCs/>
          <w:spacing w:val="-31"/>
        </w:rPr>
        <w:t>·Northwestern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31"/>
        </w:rPr>
        <w:t>University-Materials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31"/>
        </w:rPr>
        <w:t>I</w:t>
      </w:r>
      <w:r>
        <w:rPr>
          <w:rFonts w:ascii="SimSun" w:hAnsi="SimSun" w:eastAsia="SimSun" w:cs="SimSun"/>
          <w:sz w:val="30"/>
          <w:szCs w:val="30"/>
          <w:b/>
          <w:bCs/>
          <w:spacing w:val="-32"/>
        </w:rPr>
        <w:t>nformatics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32"/>
        </w:rPr>
        <w:t>Group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(Olson,Wolverton</w:t>
      </w:r>
      <w:r>
        <w:rPr>
          <w:rFonts w:ascii="SimSun" w:hAnsi="SimSun" w:eastAsia="SimSun" w:cs="SimSun"/>
          <w:sz w:val="30"/>
          <w:szCs w:val="30"/>
          <w:spacing w:val="-88"/>
        </w:rPr>
        <w:t xml:space="preserve"> </w:t>
      </w:r>
      <w:r>
        <w:rPr>
          <w:sz w:val="30"/>
          <w:szCs w:val="30"/>
          <w:spacing w:val="-32"/>
        </w:rPr>
        <w:t>等长期合</w:t>
      </w:r>
      <w:r>
        <w:rPr>
          <w:sz w:val="30"/>
          <w:szCs w:val="30"/>
        </w:rPr>
        <w:t xml:space="preserve">   </w:t>
      </w:r>
      <w:r>
        <w:rPr>
          <w:spacing w:val="14"/>
        </w:rPr>
        <w:t>作者):早期提出</w:t>
      </w:r>
      <w:r>
        <w:rPr>
          <w:rFonts w:ascii="Arial" w:hAnsi="Arial" w:eastAsia="Arial" w:cs="Arial"/>
        </w:rPr>
        <w:t>MAPI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14"/>
        </w:rPr>
        <w:t>框架，近年持续推进多目标贝叶斯优</w:t>
      </w:r>
      <w:r>
        <w:rPr>
          <w:spacing w:val="13"/>
        </w:rPr>
        <w:t>化与主动学习在高熵材料中的应</w:t>
      </w:r>
      <w:r>
        <w:rPr/>
        <w:t xml:space="preserve"> </w:t>
      </w:r>
      <w:r>
        <w:rPr>
          <w:spacing w:val="-2"/>
        </w:rPr>
        <w:t>用。</w:t>
      </w:r>
    </w:p>
    <w:p>
      <w:pPr>
        <w:pStyle w:val="BodyText"/>
        <w:ind w:left="499" w:right="94" w:hanging="140"/>
        <w:spacing w:before="239" w:line="284" w:lineRule="auto"/>
        <w:rPr/>
      </w:pPr>
      <w:r>
        <w:rPr>
          <w:rFonts w:ascii="Arial" w:hAnsi="Arial" w:eastAsia="Arial" w:cs="Arial"/>
          <w:b/>
          <w:bCs/>
          <w:spacing w:val="2"/>
        </w:rPr>
        <w:t>·</w:t>
      </w:r>
      <w:r>
        <w:rPr>
          <w:rFonts w:ascii="Arial" w:hAnsi="Arial" w:eastAsia="Arial" w:cs="Arial"/>
          <w:b/>
          <w:bCs/>
        </w:rPr>
        <w:t>Argonne</w:t>
      </w:r>
      <w:r>
        <w:rPr>
          <w:rFonts w:ascii="Arial" w:hAnsi="Arial" w:eastAsia="Arial" w:cs="Arial"/>
          <w:b/>
          <w:bCs/>
          <w:spacing w:val="26"/>
          <w:w w:val="101"/>
        </w:rPr>
        <w:t xml:space="preserve">  </w:t>
      </w:r>
      <w:r>
        <w:rPr>
          <w:rFonts w:ascii="Arial" w:hAnsi="Arial" w:eastAsia="Arial" w:cs="Arial"/>
          <w:b/>
          <w:bCs/>
        </w:rPr>
        <w:t>National</w:t>
      </w:r>
      <w:r>
        <w:rPr>
          <w:rFonts w:ascii="Arial" w:hAnsi="Arial" w:eastAsia="Arial" w:cs="Arial"/>
          <w:b/>
          <w:bCs/>
          <w:spacing w:val="27"/>
        </w:rPr>
        <w:t xml:space="preserve">  </w:t>
      </w:r>
      <w:r>
        <w:rPr>
          <w:rFonts w:ascii="Arial" w:hAnsi="Arial" w:eastAsia="Arial" w:cs="Arial"/>
          <w:b/>
          <w:bCs/>
        </w:rPr>
        <w:t>Laboratory</w:t>
      </w:r>
      <w:r>
        <w:rPr>
          <w:rFonts w:ascii="Arial" w:hAnsi="Arial" w:eastAsia="Arial" w:cs="Arial"/>
          <w:b/>
          <w:bCs/>
          <w:spacing w:val="23"/>
        </w:rPr>
        <w:t xml:space="preserve">  </w:t>
      </w:r>
      <w:r>
        <w:rPr>
          <w:rFonts w:ascii="Arial" w:hAnsi="Arial" w:eastAsia="Arial" w:cs="Arial"/>
          <w:b/>
          <w:bCs/>
          <w:spacing w:val="2"/>
        </w:rPr>
        <w:t>&amp;</w:t>
      </w:r>
      <w:r>
        <w:rPr>
          <w:rFonts w:ascii="Arial" w:hAnsi="Arial" w:eastAsia="Arial" w:cs="Arial"/>
          <w:b/>
          <w:bCs/>
        </w:rPr>
        <w:t>University</w:t>
      </w:r>
      <w:r>
        <w:rPr>
          <w:rFonts w:ascii="Arial" w:hAnsi="Arial" w:eastAsia="Arial" w:cs="Arial"/>
          <w:b/>
          <w:bCs/>
          <w:spacing w:val="23"/>
        </w:rPr>
        <w:t xml:space="preserve">  </w:t>
      </w:r>
      <w:r>
        <w:rPr>
          <w:rFonts w:ascii="Arial" w:hAnsi="Arial" w:eastAsia="Arial" w:cs="Arial"/>
          <w:b/>
          <w:bCs/>
        </w:rPr>
        <w:t>of</w:t>
      </w:r>
      <w:r>
        <w:rPr>
          <w:rFonts w:ascii="Arial" w:hAnsi="Arial" w:eastAsia="Arial" w:cs="Arial"/>
          <w:b/>
          <w:bCs/>
          <w:spacing w:val="20"/>
        </w:rPr>
        <w:t xml:space="preserve">  </w:t>
      </w:r>
      <w:r>
        <w:rPr>
          <w:rFonts w:ascii="Arial" w:hAnsi="Arial" w:eastAsia="Arial" w:cs="Arial"/>
          <w:b/>
          <w:bCs/>
        </w:rPr>
        <w:t>Chicago</w:t>
      </w:r>
      <w:r>
        <w:rPr>
          <w:rFonts w:ascii="Arial" w:hAnsi="Arial" w:eastAsia="Arial" w:cs="Arial"/>
          <w:b/>
          <w:bCs/>
          <w:spacing w:val="2"/>
        </w:rPr>
        <w:t>:</w:t>
      </w:r>
      <w:r>
        <w:rPr>
          <w:rFonts w:ascii="Arial" w:hAnsi="Arial" w:eastAsia="Arial" w:cs="Arial"/>
          <w:b/>
          <w:bCs/>
          <w:spacing w:val="33"/>
          <w:w w:val="101"/>
        </w:rPr>
        <w:t xml:space="preserve"> </w:t>
      </w:r>
      <w:r>
        <w:rPr>
          <w:spacing w:val="2"/>
        </w:rPr>
        <w:t>开发自动化高通量</w:t>
      </w:r>
      <w:r>
        <w:rPr>
          <w:rFonts w:ascii="Arial" w:hAnsi="Arial" w:eastAsia="Arial" w:cs="Arial"/>
        </w:rPr>
        <w:t>ML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spacing w:val="2"/>
        </w:rPr>
        <w:t>流程，重</w:t>
      </w:r>
      <w:r>
        <w:rPr/>
        <w:t xml:space="preserve"> </w:t>
      </w:r>
      <w:r>
        <w:rPr>
          <w:spacing w:val="7"/>
        </w:rPr>
        <w:t>点在能量相关性质与机械性质的转移学习优化。</w:t>
      </w:r>
    </w:p>
    <w:p>
      <w:pPr>
        <w:pStyle w:val="BodyText"/>
        <w:ind w:left="499" w:hanging="136"/>
        <w:spacing w:before="263" w:line="272" w:lineRule="auto"/>
        <w:rPr/>
      </w:pPr>
      <w:r>
        <w:rPr>
          <w:b/>
          <w:bCs/>
          <w:spacing w:val="13"/>
        </w:rPr>
        <w:t>·</w:t>
      </w:r>
      <w:r>
        <w:rPr>
          <w:spacing w:val="-66"/>
        </w:rPr>
        <w:t xml:space="preserve"> </w:t>
      </w:r>
      <w:r>
        <w:rPr>
          <w:b/>
          <w:bCs/>
          <w:spacing w:val="13"/>
        </w:rPr>
        <w:t>中国国防科技大学&amp;北京大学部分团队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(</w:t>
      </w:r>
      <w:r>
        <w:rPr>
          <w:rFonts w:ascii="SimSun" w:hAnsi="SimSun" w:eastAsia="SimSun" w:cs="SimSun"/>
        </w:rPr>
        <w:t>Chen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rFonts w:ascii="SimSun" w:hAnsi="SimSun" w:eastAsia="SimSun" w:cs="SimSun"/>
        </w:rPr>
        <w:t>Jiaxin</w:t>
      </w:r>
      <w:r>
        <w:rPr>
          <w:spacing w:val="13"/>
        </w:rPr>
        <w:t>等):</w:t>
      </w:r>
      <w:r>
        <w:rPr>
          <w:spacing w:val="12"/>
        </w:rPr>
        <w:t>专注数据驱动主动学习在成分设</w:t>
      </w:r>
      <w:r>
        <w:rPr/>
        <w:t xml:space="preserve"> </w:t>
      </w:r>
      <w:r>
        <w:rPr>
          <w:spacing w:val="9"/>
        </w:rPr>
        <w:t>计中的闭环应用，特别关注高熵氧化物、钙钛矿的组成优化。</w:t>
      </w:r>
    </w:p>
    <w:p>
      <w:pPr>
        <w:pStyle w:val="BodyText"/>
        <w:ind w:left="499" w:right="53" w:hanging="136"/>
        <w:spacing w:before="264" w:line="292" w:lineRule="auto"/>
        <w:rPr/>
      </w:pPr>
      <w:r>
        <w:rPr>
          <w:rFonts w:ascii="SimSun" w:hAnsi="SimSun" w:eastAsia="SimSun" w:cs="SimSun"/>
          <w:b/>
          <w:bCs/>
          <w:spacing w:val="12"/>
        </w:rPr>
        <w:t>·</w:t>
      </w:r>
      <w:r>
        <w:rPr>
          <w:rFonts w:ascii="SimSun" w:hAnsi="SimSun" w:eastAsia="SimSun" w:cs="SimSun"/>
          <w:b/>
          <w:bCs/>
        </w:rPr>
        <w:t>KAIST</w:t>
      </w:r>
      <w:r>
        <w:rPr>
          <w:rFonts w:ascii="SimSun" w:hAnsi="SimSun" w:eastAsia="SimSun" w:cs="SimSun"/>
          <w:b/>
          <w:bCs/>
          <w:spacing w:val="12"/>
        </w:rPr>
        <w:t>-</w:t>
      </w:r>
      <w:r>
        <w:rPr>
          <w:rFonts w:ascii="SimSun" w:hAnsi="SimSun" w:eastAsia="SimSun" w:cs="SimSun"/>
          <w:b/>
          <w:bCs/>
        </w:rPr>
        <w:t>Seungbum</w:t>
      </w:r>
      <w:r>
        <w:rPr>
          <w:rFonts w:ascii="SimSun" w:hAnsi="SimSun" w:eastAsia="SimSun" w:cs="SimSun"/>
          <w:spacing w:val="12"/>
        </w:rPr>
        <w:t xml:space="preserve">    </w:t>
      </w:r>
      <w:r>
        <w:rPr>
          <w:rFonts w:ascii="SimSun" w:hAnsi="SimSun" w:eastAsia="SimSun" w:cs="SimSun"/>
          <w:b/>
          <w:bCs/>
        </w:rPr>
        <w:t>Hong</w:t>
      </w:r>
      <w:r>
        <w:rPr>
          <w:rFonts w:ascii="SimSun" w:hAnsi="SimSun" w:eastAsia="SimSun" w:cs="SimSun"/>
          <w:spacing w:val="20"/>
        </w:rPr>
        <w:t xml:space="preserve">    </w:t>
      </w:r>
      <w:r>
        <w:rPr>
          <w:rFonts w:ascii="SimSun" w:hAnsi="SimSun" w:eastAsia="SimSun" w:cs="SimSun"/>
          <w:b/>
          <w:bCs/>
        </w:rPr>
        <w:t>Group</w:t>
      </w:r>
      <w:r>
        <w:rPr>
          <w:rFonts w:ascii="SimSun" w:hAnsi="SimSun" w:eastAsia="SimSun" w:cs="SimSun"/>
          <w:b/>
          <w:bCs/>
          <w:spacing w:val="12"/>
        </w:rPr>
        <w:t>: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12"/>
        </w:rPr>
        <w:t>系统总结</w:t>
      </w:r>
      <w:r>
        <w:rPr>
          <w:rFonts w:ascii="SimSun" w:hAnsi="SimSun" w:eastAsia="SimSun" w:cs="SimSun"/>
        </w:rPr>
        <w:t>Al</w:t>
      </w:r>
      <w:r>
        <w:rPr>
          <w:spacing w:val="12"/>
        </w:rPr>
        <w:t>在材料全链条(发现-开</w:t>
      </w:r>
      <w:r>
        <w:rPr>
          <w:spacing w:val="11"/>
        </w:rPr>
        <w:t>发-优化)的角色，</w:t>
      </w:r>
      <w:r>
        <w:rPr/>
        <w:t xml:space="preserve"> </w:t>
      </w:r>
      <w:r>
        <w:rPr>
          <w:spacing w:val="7"/>
        </w:rPr>
        <w:t>近年强调生成模型与自驾实验室的集成。</w:t>
      </w:r>
    </w:p>
    <w:p>
      <w:pPr>
        <w:pStyle w:val="BodyText"/>
        <w:spacing w:before="303" w:line="221" w:lineRule="auto"/>
        <w:rPr/>
      </w:pPr>
      <w:r>
        <w:rPr>
          <w:spacing w:val="9"/>
        </w:rPr>
        <w:t>这些组别形成了从基础算法到应用验证的完整</w:t>
      </w:r>
      <w:r>
        <w:rPr>
          <w:spacing w:val="8"/>
        </w:rPr>
        <w:t>梯队。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3.</w:t>
      </w:r>
      <w:r>
        <w:rPr>
          <w:sz w:val="30"/>
          <w:szCs w:val="30"/>
          <w:b/>
          <w:bCs/>
          <w:spacing w:val="1"/>
        </w:rPr>
        <w:t>代表性已发表论文</w:t>
      </w:r>
    </w:p>
    <w:p>
      <w:pPr>
        <w:pStyle w:val="BodyText"/>
        <w:spacing w:before="233" w:line="221" w:lineRule="auto"/>
        <w:rPr/>
      </w:pPr>
      <w:r>
        <w:rPr>
          <w:spacing w:val="22"/>
        </w:rPr>
        <w:t>支撑上述进展的关键文献(聚焦2022-2025):</w:t>
      </w:r>
    </w:p>
    <w:p>
      <w:pPr>
        <w:spacing w:line="221" w:lineRule="auto"/>
        <w:sectPr>
          <w:pgSz w:w="12240" w:h="15840"/>
          <w:pgMar w:top="1262" w:right="1061" w:bottom="0" w:left="980" w:header="0" w:footer="0" w:gutter="0"/>
        </w:sectPr>
        <w:rPr/>
      </w:pPr>
    </w:p>
    <w:p>
      <w:pPr>
        <w:pStyle w:val="BodyText"/>
        <w:ind w:left="688" w:right="541" w:hanging="329"/>
        <w:spacing w:before="64" w:line="304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·Merchant,A.et   al.(2023)."Scaling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  deep    learning   for    materials   discovery".Nature.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(GNoME  </w:t>
      </w:r>
      <w:r>
        <w:rPr>
          <w:sz w:val="24"/>
          <w:szCs w:val="24"/>
        </w:rPr>
        <w:t>工作，里程碑，</w:t>
      </w:r>
      <w:r>
        <w:rPr>
          <w:rFonts w:ascii="SimSun" w:hAnsi="SimSun" w:eastAsia="SimSun" w:cs="SimSun"/>
          <w:sz w:val="24"/>
          <w:szCs w:val="24"/>
        </w:rPr>
        <w:t>MAE~11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   </w:t>
      </w:r>
      <w:r>
        <w:rPr>
          <w:rFonts w:ascii="SimSun" w:hAnsi="SimSun" w:eastAsia="SimSun" w:cs="SimSun"/>
          <w:sz w:val="24"/>
          <w:szCs w:val="24"/>
        </w:rPr>
        <w:t>meV/atom,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sz w:val="24"/>
          <w:szCs w:val="24"/>
        </w:rPr>
        <w:t>稳定结构扩展</w:t>
      </w:r>
      <w:r>
        <w:rPr>
          <w:sz w:val="24"/>
          <w:szCs w:val="24"/>
          <w:spacing w:val="-1"/>
        </w:rPr>
        <w:t>2.2</w:t>
      </w:r>
      <w:r>
        <w:rPr>
          <w:rFonts w:ascii="SimSun" w:hAnsi="SimSun" w:eastAsia="SimSun" w:cs="SimSun"/>
          <w:sz w:val="24"/>
          <w:szCs w:val="24"/>
          <w:spacing w:val="-1"/>
        </w:rPr>
        <w:t>M+)</w:t>
      </w:r>
    </w:p>
    <w:p>
      <w:pPr>
        <w:ind w:left="359"/>
        <w:spacing w:before="24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·Madani,M.et   al.(2025)."Accelerating   materials   property   prediction   via   a   hybrid</w:t>
      </w:r>
    </w:p>
    <w:p>
      <w:pPr>
        <w:pStyle w:val="BodyText"/>
        <w:ind w:left="500" w:right="173"/>
        <w:spacing w:before="146" w:line="256" w:lineRule="auto"/>
        <w:rPr>
          <w:rFonts w:ascii="Arial" w:hAnsi="Arial" w:eastAsia="Arial" w:cs="Arial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Transformer Graph</w:t>
      </w:r>
      <w:r>
        <w:rPr>
          <w:rFonts w:ascii="SimSun" w:hAnsi="SimSun" w:eastAsia="SimSun" w:cs="SimSun"/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framework".npj Computational Materials. </w:t>
      </w:r>
      <w:r>
        <w:rPr>
          <w:sz w:val="24"/>
          <w:szCs w:val="24"/>
          <w:spacing w:val="-1"/>
        </w:rPr>
        <w:t>(四体相互作用</w:t>
      </w:r>
      <w:r>
        <w:rPr>
          <w:rFonts w:ascii="SimSun" w:hAnsi="SimSun" w:eastAsia="SimSun" w:cs="SimSun"/>
          <w:sz w:val="24"/>
          <w:szCs w:val="24"/>
          <w:spacing w:val="-1"/>
        </w:rPr>
        <w:t>GNN,  </w:t>
      </w:r>
      <w:r>
        <w:rPr>
          <w:rFonts w:ascii="SimSun" w:hAnsi="SimSun" w:eastAsia="SimSun" w:cs="SimSun"/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2"/>
        </w:rPr>
        <w:t>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个性质</w:t>
      </w:r>
      <w:r>
        <w:rPr>
          <w:rFonts w:ascii="Arial" w:hAnsi="Arial" w:eastAsia="Arial" w:cs="Arial"/>
          <w:sz w:val="24"/>
          <w:szCs w:val="24"/>
          <w:spacing w:val="-1"/>
        </w:rPr>
        <w:t>MAE</w:t>
      </w:r>
      <w:r>
        <w:rPr>
          <w:sz w:val="24"/>
          <w:szCs w:val="24"/>
          <w:spacing w:val="-1"/>
        </w:rPr>
        <w:t>显著优于</w:t>
      </w:r>
      <w:r>
        <w:rPr>
          <w:rFonts w:ascii="Arial" w:hAnsi="Arial" w:eastAsia="Arial" w:cs="Arial"/>
          <w:sz w:val="24"/>
          <w:szCs w:val="24"/>
          <w:spacing w:val="-1"/>
        </w:rPr>
        <w:t>MEGNet/ALIGNN)</w:t>
      </w:r>
    </w:p>
    <w:p>
      <w:pPr>
        <w:pStyle w:val="BodyText"/>
        <w:ind w:left="499" w:hanging="140"/>
        <w:spacing w:before="232" w:line="31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·Zhao,W.et    al.(2024)."Design    of    multi</w:t>
      </w:r>
      <w:r>
        <w:rPr>
          <w:rFonts w:ascii="Arial" w:hAnsi="Arial" w:eastAsia="Arial" w:cs="Arial"/>
          <w:sz w:val="24"/>
          <w:szCs w:val="24"/>
          <w:spacing w:val="-1"/>
        </w:rPr>
        <w:t>component    thermosetting    polymers...through</w:t>
      </w:r>
      <w:r>
        <w:rPr>
          <w:rFonts w:ascii="Arial" w:hAnsi="Arial" w:eastAsia="Arial" w:cs="Arial"/>
          <w:sz w:val="24"/>
          <w:szCs w:val="24"/>
        </w:rPr>
        <w:t xml:space="preserve">    </w:t>
      </w:r>
      <w:r>
        <w:rPr>
          <w:rFonts w:ascii="Arial" w:hAnsi="Arial" w:eastAsia="Arial" w:cs="Arial"/>
          <w:sz w:val="24"/>
          <w:szCs w:val="24"/>
        </w:rPr>
        <w:t>active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learning".Composites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Science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and  Technology.  </w:t>
      </w:r>
      <w:r>
        <w:rPr>
          <w:sz w:val="24"/>
          <w:szCs w:val="24"/>
        </w:rPr>
        <w:t>(多目标贝叶斯主动学习，聚合物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7"/>
        </w:rPr>
        <w:t>配比优化)</w:t>
      </w:r>
    </w:p>
    <w:p>
      <w:pPr>
        <w:ind w:left="359"/>
        <w:spacing w:before="21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·Wang,H.et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al.(2025)."Computational</w:t>
      </w:r>
      <w:r>
        <w:rPr>
          <w:rFonts w:ascii="Arial" w:hAnsi="Arial" w:eastAsia="Arial" w:cs="Arial"/>
          <w:sz w:val="24"/>
          <w:szCs w:val="24"/>
          <w:spacing w:val="20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methods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and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artificia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</w:t>
      </w:r>
      <w:r>
        <w:rPr>
          <w:rFonts w:ascii="Arial" w:hAnsi="Arial" w:eastAsia="Arial" w:cs="Arial"/>
          <w:sz w:val="24"/>
          <w:szCs w:val="24"/>
          <w:spacing w:val="20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intelligence-based</w:t>
      </w:r>
    </w:p>
    <w:p>
      <w:pPr>
        <w:pStyle w:val="BodyText"/>
        <w:ind w:left="500"/>
        <w:spacing w:before="154" w:line="217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modeling of magnesium alloys".Frontiers in Materials. </w:t>
      </w:r>
      <w:r>
        <w:rPr>
          <w:sz w:val="24"/>
          <w:szCs w:val="24"/>
          <w:spacing w:val="-4"/>
        </w:rPr>
        <w:t>(镁合金成分优化综述与案例)</w:t>
      </w:r>
    </w:p>
    <w:p>
      <w:pPr>
        <w:pStyle w:val="BodyText"/>
        <w:ind w:left="499" w:right="112" w:hanging="140"/>
        <w:spacing w:before="196" w:line="30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·Long,T.et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al.(2025)."Recent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Progress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of  Artificial   Intel</w:t>
      </w:r>
      <w:r>
        <w:rPr>
          <w:rFonts w:ascii="Arial" w:hAnsi="Arial" w:eastAsia="Arial" w:cs="Arial"/>
          <w:sz w:val="24"/>
          <w:szCs w:val="24"/>
          <w:spacing w:val="-2"/>
        </w:rPr>
        <w:t>ligence   Application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Polymer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Materials</w:t>
      </w:r>
      <w:r>
        <w:rPr>
          <w:rFonts w:ascii="SimSun" w:hAnsi="SimSun" w:eastAsia="SimSun" w:cs="SimSun"/>
          <w:sz w:val="24"/>
          <w:szCs w:val="24"/>
          <w:spacing w:val="3"/>
        </w:rPr>
        <w:t>".</w:t>
      </w:r>
      <w:r>
        <w:rPr>
          <w:rFonts w:ascii="SimSun" w:hAnsi="SimSun" w:eastAsia="SimSun" w:cs="SimSun"/>
          <w:sz w:val="24"/>
          <w:szCs w:val="24"/>
        </w:rPr>
        <w:t>Polymers</w:t>
      </w:r>
      <w:r>
        <w:rPr>
          <w:rFonts w:ascii="SimSun" w:hAnsi="SimSun" w:eastAsia="SimSun" w:cs="SimSun"/>
          <w:sz w:val="24"/>
          <w:szCs w:val="24"/>
          <w:spacing w:val="3"/>
        </w:rPr>
        <w:t>. </w:t>
      </w:r>
      <w:r>
        <w:rPr>
          <w:sz w:val="24"/>
          <w:szCs w:val="24"/>
          <w:spacing w:val="3"/>
        </w:rPr>
        <w:t>(聚合物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sz w:val="24"/>
          <w:szCs w:val="24"/>
          <w:spacing w:val="3"/>
        </w:rPr>
        <w:t>应用全面综述)</w:t>
      </w:r>
    </w:p>
    <w:p>
      <w:pPr>
        <w:ind w:left="359"/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·Omee,S.S.et    al.(2024)."Structure-based     out-of-distri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bution     materials     property</w:t>
      </w:r>
    </w:p>
    <w:p>
      <w:pPr>
        <w:pStyle w:val="BodyText"/>
        <w:ind w:left="500" w:right="359"/>
        <w:spacing w:before="74" w:line="29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prediction:a    benchmark    s</w:t>
      </w:r>
      <w:r>
        <w:rPr>
          <w:rFonts w:ascii="Arial" w:hAnsi="Arial" w:eastAsia="Arial" w:cs="Arial"/>
          <w:sz w:val="24"/>
          <w:szCs w:val="24"/>
          <w:spacing w:val="-1"/>
        </w:rPr>
        <w:t>tudy".npj    Computational    Materials.(GNN</w:t>
      </w:r>
      <w:r>
        <w:rPr>
          <w:sz w:val="24"/>
          <w:szCs w:val="24"/>
          <w:spacing w:val="-1"/>
        </w:rPr>
        <w:t>外推能力基准测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试)</w:t>
      </w:r>
    </w:p>
    <w:p>
      <w:pPr>
        <w:pStyle w:val="BodyText"/>
        <w:ind w:left="668" w:right="11" w:hanging="309"/>
        <w:spacing w:before="226" w:line="30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·Jin,L.et    al.(2025)."Transformer-generated     atomic     </w:t>
      </w:r>
      <w:r>
        <w:rPr>
          <w:rFonts w:ascii="Arial" w:hAnsi="Arial" w:eastAsia="Arial" w:cs="Arial"/>
          <w:sz w:val="24"/>
          <w:szCs w:val="24"/>
          <w:spacing w:val="-1"/>
        </w:rPr>
        <w:t>embeddings…".Scientific    Reports.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(</w:t>
      </w:r>
      <w:r>
        <w:rPr>
          <w:rFonts w:ascii="SimSun" w:hAnsi="SimSun" w:eastAsia="SimSun" w:cs="SimSun"/>
          <w:sz w:val="24"/>
          <w:szCs w:val="24"/>
        </w:rPr>
        <w:t>Transformer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6"/>
        </w:rPr>
        <w:t>原子嵌入提升</w:t>
      </w:r>
      <w:r>
        <w:rPr>
          <w:rFonts w:ascii="SimSun" w:hAnsi="SimSun" w:eastAsia="SimSun" w:cs="SimSun"/>
          <w:sz w:val="24"/>
          <w:szCs w:val="24"/>
        </w:rPr>
        <w:t>CGCNN</w:t>
      </w:r>
      <w:r>
        <w:rPr>
          <w:rFonts w:ascii="SimSun" w:hAnsi="SimSun" w:eastAsia="SimSun" w:cs="SimSun"/>
          <w:sz w:val="24"/>
          <w:szCs w:val="24"/>
          <w:spacing w:val="6"/>
        </w:rPr>
        <w:t>/</w:t>
      </w:r>
      <w:r>
        <w:rPr>
          <w:rFonts w:ascii="SimSun" w:hAnsi="SimSun" w:eastAsia="SimSun" w:cs="SimSun"/>
          <w:sz w:val="24"/>
          <w:szCs w:val="24"/>
        </w:rPr>
        <w:t>ALIGNN</w:t>
      </w:r>
      <w:r>
        <w:rPr>
          <w:rFonts w:ascii="SimSun" w:hAnsi="SimSun" w:eastAsia="SimSun" w:cs="SimSun"/>
          <w:sz w:val="24"/>
          <w:szCs w:val="24"/>
          <w:spacing w:val="29"/>
        </w:rPr>
        <w:t xml:space="preserve">   </w:t>
      </w:r>
      <w:r>
        <w:rPr>
          <w:sz w:val="24"/>
          <w:szCs w:val="24"/>
          <w:spacing w:val="6"/>
        </w:rPr>
        <w:t>约14-18%)</w:t>
      </w:r>
    </w:p>
    <w:p>
      <w:pPr>
        <w:pStyle w:val="BodyText"/>
        <w:spacing w:before="289" w:line="22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这些论文覆盖了从基础模型到具体材料类别的完整链条。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22" w:lineRule="auto"/>
        <w:outlineLvl w:val="2"/>
        <w:rPr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4.</w:t>
      </w:r>
      <w:r>
        <w:rPr>
          <w:sz w:val="31"/>
          <w:szCs w:val="31"/>
          <w:b/>
          <w:bCs/>
          <w:spacing w:val="-4"/>
        </w:rPr>
        <w:t>所用数据库分析</w:t>
      </w:r>
    </w:p>
    <w:p>
      <w:pPr>
        <w:pStyle w:val="BodyText"/>
        <w:spacing w:before="216" w:line="21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当前研究高度依赖高通量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DFT</w:t>
      </w:r>
      <w:r>
        <w:rPr>
          <w:sz w:val="24"/>
          <w:szCs w:val="24"/>
          <w:spacing w:val="-3"/>
        </w:rPr>
        <w:t>计算数据库，主要包括：</w:t>
      </w:r>
    </w:p>
    <w:p>
      <w:pPr>
        <w:pStyle w:val="BodyText"/>
        <w:ind w:left="499" w:right="91" w:hanging="140"/>
        <w:spacing w:before="267" w:line="287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·</w:t>
      </w:r>
      <w:r>
        <w:rPr>
          <w:rFonts w:ascii="SimSun" w:hAnsi="SimSun" w:eastAsia="SimSun" w:cs="SimSun"/>
          <w:sz w:val="24"/>
          <w:szCs w:val="24"/>
        </w:rPr>
        <w:t>Materials</w:t>
      </w:r>
      <w:r>
        <w:rPr>
          <w:rFonts w:ascii="SimSun" w:hAnsi="SimSun" w:eastAsia="SimSun" w:cs="SimSun"/>
          <w:sz w:val="24"/>
          <w:szCs w:val="24"/>
          <w:spacing w:val="12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Project</w:t>
      </w:r>
      <w:r>
        <w:rPr>
          <w:rFonts w:ascii="SimSun" w:hAnsi="SimSun" w:eastAsia="SimSun" w:cs="SimSun"/>
          <w:sz w:val="24"/>
          <w:szCs w:val="24"/>
          <w:spacing w:val="9"/>
        </w:rPr>
        <w:t>(</w:t>
      </w:r>
      <w:r>
        <w:rPr>
          <w:rFonts w:ascii="SimSun" w:hAnsi="SimSun" w:eastAsia="SimSun" w:cs="SimSun"/>
          <w:sz w:val="24"/>
          <w:szCs w:val="24"/>
        </w:rPr>
        <w:t>MP</w:t>
      </w:r>
      <w:r>
        <w:rPr>
          <w:rFonts w:ascii="SimSun" w:hAnsi="SimSun" w:eastAsia="SimSun" w:cs="SimSun"/>
          <w:sz w:val="24"/>
          <w:szCs w:val="24"/>
          <w:spacing w:val="9"/>
        </w:rPr>
        <w:t>):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sz w:val="24"/>
          <w:szCs w:val="24"/>
          <w:spacing w:val="9"/>
        </w:rPr>
        <w:t>规模约14-15万条稳定结构(2021-2025持续增长),数据来源为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PBE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DFT</w:t>
      </w:r>
      <w:r>
        <w:rPr>
          <w:sz w:val="24"/>
          <w:szCs w:val="24"/>
          <w:spacing w:val="7"/>
        </w:rPr>
        <w:t>计算，特点：结构标准化好、性质全面(形成能、带隙、弹性等),但带隙普遍低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26"/>
        </w:rPr>
        <w:t>估约50%。</w:t>
      </w:r>
    </w:p>
    <w:p>
      <w:pPr>
        <w:pStyle w:val="BodyText"/>
        <w:ind w:left="359"/>
        <w:spacing w:before="247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·</w:t>
      </w:r>
      <w:r>
        <w:rPr>
          <w:rFonts w:ascii="SimSun" w:hAnsi="SimSun" w:eastAsia="SimSun" w:cs="SimSun"/>
          <w:sz w:val="24"/>
          <w:szCs w:val="24"/>
        </w:rPr>
        <w:t>AFLOW</w:t>
      </w:r>
      <w:r>
        <w:rPr>
          <w:rFonts w:ascii="SimSun" w:hAnsi="SimSun" w:eastAsia="SimSun" w:cs="SimSun"/>
          <w:sz w:val="24"/>
          <w:szCs w:val="24"/>
          <w:spacing w:val="4"/>
        </w:rPr>
        <w:t>:   </w:t>
      </w:r>
      <w:r>
        <w:rPr>
          <w:sz w:val="24"/>
          <w:szCs w:val="24"/>
          <w:spacing w:val="4"/>
        </w:rPr>
        <w:t>规模更大(数百万条),包含多种泛函与赝势，特点：覆盖广但一致性稍差。</w:t>
      </w:r>
    </w:p>
    <w:p>
      <w:pPr>
        <w:pStyle w:val="BodyText"/>
        <w:ind w:left="359"/>
        <w:spacing w:before="264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·OQMD: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  </w:t>
      </w:r>
      <w:r>
        <w:rPr>
          <w:sz w:val="24"/>
          <w:szCs w:val="24"/>
          <w:spacing w:val="-2"/>
        </w:rPr>
        <w:t>约100万条，开放性强，包含大</w:t>
      </w:r>
      <w:r>
        <w:rPr>
          <w:sz w:val="24"/>
          <w:szCs w:val="24"/>
          <w:spacing w:val="-3"/>
        </w:rPr>
        <w:t>量亚稳态结构。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3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8"/>
        </w:rPr>
        <w:t>局限性：</w:t>
      </w:r>
    </w:p>
    <w:p>
      <w:pPr>
        <w:spacing w:line="223" w:lineRule="auto"/>
        <w:sectPr>
          <w:pgSz w:w="12240" w:h="15840"/>
          <w:pgMar w:top="1165" w:right="1027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369"/>
        <w:spacing w:before="48" w:line="213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·数据稀疏性：多组元(≥5元)材料覆盖率极低，高熵材料区几乎空白。</w:t>
      </w:r>
    </w:p>
    <w:p>
      <w:pPr>
        <w:pStyle w:val="BodyText"/>
        <w:ind w:left="509" w:hanging="140"/>
        <w:spacing w:before="229" w:line="28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·偏差</w:t>
      </w:r>
      <w:r>
        <w:rPr>
          <w:sz w:val="24"/>
          <w:szCs w:val="24"/>
          <w:spacing w:val="-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(bias):PBE    </w:t>
      </w:r>
      <w:r>
        <w:rPr>
          <w:sz w:val="24"/>
          <w:szCs w:val="24"/>
          <w:spacing w:val="-2"/>
        </w:rPr>
        <w:t>泛函系统性低估带隙、高估体积；实验数据极少，导致模型</w:t>
      </w:r>
      <w:r>
        <w:rPr>
          <w:sz w:val="24"/>
          <w:szCs w:val="24"/>
          <w:spacing w:val="-3"/>
        </w:rPr>
        <w:t>训练偏向计算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而非真实。</w:t>
      </w:r>
    </w:p>
    <w:p>
      <w:pPr>
        <w:pStyle w:val="BodyText"/>
        <w:ind w:left="509" w:right="118" w:hanging="140"/>
        <w:spacing w:before="241" w:line="275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·对研究影响：导致模型在</w:t>
      </w:r>
      <w:r>
        <w:rPr>
          <w:rFonts w:ascii="SimSun" w:hAnsi="SimSun" w:eastAsia="SimSun" w:cs="SimSun"/>
          <w:sz w:val="24"/>
          <w:szCs w:val="24"/>
          <w:spacing w:val="-2"/>
        </w:rPr>
        <w:t>OOS/OOD(out-of-distribution)</w:t>
      </w:r>
      <w:r>
        <w:rPr>
          <w:rFonts w:ascii="SimSun" w:hAnsi="SimSun" w:eastAsia="SimSun" w:cs="SimSun"/>
          <w:sz w:val="24"/>
          <w:szCs w:val="24"/>
          <w:spacing w:val="31"/>
        </w:rPr>
        <w:t xml:space="preserve">   </w:t>
      </w:r>
      <w:r>
        <w:rPr>
          <w:sz w:val="24"/>
          <w:szCs w:val="24"/>
          <w:spacing w:val="-2"/>
        </w:rPr>
        <w:t>区域泛化差；主动学习成为弥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4"/>
        </w:rPr>
        <w:t>补数据稀疏的必要手段。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5.</w:t>
      </w:r>
      <w:r>
        <w:rPr>
          <w:sz w:val="30"/>
          <w:szCs w:val="30"/>
          <w:b/>
          <w:bCs/>
          <w:spacing w:val="-1"/>
        </w:rPr>
        <w:t>模型类型与应用细节</w:t>
      </w:r>
    </w:p>
    <w:p>
      <w:pPr>
        <w:pStyle w:val="BodyText"/>
        <w:spacing w:before="235" w:line="22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常用模型及其在配比优化中的典型应用：</w:t>
      </w:r>
    </w:p>
    <w:p>
      <w:pPr>
        <w:pStyle w:val="BodyText"/>
        <w:ind w:left="509" w:right="14" w:hanging="140"/>
        <w:spacing w:before="214" w:line="298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·</w:t>
      </w:r>
      <w:r>
        <w:rPr>
          <w:sz w:val="24"/>
          <w:szCs w:val="24"/>
          <w:b/>
          <w:bCs/>
          <w:spacing w:val="-4"/>
        </w:rPr>
        <w:t>传统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ML:</w:t>
      </w:r>
      <w:r>
        <w:rPr>
          <w:rFonts w:ascii="Arial" w:hAnsi="Arial" w:eastAsia="Arial" w:cs="Arial"/>
          <w:sz w:val="24"/>
          <w:szCs w:val="24"/>
          <w:b/>
          <w:bCs/>
          <w:spacing w:val="25"/>
        </w:rPr>
        <w:t xml:space="preserve">  </w:t>
      </w:r>
      <w:r>
        <w:rPr>
          <w:sz w:val="24"/>
          <w:szCs w:val="24"/>
          <w:spacing w:val="-4"/>
        </w:rPr>
        <w:t>随机森林</w:t>
      </w:r>
      <w:r>
        <w:rPr>
          <w:sz w:val="24"/>
          <w:szCs w:val="24"/>
          <w:spacing w:val="-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(RF)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spacing w:val="-4"/>
        </w:rPr>
        <w:t>梯度提升</w:t>
      </w:r>
      <w:r>
        <w:rPr>
          <w:sz w:val="24"/>
          <w:szCs w:val="24"/>
          <w:spacing w:val="-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(XGBoost/LGBM)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rFonts w:ascii="SimSun" w:hAnsi="SimSun" w:eastAsia="SimSun" w:cs="SimSun"/>
          <w:sz w:val="24"/>
          <w:szCs w:val="24"/>
          <w:spacing w:val="49"/>
        </w:rPr>
        <w:t xml:space="preserve"> </w:t>
      </w:r>
      <w:r>
        <w:rPr>
          <w:sz w:val="24"/>
          <w:szCs w:val="24"/>
          <w:spacing w:val="-4"/>
        </w:rPr>
        <w:t>支持向量回归——常用于组成描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述符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(element    fraction    +stoichiometry)  </w:t>
      </w:r>
      <w:r>
        <w:rPr>
          <w:sz w:val="24"/>
          <w:szCs w:val="24"/>
        </w:rPr>
        <w:t>直接预测性能，解释性好但对复杂非线性捕捉有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8"/>
        </w:rPr>
        <w:t>限。</w:t>
      </w:r>
    </w:p>
    <w:p>
      <w:pPr>
        <w:pStyle w:val="BodyText"/>
        <w:ind w:left="509" w:right="30" w:hanging="136"/>
        <w:spacing w:before="227" w:line="29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·</w:t>
      </w:r>
      <w:r>
        <w:rPr>
          <w:sz w:val="24"/>
          <w:szCs w:val="24"/>
          <w:spacing w:val="-96"/>
        </w:rPr>
        <w:t xml:space="preserve"> </w:t>
      </w:r>
      <w:r>
        <w:rPr>
          <w:sz w:val="24"/>
          <w:szCs w:val="24"/>
          <w:b/>
          <w:bCs/>
          <w:spacing w:val="-3"/>
        </w:rPr>
        <w:t>图神经网络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(GNN):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3"/>
        </w:rPr>
        <w:t>CGCNN</w:t>
      </w:r>
      <w:r>
        <w:rPr>
          <w:rFonts w:ascii="SimSun" w:hAnsi="SimSun" w:eastAsia="SimSun" w:cs="SimSun"/>
          <w:sz w:val="24"/>
          <w:szCs w:val="24"/>
          <w:spacing w:val="-3"/>
        </w:rPr>
        <w:t>、</w:t>
      </w:r>
      <w:r>
        <w:rPr>
          <w:rFonts w:ascii="Arial" w:hAnsi="Arial" w:eastAsia="Arial" w:cs="Arial"/>
          <w:sz w:val="24"/>
          <w:szCs w:val="24"/>
          <w:spacing w:val="-3"/>
        </w:rPr>
        <w:t>MEG</w:t>
      </w:r>
      <w:r>
        <w:rPr>
          <w:rFonts w:ascii="Arial" w:hAnsi="Arial" w:eastAsia="Arial" w:cs="Arial"/>
          <w:sz w:val="24"/>
          <w:szCs w:val="24"/>
          <w:spacing w:val="-4"/>
        </w:rPr>
        <w:t>Net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rFonts w:ascii="Arial" w:hAnsi="Arial" w:eastAsia="Arial" w:cs="Arial"/>
          <w:sz w:val="24"/>
          <w:szCs w:val="24"/>
          <w:spacing w:val="-4"/>
        </w:rPr>
        <w:t>ALIGNN</w:t>
      </w:r>
      <w:r>
        <w:rPr>
          <w:rFonts w:ascii="SimSun" w:hAnsi="SimSun" w:eastAsia="SimSun" w:cs="SimSun"/>
          <w:sz w:val="24"/>
          <w:szCs w:val="24"/>
          <w:spacing w:val="-4"/>
        </w:rPr>
        <w:t>、</w:t>
      </w:r>
      <w:r>
        <w:rPr>
          <w:rFonts w:ascii="Arial" w:hAnsi="Arial" w:eastAsia="Arial" w:cs="Arial"/>
          <w:sz w:val="24"/>
          <w:szCs w:val="24"/>
          <w:spacing w:val="-4"/>
        </w:rPr>
        <w:t>DeeperGATGNN——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sz w:val="24"/>
          <w:szCs w:val="24"/>
          <w:spacing w:val="-4"/>
        </w:rPr>
        <w:t>将晶体表示为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7"/>
        </w:rPr>
        <w:t>图(原子为节点，键为边),直接从组成+结构预测形成能、带隙、模量等；近年加入四体相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互作用显著提升精度。</w:t>
      </w:r>
    </w:p>
    <w:p>
      <w:pPr>
        <w:pStyle w:val="BodyText"/>
        <w:ind w:left="509" w:right="73" w:hanging="140"/>
        <w:spacing w:before="248" w:line="273" w:lineRule="auto"/>
        <w:rPr>
          <w:rFonts w:ascii="SimSun" w:hAnsi="SimSun" w:eastAsia="SimSun" w:cs="SimSun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·Transformer:    </w:t>
      </w:r>
      <w:r>
        <w:rPr>
          <w:rFonts w:ascii="Arial" w:hAnsi="Arial" w:eastAsia="Arial" w:cs="Arial"/>
          <w:sz w:val="24"/>
          <w:szCs w:val="24"/>
        </w:rPr>
        <w:t>MatFormer</w:t>
      </w:r>
      <w:r>
        <w:rPr>
          <w:rFonts w:ascii="SimSun" w:hAnsi="SimSun" w:eastAsia="SimSun" w:cs="SimSun"/>
          <w:sz w:val="24"/>
          <w:szCs w:val="24"/>
        </w:rPr>
        <w:t>、</w:t>
      </w:r>
      <w:r>
        <w:rPr>
          <w:rFonts w:ascii="Arial" w:hAnsi="Arial" w:eastAsia="Arial" w:cs="Arial"/>
          <w:sz w:val="24"/>
          <w:szCs w:val="24"/>
        </w:rPr>
        <w:t>CrystalTransformer——  </w:t>
      </w:r>
      <w:r>
        <w:rPr>
          <w:sz w:val="24"/>
          <w:szCs w:val="24"/>
        </w:rPr>
        <w:t>处理序列化组成或原子</w:t>
      </w:r>
      <w:r>
        <w:rPr>
          <w:sz w:val="24"/>
          <w:szCs w:val="24"/>
          <w:spacing w:val="-1"/>
        </w:rPr>
        <w:t>环境，擅长长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程依赖，常用于生成新候选配比或增强原子嵌入</w:t>
      </w:r>
      <w:r>
        <w:rPr>
          <w:sz w:val="24"/>
          <w:szCs w:val="24"/>
          <w:spacing w:val="-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(ct-UAEs</w:t>
      </w:r>
      <w:r>
        <w:rPr>
          <w:rFonts w:ascii="SimSun" w:hAnsi="SimSun" w:eastAsia="SimSun" w:cs="SimSun"/>
          <w:sz w:val="24"/>
          <w:szCs w:val="24"/>
          <w:spacing w:val="41"/>
        </w:rPr>
        <w:t xml:space="preserve"> </w:t>
      </w:r>
      <w:r>
        <w:rPr>
          <w:sz w:val="24"/>
          <w:szCs w:val="24"/>
          <w:spacing w:val="-1"/>
        </w:rPr>
        <w:t>可提升下游</w:t>
      </w:r>
      <w:r>
        <w:rPr>
          <w:rFonts w:ascii="SimSun" w:hAnsi="SimSun" w:eastAsia="SimSun" w:cs="SimSun"/>
          <w:sz w:val="24"/>
          <w:szCs w:val="24"/>
          <w:spacing w:val="-1"/>
        </w:rPr>
        <w:t>GNN   14-18%)。</w:t>
      </w:r>
    </w:p>
    <w:p>
      <w:pPr>
        <w:pStyle w:val="BodyText"/>
        <w:ind w:left="373"/>
        <w:spacing w:before="263" w:line="213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·CNN/RNN:</w:t>
      </w:r>
      <w:r>
        <w:rPr>
          <w:rFonts w:ascii="SimSun" w:hAnsi="SimSun" w:eastAsia="SimSun" w:cs="SimSun"/>
          <w:sz w:val="24"/>
          <w:szCs w:val="24"/>
          <w:spacing w:val="-2"/>
        </w:rPr>
        <w:t xml:space="preserve">   </w:t>
      </w:r>
      <w:r>
        <w:rPr>
          <w:sz w:val="24"/>
          <w:szCs w:val="24"/>
          <w:spacing w:val="-2"/>
        </w:rPr>
        <w:t>较少直接用于晶体，但常用于聚合物</w:t>
      </w:r>
      <w:r>
        <w:rPr>
          <w:rFonts w:ascii="SimSun" w:hAnsi="SimSun" w:eastAsia="SimSun" w:cs="SimSun"/>
          <w:sz w:val="24"/>
          <w:szCs w:val="24"/>
          <w:spacing w:val="-2"/>
        </w:rPr>
        <w:t>SMILES</w:t>
      </w:r>
      <w:r>
        <w:rPr>
          <w:rFonts w:ascii="SimSun" w:hAnsi="SimSun" w:eastAsia="SimSun" w:cs="SimSun"/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-2"/>
        </w:rPr>
        <w:t>序列或谱图处理。</w:t>
      </w:r>
    </w:p>
    <w:p>
      <w:pPr>
        <w:pStyle w:val="BodyText"/>
        <w:ind w:left="509" w:right="118" w:hanging="140"/>
        <w:spacing w:before="264" w:line="273" w:lineRule="auto"/>
        <w:rPr>
          <w:sz w:val="24"/>
          <w:szCs w:val="24"/>
        </w:rPr>
      </w:pPr>
      <w:r>
        <w:rPr>
          <w:sz w:val="24"/>
          <w:szCs w:val="24"/>
        </w:rPr>
        <w:t>·生成模型+主动学习：</w:t>
      </w:r>
      <w:r>
        <w:rPr>
          <w:rFonts w:ascii="SimSun" w:hAnsi="SimSun" w:eastAsia="SimSun" w:cs="SimSun"/>
          <w:sz w:val="24"/>
          <w:szCs w:val="24"/>
        </w:rPr>
        <w:t>VAE、GAN、  </w:t>
      </w:r>
      <w:r>
        <w:rPr>
          <w:sz w:val="24"/>
          <w:szCs w:val="24"/>
        </w:rPr>
        <w:t>扩散模型结合贝叶斯优化，用</w:t>
      </w:r>
      <w:r>
        <w:rPr>
          <w:sz w:val="24"/>
          <w:szCs w:val="24"/>
          <w:spacing w:val="-1"/>
        </w:rPr>
        <w:t>于逆向生成目标性能的组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0"/>
        </w:rPr>
        <w:t>成。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79" w:line="221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典型流程：组成→描述符/图→模型→性能预测→采集函数→新实验/计算。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4"/>
        </w:rPr>
        <w:t>6.</w:t>
      </w:r>
      <w:r>
        <w:rPr>
          <w:sz w:val="30"/>
          <w:szCs w:val="30"/>
          <w:b/>
          <w:bCs/>
          <w:spacing w:val="4"/>
        </w:rPr>
        <w:t>模型准确度评估</w:t>
      </w:r>
    </w:p>
    <w:p>
      <w:pPr>
        <w:pStyle w:val="BodyText"/>
        <w:spacing w:before="223" w:line="222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常用指标：</w:t>
      </w:r>
    </w:p>
    <w:p>
      <w:pPr>
        <w:pStyle w:val="BodyText"/>
        <w:ind w:left="373"/>
        <w:spacing w:before="259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·MAE</w:t>
      </w:r>
      <w:r>
        <w:rPr>
          <w:rFonts w:ascii="SimSun" w:hAnsi="SimSun" w:eastAsia="SimSun" w:cs="SimSun"/>
          <w:sz w:val="24"/>
          <w:szCs w:val="24"/>
          <w:spacing w:val="2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(Mean</w:t>
      </w:r>
      <w:r>
        <w:rPr>
          <w:rFonts w:ascii="SimSun" w:hAnsi="SimSun" w:eastAsia="SimSun" w:cs="SimSun"/>
          <w:sz w:val="24"/>
          <w:szCs w:val="24"/>
          <w:spacing w:val="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Absolute</w:t>
      </w:r>
      <w:r>
        <w:rPr>
          <w:rFonts w:ascii="SimSun" w:hAnsi="SimSun" w:eastAsia="SimSun" w:cs="SimSun"/>
          <w:sz w:val="24"/>
          <w:szCs w:val="24"/>
          <w:spacing w:val="6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Err</w:t>
      </w:r>
      <w:r>
        <w:rPr>
          <w:rFonts w:ascii="SimSun" w:hAnsi="SimSun" w:eastAsia="SimSun" w:cs="SimSun"/>
          <w:sz w:val="24"/>
          <w:szCs w:val="24"/>
          <w:spacing w:val="-4"/>
        </w:rPr>
        <w:t>or):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4"/>
        </w:rPr>
        <w:t>最常用，尤其形成能</w:t>
      </w:r>
      <w:r>
        <w:rPr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(eV/atom)、 </w:t>
      </w:r>
      <w:r>
        <w:rPr>
          <w:sz w:val="24"/>
          <w:szCs w:val="24"/>
          <w:spacing w:val="-4"/>
        </w:rPr>
        <w:t>带隙</w:t>
      </w:r>
      <w:r>
        <w:rPr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(eV)。</w:t>
      </w:r>
    </w:p>
    <w:p>
      <w:pPr>
        <w:pStyle w:val="BodyText"/>
        <w:ind w:left="373"/>
        <w:spacing w:before="254" w:line="22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·RMSE:</w:t>
      </w:r>
      <w:r>
        <w:rPr>
          <w:rFonts w:ascii="SimSun" w:hAnsi="SimSun" w:eastAsia="SimSun" w:cs="SimSun"/>
          <w:sz w:val="24"/>
          <w:szCs w:val="24"/>
          <w:spacing w:val="31"/>
        </w:rPr>
        <w:t xml:space="preserve">  </w:t>
      </w:r>
      <w:r>
        <w:rPr>
          <w:sz w:val="24"/>
          <w:szCs w:val="24"/>
          <w:spacing w:val="-8"/>
        </w:rPr>
        <w:t>对大误差更敏感。</w:t>
      </w:r>
    </w:p>
    <w:p>
      <w:pPr>
        <w:pStyle w:val="BodyText"/>
        <w:ind w:left="373"/>
        <w:spacing w:before="251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·R2:</w:t>
      </w:r>
      <w:r>
        <w:rPr>
          <w:rFonts w:ascii="SimSun" w:hAnsi="SimSun" w:eastAsia="SimSun" w:cs="SimSun"/>
          <w:sz w:val="24"/>
          <w:szCs w:val="24"/>
          <w:spacing w:val="-11"/>
        </w:rPr>
        <w:t xml:space="preserve"> </w:t>
      </w:r>
      <w:r>
        <w:rPr>
          <w:sz w:val="24"/>
          <w:szCs w:val="24"/>
          <w:spacing w:val="-11"/>
        </w:rPr>
        <w:t>解释方差比例。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78" w:line="223" w:lineRule="auto"/>
        <w:rPr>
          <w:sz w:val="24"/>
          <w:szCs w:val="24"/>
        </w:rPr>
      </w:pPr>
      <w:r>
        <w:rPr>
          <w:sz w:val="24"/>
          <w:szCs w:val="24"/>
          <w:spacing w:val="21"/>
        </w:rPr>
        <w:t>具体案例(2024-2025近期):</w:t>
      </w:r>
    </w:p>
    <w:p>
      <w:pPr>
        <w:spacing w:line="223" w:lineRule="auto"/>
        <w:sectPr>
          <w:pgSz w:w="12240" w:h="15840"/>
          <w:pgMar w:top="1228" w:right="106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366"/>
        <w:spacing w:before="49" w:line="212" w:lineRule="auto"/>
        <w:rPr>
          <w:rFonts w:ascii="SimSun" w:hAnsi="SimSun" w:eastAsia="SimSun" w:cs="SimSun"/>
        </w:rPr>
      </w:pPr>
      <w:r>
        <w:rPr>
          <w:rFonts w:ascii="Arial" w:hAnsi="Arial" w:eastAsia="Arial" w:cs="Arial"/>
          <w:spacing w:val="2"/>
        </w:rPr>
        <w:t>·</w:t>
      </w:r>
      <w:r>
        <w:rPr>
          <w:rFonts w:ascii="Arial" w:hAnsi="Arial" w:eastAsia="Arial" w:cs="Arial"/>
        </w:rPr>
        <w:t>GNoME</w:t>
      </w:r>
      <w:r>
        <w:rPr>
          <w:rFonts w:ascii="Arial" w:hAnsi="Arial" w:eastAsia="Arial" w:cs="Arial"/>
          <w:spacing w:val="2"/>
        </w:rPr>
        <w:t>(2023):      </w:t>
      </w:r>
      <w:r>
        <w:rPr>
          <w:spacing w:val="2"/>
        </w:rPr>
        <w:t>形成能</w:t>
      </w:r>
      <w:r>
        <w:rPr>
          <w:rFonts w:ascii="Arial" w:hAnsi="Arial" w:eastAsia="Arial" w:cs="Arial"/>
        </w:rPr>
        <w:t>MAE</w:t>
      </w:r>
      <w:r>
        <w:rPr>
          <w:rFonts w:ascii="Arial" w:hAnsi="Arial" w:eastAsia="Arial" w:cs="Arial"/>
          <w:spacing w:val="2"/>
        </w:rPr>
        <w:t>≈11    </w:t>
      </w:r>
      <w:r>
        <w:rPr>
          <w:rFonts w:ascii="Arial" w:hAnsi="Arial" w:eastAsia="Arial" w:cs="Arial"/>
        </w:rPr>
        <w:t>meV</w:t>
      </w:r>
      <w:r>
        <w:rPr>
          <w:rFonts w:ascii="Arial" w:hAnsi="Arial" w:eastAsia="Arial" w:cs="Arial"/>
          <w:spacing w:val="2"/>
        </w:rPr>
        <w:t>/</w:t>
      </w:r>
      <w:r>
        <w:rPr>
          <w:rFonts w:ascii="Arial" w:hAnsi="Arial" w:eastAsia="Arial" w:cs="Arial"/>
        </w:rPr>
        <w:t>atom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spacing w:val="2"/>
        </w:rPr>
        <w:t>(优于早期28</w:t>
      </w:r>
      <w:r>
        <w:rPr>
          <w:spacing w:val="2"/>
        </w:rPr>
        <w:t xml:space="preserve"> </w:t>
      </w:r>
      <w:r>
        <w:rPr>
          <w:rFonts w:ascii="Arial" w:hAnsi="Arial" w:eastAsia="Arial" w:cs="Arial"/>
        </w:rPr>
        <w:t>meV</w:t>
      </w:r>
      <w:r>
        <w:rPr>
          <w:rFonts w:ascii="Arial" w:hAnsi="Arial" w:eastAsia="Arial" w:cs="Arial"/>
          <w:spacing w:val="2"/>
        </w:rPr>
        <w:t>/</w:t>
      </w:r>
      <w:r>
        <w:rPr>
          <w:rFonts w:ascii="Arial" w:hAnsi="Arial" w:eastAsia="Arial" w:cs="Arial"/>
        </w:rPr>
        <w:t>atom</w:t>
      </w:r>
      <w:r>
        <w:rPr>
          <w:rFonts w:ascii="Arial" w:hAnsi="Arial" w:eastAsia="Arial" w:cs="Arial"/>
          <w:spacing w:val="2"/>
        </w:rPr>
        <w:t>)</w:t>
      </w:r>
      <w:r>
        <w:rPr>
          <w:rFonts w:ascii="SimSun" w:hAnsi="SimSun" w:eastAsia="SimSun" w:cs="SimSun"/>
          <w:spacing w:val="2"/>
        </w:rPr>
        <w:t>。</w:t>
      </w:r>
    </w:p>
    <w:p>
      <w:pPr>
        <w:pStyle w:val="BodyText"/>
        <w:ind w:left="366"/>
        <w:spacing w:before="244" w:line="313" w:lineRule="exact"/>
        <w:rPr>
          <w:rFonts w:ascii="SimSun" w:hAnsi="SimSun" w:eastAsia="SimSun" w:cs="SimSun"/>
        </w:rPr>
      </w:pPr>
      <w:r>
        <w:rPr>
          <w:rFonts w:ascii="Arial" w:hAnsi="Arial" w:eastAsia="Arial" w:cs="Arial"/>
          <w:spacing w:val="2"/>
          <w:position w:val="2"/>
        </w:rPr>
        <w:t>·</w:t>
      </w:r>
      <w:r>
        <w:rPr>
          <w:rFonts w:ascii="Arial" w:hAnsi="Arial" w:eastAsia="Arial" w:cs="Arial"/>
          <w:position w:val="2"/>
        </w:rPr>
        <w:t>CrysCo</w:t>
      </w:r>
      <w:r>
        <w:rPr>
          <w:rFonts w:ascii="Arial" w:hAnsi="Arial" w:eastAsia="Arial" w:cs="Arial"/>
          <w:spacing w:val="2"/>
          <w:position w:val="2"/>
        </w:rPr>
        <w:t>/</w:t>
      </w:r>
      <w:r>
        <w:rPr>
          <w:rFonts w:ascii="Arial" w:hAnsi="Arial" w:eastAsia="Arial" w:cs="Arial"/>
          <w:position w:val="2"/>
        </w:rPr>
        <w:t>CrysGNN</w:t>
      </w:r>
      <w:r>
        <w:rPr>
          <w:rFonts w:ascii="Arial" w:hAnsi="Arial" w:eastAsia="Arial" w:cs="Arial"/>
          <w:spacing w:val="2"/>
          <w:position w:val="2"/>
        </w:rPr>
        <w:t xml:space="preserve">       (2025):  </w:t>
      </w:r>
      <w:r>
        <w:rPr>
          <w:spacing w:val="2"/>
          <w:position w:val="2"/>
        </w:rPr>
        <w:t>多性质回归任务中</w:t>
      </w:r>
      <w:r>
        <w:rPr>
          <w:rFonts w:ascii="Arial" w:hAnsi="Arial" w:eastAsia="Arial" w:cs="Arial"/>
          <w:position w:val="2"/>
        </w:rPr>
        <w:t>MAE</w:t>
      </w:r>
      <w:r>
        <w:rPr>
          <w:rFonts w:ascii="Arial" w:hAnsi="Arial" w:eastAsia="Arial" w:cs="Arial"/>
          <w:spacing w:val="-11"/>
          <w:position w:val="2"/>
        </w:rPr>
        <w:t xml:space="preserve"> </w:t>
      </w:r>
      <w:r>
        <w:rPr>
          <w:spacing w:val="2"/>
          <w:position w:val="2"/>
        </w:rPr>
        <w:t>显著低于</w:t>
      </w:r>
      <w:r>
        <w:rPr>
          <w:rFonts w:ascii="Arial" w:hAnsi="Arial" w:eastAsia="Arial" w:cs="Arial"/>
          <w:position w:val="2"/>
        </w:rPr>
        <w:t>MEGNet</w:t>
      </w:r>
      <w:r>
        <w:rPr>
          <w:rFonts w:ascii="Arial" w:hAnsi="Arial" w:eastAsia="Arial" w:cs="Arial"/>
          <w:spacing w:val="2"/>
          <w:position w:val="2"/>
        </w:rPr>
        <w:t>/</w:t>
      </w:r>
      <w:r>
        <w:rPr>
          <w:rFonts w:ascii="Arial" w:hAnsi="Arial" w:eastAsia="Arial" w:cs="Arial"/>
          <w:position w:val="2"/>
        </w:rPr>
        <w:t>ALIGNN</w:t>
      </w:r>
      <w:r>
        <w:rPr>
          <w:rFonts w:ascii="SimSun" w:hAnsi="SimSun" w:eastAsia="SimSun" w:cs="SimSun"/>
          <w:spacing w:val="2"/>
          <w:position w:val="2"/>
        </w:rPr>
        <w:t>。</w:t>
      </w:r>
    </w:p>
    <w:p>
      <w:pPr>
        <w:pStyle w:val="BodyText"/>
        <w:ind w:left="526" w:hanging="170"/>
        <w:spacing w:before="272" w:line="300" w:lineRule="auto"/>
        <w:rPr>
          <w:rFonts w:ascii="SimSun" w:hAnsi="SimSun" w:eastAsia="SimSun" w:cs="SimSun"/>
        </w:rPr>
      </w:pPr>
      <w:r>
        <w:rPr>
          <w:rFonts w:ascii="Arial" w:hAnsi="Arial" w:eastAsia="Arial" w:cs="Arial"/>
          <w:spacing w:val="11"/>
        </w:rPr>
        <w:t>·</w:t>
      </w:r>
      <w:r>
        <w:rPr>
          <w:rFonts w:ascii="Arial" w:hAnsi="Arial" w:eastAsia="Arial" w:cs="Arial"/>
        </w:rPr>
        <w:t>ALIGNN</w:t>
      </w:r>
      <w:r>
        <w:rPr>
          <w:rFonts w:ascii="Arial" w:hAnsi="Arial" w:eastAsia="Arial" w:cs="Arial"/>
          <w:spacing w:val="11"/>
        </w:rPr>
        <w:t>/</w:t>
      </w:r>
      <w:r>
        <w:rPr>
          <w:rFonts w:ascii="Arial" w:hAnsi="Arial" w:eastAsia="Arial" w:cs="Arial"/>
        </w:rPr>
        <w:t>CT</w:t>
      </w:r>
      <w:r>
        <w:rPr>
          <w:rFonts w:ascii="Arial" w:hAnsi="Arial" w:eastAsia="Arial" w:cs="Arial"/>
          <w:spacing w:val="11"/>
        </w:rPr>
        <w:t>-</w:t>
      </w:r>
      <w:r>
        <w:rPr>
          <w:rFonts w:ascii="Arial" w:hAnsi="Arial" w:eastAsia="Arial" w:cs="Arial"/>
        </w:rPr>
        <w:t>ALIGNN</w:t>
      </w:r>
      <w:r>
        <w:rPr>
          <w:rFonts w:ascii="Arial" w:hAnsi="Arial" w:eastAsia="Arial" w:cs="Arial"/>
          <w:spacing w:val="11"/>
        </w:rPr>
        <w:t>:      </w:t>
      </w:r>
      <w:r>
        <w:rPr>
          <w:spacing w:val="11"/>
        </w:rPr>
        <w:t>形成能</w:t>
      </w:r>
      <w:r>
        <w:rPr>
          <w:rFonts w:ascii="Arial" w:hAnsi="Arial" w:eastAsia="Arial" w:cs="Arial"/>
        </w:rPr>
        <w:t>MAE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11"/>
        </w:rPr>
        <w:t>从0.022→0.018</w:t>
      </w:r>
      <w:r>
        <w:rPr>
          <w:spacing w:val="11"/>
        </w:rPr>
        <w:t xml:space="preserve"> </w:t>
      </w:r>
      <w:r>
        <w:rPr>
          <w:rFonts w:ascii="Arial" w:hAnsi="Arial" w:eastAsia="Arial" w:cs="Arial"/>
        </w:rPr>
        <w:t>eV</w:t>
      </w:r>
      <w:r>
        <w:rPr>
          <w:rFonts w:ascii="Arial" w:hAnsi="Arial" w:eastAsia="Arial" w:cs="Arial"/>
          <w:spacing w:val="11"/>
        </w:rPr>
        <w:t>/</w:t>
      </w:r>
      <w:r>
        <w:rPr>
          <w:rFonts w:ascii="Arial" w:hAnsi="Arial" w:eastAsia="Arial" w:cs="Arial"/>
        </w:rPr>
        <w:t>atom</w:t>
      </w:r>
      <w:r>
        <w:rPr>
          <w:rFonts w:ascii="Arial" w:hAnsi="Arial" w:eastAsia="Arial" w:cs="Arial"/>
          <w:spacing w:val="11"/>
        </w:rPr>
        <w:t xml:space="preserve">    </w:t>
      </w:r>
      <w:r>
        <w:rPr>
          <w:spacing w:val="11"/>
        </w:rPr>
        <w:t>(改</w:t>
      </w:r>
      <w:r>
        <w:rPr>
          <w:spacing w:val="10"/>
        </w:rPr>
        <w:t>善18%);带隙0</w:t>
      </w:r>
      <w:r>
        <w:rPr>
          <w:spacing w:val="-66"/>
        </w:rPr>
        <w:t xml:space="preserve"> </w:t>
      </w:r>
      <w:r>
        <w:rPr>
          <w:spacing w:val="10"/>
        </w:rPr>
        <w:t>.276</w:t>
      </w:r>
      <w:r>
        <w:rPr>
          <w:spacing w:val="-69"/>
        </w:rPr>
        <w:t xml:space="preserve"> </w:t>
      </w:r>
      <w:r>
        <w:rPr>
          <w:spacing w:val="10"/>
        </w:rPr>
        <w:t>→</w:t>
      </w:r>
      <w:r>
        <w:rPr/>
        <w:t xml:space="preserve"> </w:t>
      </w:r>
      <w:r>
        <w:rPr>
          <w:rFonts w:ascii="Arial" w:hAnsi="Arial" w:eastAsia="Arial" w:cs="Arial"/>
          <w:spacing w:val="-3"/>
        </w:rPr>
        <w:t>0.256</w:t>
      </w:r>
      <w:r>
        <w:rPr>
          <w:rFonts w:ascii="Arial" w:hAnsi="Arial" w:eastAsia="Arial" w:cs="Arial"/>
          <w:spacing w:val="7"/>
        </w:rPr>
        <w:t xml:space="preserve">   </w:t>
      </w:r>
      <w:r>
        <w:rPr>
          <w:rFonts w:ascii="Arial" w:hAnsi="Arial" w:eastAsia="Arial" w:cs="Arial"/>
          <w:spacing w:val="-3"/>
        </w:rPr>
        <w:t>eV</w:t>
      </w:r>
      <w:r>
        <w:rPr>
          <w:rFonts w:ascii="SimSun" w:hAnsi="SimSun" w:eastAsia="SimSun" w:cs="SimSun"/>
          <w:spacing w:val="-3"/>
        </w:rPr>
        <w:t>。</w:t>
      </w:r>
    </w:p>
    <w:p>
      <w:pPr>
        <w:pStyle w:val="BodyText"/>
        <w:ind w:left="366"/>
        <w:spacing w:before="201" w:line="213" w:lineRule="auto"/>
        <w:rPr/>
      </w:pPr>
      <w:r>
        <w:rPr/>
        <w:t>·</w:t>
      </w:r>
      <w:r>
        <w:rPr>
          <w:spacing w:val="-92"/>
        </w:rPr>
        <w:t xml:space="preserve"> </w:t>
      </w:r>
      <w:r>
        <w:rPr/>
        <w:t>聚合物热导率：</w:t>
      </w:r>
      <w:r>
        <w:rPr>
          <w:spacing w:val="-51"/>
        </w:rPr>
        <w:t xml:space="preserve"> </w:t>
      </w:r>
      <w:r>
        <w:rPr>
          <w:rFonts w:ascii="SimSun" w:hAnsi="SimSun" w:eastAsia="SimSun" w:cs="SimSun"/>
        </w:rPr>
        <w:t>RF</w:t>
      </w:r>
      <w:r>
        <w:rPr>
          <w:rFonts w:ascii="SimSun" w:hAnsi="SimSun" w:eastAsia="SimSun" w:cs="SimSun"/>
          <w:spacing w:val="-38"/>
        </w:rPr>
        <w:t xml:space="preserve"> </w:t>
      </w:r>
      <w:r>
        <w:rPr/>
        <w:t>模型在生成10</w:t>
      </w:r>
      <w:r>
        <w:rPr>
          <w:rFonts w:ascii="SimSun" w:hAnsi="SimSun" w:eastAsia="SimSun" w:cs="SimSun"/>
        </w:rPr>
        <w:t>k</w:t>
      </w:r>
      <w:r>
        <w:rPr/>
        <w:t>库后筛选，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</w:rPr>
        <w:t>MAE</w:t>
      </w:r>
      <w:r>
        <w:rPr>
          <w:rFonts w:ascii="SimSun" w:hAnsi="SimSun" w:eastAsia="SimSun" w:cs="SimSun"/>
          <w:spacing w:val="62"/>
        </w:rPr>
        <w:t xml:space="preserve"> </w:t>
      </w:r>
      <w:r>
        <w:rPr/>
        <w:t>通常0.1-0.5</w:t>
      </w:r>
      <w:r>
        <w:rPr/>
        <w:t xml:space="preserve"> </w:t>
      </w:r>
      <w:r>
        <w:rPr>
          <w:rFonts w:ascii="SimSun" w:hAnsi="SimSun" w:eastAsia="SimSun" w:cs="SimSun"/>
        </w:rPr>
        <w:t>W/m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</w:rPr>
        <w:t>·K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"/>
        </w:rPr>
        <w:t>量级(视数据集)。</w:t>
      </w:r>
    </w:p>
    <w:p>
      <w:pPr>
        <w:pStyle w:val="BodyText"/>
        <w:ind w:left="366"/>
        <w:spacing w:before="250" w:line="212" w:lineRule="auto"/>
        <w:rPr/>
      </w:pPr>
      <w:r>
        <w:rPr>
          <w:spacing w:val="2"/>
        </w:rPr>
        <w:t>·</w:t>
      </w:r>
      <w:r>
        <w:rPr>
          <w:spacing w:val="-89"/>
        </w:rPr>
        <w:t xml:space="preserve"> </w:t>
      </w:r>
      <w:r>
        <w:rPr>
          <w:spacing w:val="2"/>
        </w:rPr>
        <w:t>交叉验证：绝大多数采用</w:t>
      </w:r>
      <w:r>
        <w:rPr>
          <w:rFonts w:ascii="Times New Roman" w:hAnsi="Times New Roman" w:eastAsia="Times New Roman" w:cs="Times New Roman"/>
          <w:spacing w:val="2"/>
        </w:rPr>
        <w:t>k-</w:t>
      </w:r>
      <w:r>
        <w:rPr>
          <w:rFonts w:ascii="Times New Roman" w:hAnsi="Times New Roman" w:eastAsia="Times New Roman" w:cs="Times New Roman"/>
        </w:rPr>
        <w:t>fold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或</w:t>
      </w:r>
      <w:r>
        <w:rPr>
          <w:rFonts w:ascii="Times New Roman" w:hAnsi="Times New Roman" w:eastAsia="Times New Roman" w:cs="Times New Roman"/>
        </w:rPr>
        <w:t>LOCO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leave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one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cluster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rFonts w:ascii="Times New Roman" w:hAnsi="Times New Roman" w:eastAsia="Times New Roman" w:cs="Times New Roman"/>
        </w:rPr>
        <w:t>out</w:t>
      </w:r>
      <w:r>
        <w:rPr>
          <w:rFonts w:ascii="Times New Roman" w:hAnsi="Times New Roman" w:eastAsia="Times New Roman" w:cs="Times New Roman"/>
          <w:spacing w:val="2"/>
        </w:rPr>
        <w:t>)     </w:t>
      </w:r>
      <w:r>
        <w:rPr>
          <w:rFonts w:ascii="Times New Roman" w:hAnsi="Times New Roman" w:eastAsia="Times New Roman" w:cs="Times New Roman"/>
          <w:spacing w:val="1"/>
        </w:rPr>
        <w:t xml:space="preserve">           </w:t>
      </w:r>
      <w:r>
        <w:rPr>
          <w:spacing w:val="1"/>
        </w:rPr>
        <w:t>验证</w:t>
      </w:r>
      <w:r>
        <w:rPr>
          <w:rFonts w:ascii="Times New Roman" w:hAnsi="Times New Roman" w:eastAsia="Times New Roman" w:cs="Times New Roman"/>
        </w:rPr>
        <w:t>OOD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泛化。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right="6216" w:firstLine="1"/>
        <w:spacing w:before="98" w:line="305" w:lineRule="auto"/>
        <w:rPr/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7.</w:t>
      </w:r>
      <w:r>
        <w:rPr>
          <w:sz w:val="30"/>
          <w:szCs w:val="30"/>
          <w:b/>
          <w:bCs/>
          <w:spacing w:val="-3"/>
        </w:rPr>
        <w:t>面临挑战与模型可行性分析</w:t>
      </w:r>
      <w:r>
        <w:rPr>
          <w:sz w:val="30"/>
          <w:szCs w:val="30"/>
          <w:spacing w:val="9"/>
        </w:rPr>
        <w:t xml:space="preserve"> </w:t>
      </w:r>
      <w:r>
        <w:rPr>
          <w:b/>
          <w:bCs/>
          <w:spacing w:val="1"/>
        </w:rPr>
        <w:t>主要挑战：</w:t>
      </w:r>
    </w:p>
    <w:p>
      <w:pPr>
        <w:pStyle w:val="BodyText"/>
        <w:ind w:left="366"/>
        <w:spacing w:before="275" w:line="213" w:lineRule="auto"/>
        <w:rPr/>
      </w:pPr>
      <w:r>
        <w:rPr>
          <w:spacing w:val="4"/>
        </w:rPr>
        <w:t>·</w:t>
      </w:r>
      <w:r>
        <w:rPr>
          <w:spacing w:val="-94"/>
        </w:rPr>
        <w:t xml:space="preserve"> </w:t>
      </w:r>
      <w:r>
        <w:rPr>
          <w:spacing w:val="4"/>
        </w:rPr>
        <w:t>数据成本与质量：高质量</w:t>
      </w:r>
      <w:r>
        <w:rPr>
          <w:rFonts w:ascii="SimSun" w:hAnsi="SimSun" w:eastAsia="SimSun" w:cs="SimSun"/>
        </w:rPr>
        <w:t>DFT</w:t>
      </w:r>
      <w:r>
        <w:rPr>
          <w:rFonts w:ascii="SimSun" w:hAnsi="SimSun" w:eastAsia="SimSun" w:cs="SimSun"/>
          <w:spacing w:val="4"/>
        </w:rPr>
        <w:t>/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4"/>
        </w:rPr>
        <w:t>实验数据获取昂</w:t>
      </w:r>
      <w:r>
        <w:rPr>
          <w:spacing w:val="3"/>
        </w:rPr>
        <w:t>贵，偏差大。</w:t>
      </w:r>
    </w:p>
    <w:p>
      <w:pPr>
        <w:pStyle w:val="BodyText"/>
        <w:ind w:left="366"/>
        <w:spacing w:before="254" w:line="213" w:lineRule="auto"/>
        <w:rPr/>
      </w:pPr>
      <w:r>
        <w:rPr>
          <w:spacing w:val="3"/>
        </w:rPr>
        <w:t>·</w:t>
      </w:r>
      <w:r>
        <w:rPr>
          <w:spacing w:val="-92"/>
        </w:rPr>
        <w:t xml:space="preserve"> </w:t>
      </w:r>
      <w:r>
        <w:rPr>
          <w:spacing w:val="3"/>
        </w:rPr>
        <w:t>模型可解释性：</w:t>
      </w:r>
      <w:r>
        <w:rPr>
          <w:rFonts w:ascii="Times New Roman" w:hAnsi="Times New Roman" w:eastAsia="Times New Roman" w:cs="Times New Roman"/>
        </w:rPr>
        <w:t>GNN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3"/>
        </w:rPr>
        <w:t xml:space="preserve">     </w:t>
      </w:r>
      <w:r>
        <w:rPr>
          <w:spacing w:val="3"/>
        </w:rPr>
        <w:t>黑箱化严重，物理机制</w:t>
      </w:r>
      <w:r>
        <w:rPr>
          <w:spacing w:val="2"/>
        </w:rPr>
        <w:t>难以追溯。</w:t>
      </w:r>
    </w:p>
    <w:p>
      <w:pPr>
        <w:pStyle w:val="BodyText"/>
        <w:ind w:left="366"/>
        <w:spacing w:before="275" w:line="221" w:lineRule="auto"/>
        <w:rPr>
          <w:rFonts w:ascii="SimSun" w:hAnsi="SimSun" w:eastAsia="SimSun" w:cs="SimSun"/>
        </w:rPr>
      </w:pPr>
      <w:r>
        <w:rPr/>
        <w:t>·</w:t>
      </w:r>
      <w:r>
        <w:rPr>
          <w:spacing w:val="-81"/>
        </w:rPr>
        <w:t xml:space="preserve"> </w:t>
      </w:r>
      <w:r>
        <w:rPr/>
        <w:t>计算资源：训练百万级数据</w:t>
      </w:r>
      <w:r>
        <w:rPr>
          <w:rFonts w:ascii="SimSun" w:hAnsi="SimSun" w:eastAsia="SimSun" w:cs="SimSun"/>
        </w:rPr>
        <w:t>GNN</w:t>
      </w:r>
      <w:r>
        <w:rPr>
          <w:rFonts w:ascii="SimSun" w:hAnsi="SimSun" w:eastAsia="SimSun" w:cs="SimSun"/>
          <w:spacing w:val="77"/>
        </w:rPr>
        <w:t xml:space="preserve"> </w:t>
      </w:r>
      <w:r>
        <w:rPr/>
        <w:t>需大量</w:t>
      </w:r>
      <w:r>
        <w:rPr>
          <w:rFonts w:ascii="SimSun" w:hAnsi="SimSun" w:eastAsia="SimSun" w:cs="SimSun"/>
        </w:rPr>
        <w:t>GPU。</w:t>
      </w:r>
    </w:p>
    <w:p>
      <w:pPr>
        <w:pStyle w:val="BodyText"/>
        <w:ind w:left="366"/>
        <w:spacing w:before="264" w:line="221" w:lineRule="auto"/>
        <w:rPr/>
      </w:pPr>
      <w:r>
        <w:rPr>
          <w:spacing w:val="12"/>
        </w:rPr>
        <w:t>·</w:t>
      </w:r>
      <w:r>
        <w:rPr>
          <w:spacing w:val="-85"/>
        </w:rPr>
        <w:t xml:space="preserve"> </w:t>
      </w:r>
      <w:r>
        <w:rPr>
          <w:spacing w:val="12"/>
        </w:rPr>
        <w:t>泛化能力：</w:t>
      </w:r>
      <w:r>
        <w:rPr>
          <w:rFonts w:ascii="Arial" w:hAnsi="Arial" w:eastAsia="Arial" w:cs="Arial"/>
        </w:rPr>
        <w:t>OOD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12"/>
        </w:rPr>
        <w:t>区域(新组元、新结构)预测急</w:t>
      </w:r>
      <w:r>
        <w:rPr>
          <w:spacing w:val="11"/>
        </w:rPr>
        <w:t>剧下降。</w:t>
      </w:r>
    </w:p>
    <w:p>
      <w:pPr>
        <w:pStyle w:val="BodyText"/>
        <w:ind w:left="366"/>
        <w:spacing w:before="276" w:line="222" w:lineRule="auto"/>
        <w:rPr/>
      </w:pPr>
      <w:r>
        <w:rPr>
          <w:spacing w:val="3"/>
        </w:rPr>
        <w:t>·</w:t>
      </w:r>
      <w:r>
        <w:rPr>
          <w:spacing w:val="-85"/>
        </w:rPr>
        <w:t xml:space="preserve"> </w:t>
      </w:r>
      <w:r>
        <w:rPr>
          <w:spacing w:val="3"/>
        </w:rPr>
        <w:t>多目标与约束：同时优化强度-成本-可合成性</w:t>
      </w:r>
      <w:r>
        <w:rPr>
          <w:spacing w:val="2"/>
        </w:rPr>
        <w:t>难度高。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/>
      </w:pPr>
      <w:r>
        <w:rPr>
          <w:b/>
          <w:bCs/>
          <w:spacing w:val="1"/>
        </w:rPr>
        <w:t>模型路线可行性：</w:t>
      </w:r>
    </w:p>
    <w:p>
      <w:pPr>
        <w:pStyle w:val="BodyText"/>
        <w:ind w:left="366"/>
        <w:spacing w:before="261" w:line="213" w:lineRule="auto"/>
        <w:rPr/>
      </w:pPr>
      <w:r>
        <w:rPr>
          <w:spacing w:val="5"/>
        </w:rPr>
        <w:t>·</w:t>
      </w:r>
      <w:r>
        <w:rPr>
          <w:spacing w:val="-90"/>
        </w:rPr>
        <w:t xml:space="preserve"> </w:t>
      </w:r>
      <w:r>
        <w:rPr>
          <w:spacing w:val="5"/>
        </w:rPr>
        <w:t>传统</w:t>
      </w:r>
      <w:r>
        <w:rPr>
          <w:rFonts w:ascii="Arial" w:hAnsi="Arial" w:eastAsia="Arial" w:cs="Arial"/>
        </w:rPr>
        <w:t>ML</w:t>
      </w:r>
      <w:r>
        <w:rPr>
          <w:rFonts w:ascii="Arial" w:hAnsi="Arial" w:eastAsia="Arial" w:cs="Arial"/>
          <w:spacing w:val="5"/>
        </w:rPr>
        <w:t>:   </w:t>
      </w:r>
      <w:r>
        <w:rPr>
          <w:spacing w:val="5"/>
        </w:rPr>
        <w:t>高可解释性、低资源需求，</w:t>
      </w:r>
      <w:r>
        <w:rPr>
          <w:spacing w:val="4"/>
        </w:rPr>
        <w:t>但上限低，适合中小规模、已知体系。</w:t>
      </w:r>
    </w:p>
    <w:p>
      <w:pPr>
        <w:pStyle w:val="BodyText"/>
        <w:ind w:left="366"/>
        <w:spacing w:before="275" w:line="213" w:lineRule="auto"/>
        <w:rPr/>
      </w:pPr>
      <w:r>
        <w:rPr>
          <w:rFonts w:ascii="SimSun" w:hAnsi="SimSun" w:eastAsia="SimSun" w:cs="SimSun"/>
          <w:spacing w:val="6"/>
        </w:rPr>
        <w:t>·</w:t>
      </w:r>
      <w:r>
        <w:rPr>
          <w:rFonts w:ascii="SimSun" w:hAnsi="SimSun" w:eastAsia="SimSun" w:cs="SimSun"/>
        </w:rPr>
        <w:t>GNN</w:t>
      </w:r>
      <w:r>
        <w:rPr>
          <w:rFonts w:ascii="SimSun" w:hAnsi="SimSun" w:eastAsia="SimSun" w:cs="SimSun"/>
          <w:spacing w:val="6"/>
        </w:rPr>
        <w:t>:  </w:t>
      </w:r>
      <w:r>
        <w:rPr>
          <w:spacing w:val="6"/>
        </w:rPr>
        <w:t>目前最强路线，结构信息利用充分，但对无结构数</w:t>
      </w:r>
      <w:r>
        <w:rPr>
          <w:spacing w:val="5"/>
        </w:rPr>
        <w:t>据依赖描述符，</w:t>
      </w:r>
      <w:r>
        <w:rPr>
          <w:spacing w:val="-65"/>
        </w:rPr>
        <w:t xml:space="preserve"> </w:t>
      </w:r>
      <w:r>
        <w:rPr>
          <w:rFonts w:ascii="SimSun" w:hAnsi="SimSun" w:eastAsia="SimSun" w:cs="SimSun"/>
        </w:rPr>
        <w:t>OOD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spacing w:val="5"/>
        </w:rPr>
        <w:t>弱。</w:t>
      </w:r>
    </w:p>
    <w:p>
      <w:pPr>
        <w:pStyle w:val="BodyText"/>
        <w:ind w:left="366"/>
        <w:spacing w:before="275" w:line="213" w:lineRule="auto"/>
        <w:rPr/>
      </w:pPr>
      <w:r>
        <w:rPr>
          <w:rFonts w:ascii="SimSun" w:hAnsi="SimSun" w:eastAsia="SimSun" w:cs="SimSun"/>
          <w:spacing w:val="6"/>
        </w:rPr>
        <w:t>·</w:t>
      </w:r>
      <w:r>
        <w:rPr>
          <w:rFonts w:ascii="SimSun" w:hAnsi="SimSun" w:eastAsia="SimSun" w:cs="SimSun"/>
        </w:rPr>
        <w:t>Transformer</w:t>
      </w:r>
      <w:r>
        <w:rPr>
          <w:rFonts w:ascii="SimSun" w:hAnsi="SimSun" w:eastAsia="SimSun" w:cs="SimSun"/>
          <w:spacing w:val="6"/>
        </w:rPr>
        <w:t>+ </w:t>
      </w:r>
      <w:r>
        <w:rPr>
          <w:spacing w:val="6"/>
        </w:rPr>
        <w:t>生成模型：逆向设计潜力最大，但训练成本高，可解释性差。</w:t>
      </w:r>
    </w:p>
    <w:p>
      <w:pPr>
        <w:pStyle w:val="BodyText"/>
        <w:ind w:left="366"/>
        <w:spacing w:before="274" w:line="213" w:lineRule="auto"/>
        <w:rPr/>
      </w:pPr>
      <w:r>
        <w:rPr>
          <w:spacing w:val="6"/>
        </w:rPr>
        <w:t>·</w:t>
      </w:r>
      <w:r>
        <w:rPr>
          <w:spacing w:val="-92"/>
        </w:rPr>
        <w:t xml:space="preserve"> </w:t>
      </w:r>
      <w:r>
        <w:rPr>
          <w:spacing w:val="6"/>
        </w:rPr>
        <w:t>主动学习+转移学习：最现实路径，可有效缓解数据饥饿，但需实验闭环支持。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8" w:line="222" w:lineRule="auto"/>
        <w:rPr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4"/>
        </w:rPr>
        <w:t>8.</w:t>
      </w:r>
      <w:r>
        <w:rPr>
          <w:sz w:val="30"/>
          <w:szCs w:val="30"/>
          <w:b/>
          <w:bCs/>
          <w:spacing w:val="4"/>
        </w:rPr>
        <w:t>产业化距离评估</w:t>
      </w:r>
    </w:p>
    <w:p>
      <w:pPr>
        <w:pStyle w:val="BodyText"/>
        <w:spacing w:before="239" w:line="221" w:lineRule="auto"/>
        <w:rPr>
          <w:rFonts w:ascii="SimSun" w:hAnsi="SimSun" w:eastAsia="SimSun" w:cs="SimSun"/>
        </w:rPr>
      </w:pPr>
      <w:r>
        <w:rPr>
          <w:b/>
          <w:bCs/>
          <w:spacing w:val="4"/>
        </w:rPr>
        <w:t>当前阶段：</w:t>
      </w:r>
      <w:r>
        <w:rPr>
          <w:spacing w:val="4"/>
        </w:rPr>
        <w:t>实验室验证到小规模工业试制之间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TRL</w:t>
      </w:r>
      <w:r>
        <w:rPr>
          <w:rFonts w:ascii="SimSun" w:hAnsi="SimSun" w:eastAsia="SimSun" w:cs="SimSun"/>
          <w:spacing w:val="46"/>
        </w:rPr>
        <w:t xml:space="preserve">  </w:t>
      </w:r>
      <w:r>
        <w:rPr>
          <w:rFonts w:ascii="SimSun" w:hAnsi="SimSun" w:eastAsia="SimSun" w:cs="SimSun"/>
          <w:spacing w:val="4"/>
        </w:rPr>
        <w:t>4-6)。</w:t>
      </w:r>
    </w:p>
    <w:p>
      <w:pPr>
        <w:pStyle w:val="BodyText"/>
        <w:spacing w:before="255" w:line="222" w:lineRule="auto"/>
        <w:rPr/>
      </w:pPr>
      <w:r>
        <w:rPr>
          <w:b/>
          <w:bCs/>
          <w:spacing w:val="1"/>
        </w:rPr>
        <w:t>关键障碍：</w:t>
      </w:r>
    </w:p>
    <w:p>
      <w:pPr>
        <w:spacing w:line="222" w:lineRule="auto"/>
        <w:sectPr>
          <w:pgSz w:w="12240" w:h="15840"/>
          <w:pgMar w:top="1215" w:right="1126" w:bottom="0" w:left="983" w:header="0" w:footer="0" w:gutter="0"/>
        </w:sectPr>
        <w:rPr/>
      </w:pPr>
    </w:p>
    <w:p>
      <w:pPr>
        <w:pStyle w:val="BodyText"/>
        <w:ind w:left="359"/>
        <w:spacing w:before="46" w:line="221" w:lineRule="auto"/>
        <w:rPr/>
      </w:pPr>
      <w:r>
        <w:rPr>
          <w:rFonts w:ascii="SimSun" w:hAnsi="SimSun" w:eastAsia="SimSun" w:cs="SimSun"/>
          <w:spacing w:val="8"/>
        </w:rPr>
        <w:t>1.</w:t>
      </w:r>
      <w:r>
        <w:rPr>
          <w:rFonts w:ascii="SimSun" w:hAnsi="SimSun" w:eastAsia="SimSun" w:cs="SimSun"/>
        </w:rPr>
        <w:t>OOD</w:t>
      </w:r>
      <w:r>
        <w:rPr>
          <w:rFonts w:ascii="SimSun" w:hAnsi="SimSun" w:eastAsia="SimSun" w:cs="SimSun"/>
          <w:spacing w:val="50"/>
        </w:rPr>
        <w:t xml:space="preserve">  </w:t>
      </w:r>
      <w:r>
        <w:rPr>
          <w:spacing w:val="8"/>
        </w:rPr>
        <w:t>泛化不足</w:t>
      </w:r>
      <w:r>
        <w:rPr>
          <w:spacing w:val="-85"/>
        </w:rPr>
        <w:t xml:space="preserve"> </w:t>
      </w:r>
      <w:r>
        <w:rPr>
          <w:spacing w:val="8"/>
        </w:rPr>
        <w:t>→产业新材料往往超出训练分布。</w:t>
      </w:r>
    </w:p>
    <w:p>
      <w:pPr>
        <w:pStyle w:val="BodyText"/>
        <w:ind w:left="359"/>
        <w:spacing w:before="264" w:line="221" w:lineRule="auto"/>
        <w:rPr/>
      </w:pPr>
      <w:r>
        <w:rPr>
          <w:spacing w:val="15"/>
        </w:rPr>
        <w:t>2.可解释性与监管要求</w:t>
      </w:r>
      <w:r>
        <w:rPr>
          <w:spacing w:val="-81"/>
        </w:rPr>
        <w:t xml:space="preserve"> </w:t>
      </w:r>
      <w:r>
        <w:rPr>
          <w:spacing w:val="15"/>
        </w:rPr>
        <w:t>→航空、能源领域需</w:t>
      </w:r>
      <w:r>
        <w:rPr>
          <w:rFonts w:ascii="SimSun" w:hAnsi="SimSun" w:eastAsia="SimSun" w:cs="SimSun"/>
        </w:rPr>
        <w:t>traceable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15"/>
        </w:rPr>
        <w:t>决策。</w:t>
      </w:r>
    </w:p>
    <w:p>
      <w:pPr>
        <w:pStyle w:val="BodyText"/>
        <w:ind w:left="359"/>
        <w:spacing w:before="285" w:line="222" w:lineRule="auto"/>
        <w:rPr/>
      </w:pPr>
      <w:r>
        <w:rPr>
          <w:rFonts w:ascii="SimSun" w:hAnsi="SimSun" w:eastAsia="SimSun" w:cs="SimSun"/>
          <w:spacing w:val="6"/>
        </w:rPr>
        <w:t>3. </w:t>
      </w:r>
      <w:r>
        <w:rPr>
          <w:spacing w:val="6"/>
        </w:rPr>
        <w:t>数据闭环成本</w:t>
      </w:r>
      <w:r>
        <w:rPr>
          <w:spacing w:val="-81"/>
        </w:rPr>
        <w:t xml:space="preserve"> </w:t>
      </w:r>
      <w:r>
        <w:rPr>
          <w:spacing w:val="6"/>
        </w:rPr>
        <w:t>→</w:t>
      </w:r>
      <w:r>
        <w:rPr>
          <w:spacing w:val="-84"/>
        </w:rPr>
        <w:t xml:space="preserve"> </w:t>
      </w:r>
      <w:r>
        <w:rPr>
          <w:spacing w:val="6"/>
        </w:rPr>
        <w:t>实验验证仍为瓶颈。</w:t>
      </w:r>
    </w:p>
    <w:p>
      <w:pPr>
        <w:pStyle w:val="BodyText"/>
        <w:ind w:left="359"/>
        <w:spacing w:before="253" w:line="222" w:lineRule="auto"/>
        <w:rPr/>
      </w:pPr>
      <w:r>
        <w:rPr>
          <w:rFonts w:ascii="SimSun" w:hAnsi="SimSun" w:eastAsia="SimSun" w:cs="SimSun"/>
          <w:spacing w:val="17"/>
        </w:rPr>
        <w:t>4.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17"/>
        </w:rPr>
        <w:t>多目标真实约束(成本、可加工性、环保)整合不足。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/>
      </w:pPr>
      <w:r>
        <w:rPr>
          <w:b/>
          <w:bCs/>
          <w:spacing w:val="3"/>
        </w:rPr>
        <w:t>潜在路径：</w:t>
      </w:r>
    </w:p>
    <w:p>
      <w:pPr>
        <w:pStyle w:val="BodyText"/>
        <w:ind w:left="518" w:right="5" w:hanging="159"/>
        <w:spacing w:before="254" w:line="280" w:lineRule="auto"/>
        <w:rPr/>
      </w:pPr>
      <w:r>
        <w:rPr>
          <w:spacing w:val="17"/>
        </w:rPr>
        <w:t>·</w:t>
      </w:r>
      <w:r>
        <w:rPr>
          <w:spacing w:val="-86"/>
        </w:rPr>
        <w:t xml:space="preserve"> </w:t>
      </w:r>
      <w:r>
        <w:rPr>
          <w:spacing w:val="17"/>
        </w:rPr>
        <w:t>短期(1-3年):在特定合金/陶瓷子领域(如高熵合金成分初步筛选、镁合金耐蚀</w:t>
      </w:r>
      <w:r>
        <w:rPr>
          <w:spacing w:val="16"/>
        </w:rPr>
        <w:t>优化)实现</w:t>
      </w:r>
      <w:r>
        <w:rPr/>
        <w:t xml:space="preserve"> </w:t>
      </w:r>
      <w:r>
        <w:rPr>
          <w:spacing w:val="7"/>
        </w:rPr>
        <w:t>辅助设计工具。</w:t>
      </w:r>
    </w:p>
    <w:p>
      <w:pPr>
        <w:pStyle w:val="BodyText"/>
        <w:ind w:left="359"/>
        <w:spacing w:before="253" w:line="213" w:lineRule="auto"/>
        <w:rPr/>
      </w:pPr>
      <w:r>
        <w:rPr>
          <w:spacing w:val="14"/>
        </w:rPr>
        <w:t>·</w:t>
      </w:r>
      <w:r>
        <w:rPr>
          <w:spacing w:val="-69"/>
        </w:rPr>
        <w:t xml:space="preserve"> </w:t>
      </w:r>
      <w:r>
        <w:rPr>
          <w:spacing w:val="14"/>
        </w:rPr>
        <w:t>中期(3-7年):结合自驾实验室，实现10</w:t>
      </w:r>
      <w:r>
        <w:rPr>
          <w:spacing w:val="13"/>
        </w:rPr>
        <w:t>-100倍加速的配比迭代。</w:t>
      </w:r>
    </w:p>
    <w:p>
      <w:pPr>
        <w:pStyle w:val="BodyText"/>
        <w:ind w:left="359"/>
        <w:spacing w:before="274" w:line="213" w:lineRule="auto"/>
        <w:rPr/>
      </w:pPr>
      <w:r>
        <w:rPr>
          <w:spacing w:val="6"/>
        </w:rPr>
        <w:t>·</w:t>
      </w:r>
      <w:r>
        <w:rPr>
          <w:spacing w:val="-91"/>
        </w:rPr>
        <w:t xml:space="preserve"> </w:t>
      </w:r>
      <w:r>
        <w:rPr>
          <w:spacing w:val="6"/>
        </w:rPr>
        <w:t>长期(7-15年):真正“生成即优化”的端到端平</w:t>
      </w:r>
      <w:r>
        <w:rPr>
          <w:spacing w:val="5"/>
        </w:rPr>
        <w:t>台，覆盖聚合物等复杂体系。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5" w:line="344" w:lineRule="auto"/>
        <w:rPr/>
      </w:pPr>
      <w:r>
        <w:rPr>
          <w:spacing w:val="11"/>
        </w:rPr>
        <w:t>所需条件：更大更干净的多源数据库、标准化实验反馈接口、可解释</w:t>
      </w:r>
      <w:r>
        <w:rPr>
          <w:rFonts w:ascii="Arial" w:hAnsi="Arial" w:eastAsia="Arial" w:cs="Arial"/>
        </w:rPr>
        <w:t>AI</w:t>
      </w:r>
      <w:r>
        <w:rPr>
          <w:spacing w:val="11"/>
        </w:rPr>
        <w:t>突破、计算-实验一体</w:t>
      </w:r>
      <w:r>
        <w:rPr>
          <w:spacing w:val="10"/>
        </w:rPr>
        <w:t>化平</w:t>
      </w:r>
      <w:r>
        <w:rPr/>
        <w:t xml:space="preserve"> </w:t>
      </w:r>
      <w:r>
        <w:rPr>
          <w:spacing w:val="-4"/>
        </w:rPr>
        <w:t>台。</w:t>
      </w:r>
    </w:p>
    <w:p>
      <w:pPr>
        <w:pStyle w:val="BodyText"/>
        <w:ind w:right="70"/>
        <w:spacing w:before="94" w:line="342" w:lineRule="auto"/>
        <w:rPr/>
      </w:pPr>
      <w:r>
        <w:rPr>
          <w:spacing w:val="14"/>
        </w:rPr>
        <w:t>总体判断：对于合金与部分无机陶瓷，部分场景已接近产业化边缘(3-5年内可能</w:t>
      </w:r>
      <w:r>
        <w:rPr>
          <w:spacing w:val="13"/>
        </w:rPr>
        <w:t>出现商用辅助</w:t>
      </w:r>
      <w:r>
        <w:rPr/>
        <w:t xml:space="preserve">  </w:t>
      </w:r>
      <w:r>
        <w:rPr>
          <w:spacing w:val="14"/>
        </w:rPr>
        <w:t>工具);聚合物与超高组元体系仍需5-10年</w:t>
      </w:r>
      <w:r>
        <w:rPr>
          <w:spacing w:val="13"/>
        </w:rPr>
        <w:t>基础突破。主动学习+物理信息融合的混合路线是最具</w:t>
      </w:r>
      <w:r>
        <w:rPr/>
        <w:t xml:space="preserve"> </w:t>
      </w:r>
      <w:r>
        <w:rPr>
          <w:spacing w:val="4"/>
        </w:rPr>
        <w:t>前景的方向。</w:t>
      </w:r>
    </w:p>
    <w:p>
      <w:pPr>
        <w:pStyle w:val="BodyText"/>
        <w:ind w:left="3"/>
        <w:spacing w:before="112" w:line="224" w:lineRule="auto"/>
        <w:rPr/>
      </w:pPr>
      <w:r>
        <w:rPr>
          <w:b/>
          <w:bCs/>
          <w:spacing w:val="10"/>
        </w:rPr>
        <w:t>报告结束</w:t>
      </w:r>
    </w:p>
    <w:sectPr>
      <w:pgSz w:w="12240" w:h="15840"/>
      <w:pgMar w:top="1190" w:right="1046" w:bottom="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2026-03-15T23:57:19</vt:filetime>
  </property>
  <property fmtid="{D5CDD505-2E9C-101B-9397-08002B2CF9AE}" pid="4" name="UsrData">
    <vt:lpwstr>69b6d6dd115626001f4cb122wl</vt:lpwstr>
  </property>
</Properties>
</file>