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402A5">
      <w:pPr>
        <w:spacing w:before="315" w:after="105" w:line="360" w:lineRule="auto"/>
        <w:ind w:left="-30"/>
        <w:jc w:val="left"/>
      </w:pPr>
      <w:bookmarkStart w:id="0" w:name="analysis_and_study_of_singles_bad_3e026f"/>
      <w:bookmarkStart w:id="213" w:name="_GoBack"/>
      <w:bookmarkEnd w:id="213"/>
      <w:r>
        <w:rPr>
          <w:rFonts w:ascii="inter" w:hAnsi="inter" w:eastAsia="inter" w:cs="inter"/>
          <w:b/>
          <w:color w:val="000000"/>
          <w:sz w:val="24"/>
        </w:rPr>
        <w:t>Analysis and Study of Singles Badminton Player Actions Using Sports Videos: A Comprehensive Research Report</w:t>
      </w:r>
      <w:bookmarkEnd w:id="0"/>
    </w:p>
    <w:p w14:paraId="1EB0F9FE">
      <w:pPr>
        <w:spacing w:before="315" w:after="105" w:line="360" w:lineRule="auto"/>
        <w:ind w:left="-30"/>
        <w:jc w:val="left"/>
      </w:pPr>
      <w:bookmarkStart w:id="1" w:name="bm_1_object_detection_and_trackin_c7068c"/>
      <w:r>
        <w:rPr>
          <w:rFonts w:ascii="inter" w:hAnsi="inter" w:eastAsia="inter" w:cs="inter"/>
          <w:b/>
          <w:color w:val="000000"/>
          <w:sz w:val="24"/>
        </w:rPr>
        <w:t>1. Object Detection and Tracking within Badminton Videos</w:t>
      </w:r>
      <w:bookmarkEnd w:id="1"/>
    </w:p>
    <w:p w14:paraId="22CEA3B7">
      <w:pPr>
        <w:spacing w:before="315" w:after="105" w:line="360" w:lineRule="auto"/>
        <w:ind w:left="-30"/>
        <w:jc w:val="left"/>
      </w:pPr>
      <w:bookmarkStart w:id="2" w:name="bm_1_1_state_of_the_art_detection_a0a0c3"/>
      <w:r>
        <w:rPr>
          <w:rFonts w:ascii="inter" w:hAnsi="inter" w:eastAsia="inter" w:cs="inter"/>
          <w:b/>
          <w:color w:val="000000"/>
          <w:sz w:val="24"/>
        </w:rPr>
        <w:t>1.1 State-of-the-Art Detection Methodologies</w:t>
      </w:r>
      <w:bookmarkEnd w:id="2"/>
    </w:p>
    <w:p w14:paraId="49C0D9B8">
      <w:pPr>
        <w:spacing w:after="210" w:line="360" w:lineRule="auto"/>
      </w:pPr>
      <w:r>
        <w:rPr>
          <w:rFonts w:ascii="inter" w:hAnsi="inter" w:eastAsia="inter" w:cs="inter"/>
          <w:color w:val="000000"/>
        </w:rPr>
        <w:t>Real-time object detection in badminton videos requires accurate localization of three critical entities: badminton players, shuttles (shuttlecocks), and court boundaries. The dominant paradigm employs one-stage detectors, particularly YOLOv5/YOLOv8, which balance speed and accuracy requisite for frame-by-frame analysis. YOLOv8 achieves competitive performance when fine-tuned on domain-specific badminton datasets, with the capability to detect multiple object classes simultaneously. For more challenging scenarios, two-stage detectors such as Faster R-CNN and DETR (Detection Transformer) provide higher precision at the cost of computational latency, limiting real-time applicability.</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5A41F56F">
      <w:pPr>
        <w:spacing w:after="210" w:line="360" w:lineRule="auto"/>
      </w:pPr>
      <w:r>
        <w:rPr>
          <w:rFonts w:ascii="inter" w:hAnsi="inter" w:eastAsia="inter" w:cs="inter"/>
          <w:color w:val="000000"/>
        </w:rPr>
        <w:t>Shuttle detection presents unique challenges. Standard object detection models struggle with the shuttlecock's small size, rapid motion blur, and occlusion by players' rackets and bodies. Specialized architectures address this: TrackNet, a CNN designed explicitly for small object tracking, uses heatmap-based prediction to localize the shuttlecock across sequential frames. TrackNet achieves 89.7% accuracy and 91.3% recall on the Badminton World Federation dataset, substantially outperforming generic detectors that yield 58.8% accuracy on the same benchmark. The architecture employs VGG16-style feature extraction followed by deconvolutional layers for pixel-level probability estimation, enabling sub-pixel localization of the 20mm diameter shuttlecock.</w:t>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CAB2B79">
      <w:pPr>
        <w:spacing w:after="210" w:line="360" w:lineRule="auto"/>
      </w:pPr>
      <w:r>
        <w:rPr>
          <w:rFonts w:ascii="inter" w:hAnsi="inter" w:eastAsia="inter" w:cs="inter"/>
          <w:color w:val="000000"/>
        </w:rPr>
        <w:t>Racket detection, though overlooked until recently, proves essential for understanding stroke mechanics. RacketDB, a specialized dataset with 22,682 annotated images, establishes benchmarks for this task. YOLOv8 fine-tuned on RacketDB achieves mean Average Precision (mAP) scores exceeding 0.78, enabling reliable racket localization across diverse lighting and player configurations.</w:t>
      </w:r>
      <w:bookmarkStart w:id="7" w:name="fnref3_1"/>
      <w:bookmarkEnd w:id="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0E4E15B">
      <w:pPr>
        <w:spacing w:before="315" w:after="105" w:line="360" w:lineRule="auto"/>
        <w:ind w:left="-30"/>
        <w:jc w:val="left"/>
      </w:pPr>
      <w:bookmarkStart w:id="8" w:name="bm_1_2_multi_object_tracking_algorithms"/>
      <w:r>
        <w:rPr>
          <w:rFonts w:ascii="inter" w:hAnsi="inter" w:eastAsia="inter" w:cs="inter"/>
          <w:b/>
          <w:color w:val="000000"/>
          <w:sz w:val="24"/>
        </w:rPr>
        <w:t>1.2 Multi-Object Tracking Algorithms</w:t>
      </w:r>
      <w:bookmarkEnd w:id="8"/>
    </w:p>
    <w:p w14:paraId="5B5B3E37">
      <w:pPr>
        <w:spacing w:after="210" w:line="360" w:lineRule="auto"/>
      </w:pPr>
      <w:r>
        <w:rPr>
          <w:rFonts w:ascii="inter" w:hAnsi="inter" w:eastAsia="inter" w:cs="inter"/>
          <w:color w:val="000000"/>
        </w:rPr>
        <w:t>Tracking maintains consistent identity assignments across frames, enabling trajectory reconstruction and temporal analysis. DeepSORT represents the dominant approach in sports video analysis, combining motion prediction (Kalman filtering) with appearance embeddings learned from re-identification networks. Unlike classical SORT, which relies exclusively on motion vectors, DeepSORT incorporates CNN-derived appearance features, substantially reducing identity-switch (ID-switch) errors in crowded scenes.</w:t>
      </w:r>
      <w:bookmarkStart w:id="9" w:name="fnref5"/>
      <w:bookmarkEnd w:id="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80CFE32">
      <w:pPr>
        <w:spacing w:after="210" w:line="360" w:lineRule="auto"/>
      </w:pPr>
      <w:r>
        <w:rPr>
          <w:rFonts w:ascii="inter" w:hAnsi="inter" w:eastAsia="inter" w:cs="inter"/>
          <w:color w:val="000000"/>
        </w:rPr>
        <w:t xml:space="preserve">More recent innovations advance beyond DeepSORT's limitations. </w:t>
      </w:r>
      <w:r>
        <w:rPr>
          <w:rFonts w:ascii="inter" w:hAnsi="inter" w:eastAsia="inter" w:cs="inter"/>
          <w:b/>
          <w:color w:val="000000"/>
        </w:rPr>
        <w:t>ByteTrack</w:t>
      </w:r>
      <w:r>
        <w:rPr>
          <w:rFonts w:ascii="inter" w:hAnsi="inter" w:eastAsia="inter" w:cs="inter"/>
          <w:color w:val="000000"/>
        </w:rPr>
        <w:t xml:space="preserve"> addresses the "missing detection problem" by leveraging low-confidence detections as potential track continuations, outperforming DeepSORT in dense scenarios. </w:t>
      </w:r>
      <w:r>
        <w:rPr>
          <w:rFonts w:ascii="inter" w:hAnsi="inter" w:eastAsia="inter" w:cs="inter"/>
          <w:b/>
          <w:color w:val="000000"/>
        </w:rPr>
        <w:t>BoT-SORT</w:t>
      </w:r>
      <w:r>
        <w:rPr>
          <w:rFonts w:ascii="inter" w:hAnsi="inter" w:eastAsia="inter" w:cs="inter"/>
          <w:color w:val="000000"/>
        </w:rPr>
        <w:t xml:space="preserve"> (Better and Faster SORT) extends ByteTrack with physics-informed motion models, achieving state-of-the-art performance on sports-specific benchmarks. </w:t>
      </w:r>
      <w:r>
        <w:rPr>
          <w:rFonts w:ascii="inter" w:hAnsi="inter" w:eastAsia="inter" w:cs="inter"/>
          <w:b/>
          <w:color w:val="000000"/>
        </w:rPr>
        <w:t>Deep HM-SORT</w:t>
      </w:r>
      <w:r>
        <w:rPr>
          <w:rFonts w:ascii="inter" w:hAnsi="inter" w:eastAsia="inter" w:cs="inter"/>
          <w:color w:val="000000"/>
        </w:rPr>
        <w:t xml:space="preserve"> achieves 80.1 HOTA (Higher-Order Tracking Accuracy) on SportsMOT and 85.4 on SoccerNet-Tracking, reducing ID-switches by 30% compared to prior methods through harmonic-mean-based association.</w:t>
      </w:r>
      <w:bookmarkStart w:id="11" w:name="fnref7"/>
      <w:bookmarkEnd w:id="1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2" w:name="fnref8"/>
      <w:bookmarkEnd w:id="1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2B679FA9">
      <w:pPr>
        <w:spacing w:after="210" w:line="360" w:lineRule="auto"/>
      </w:pPr>
      <w:r>
        <w:rPr>
          <w:rFonts w:ascii="inter" w:hAnsi="inter" w:eastAsia="inter" w:cs="inter"/>
          <w:color w:val="000000"/>
        </w:rPr>
        <w:t xml:space="preserve">Transformer-based trackers represent the frontier. </w:t>
      </w:r>
      <w:r>
        <w:rPr>
          <w:rFonts w:ascii="inter" w:hAnsi="inter" w:eastAsia="inter" w:cs="inter"/>
          <w:b/>
          <w:color w:val="000000"/>
        </w:rPr>
        <w:t>MOTR</w:t>
      </w:r>
      <w:r>
        <w:rPr>
          <w:rFonts w:ascii="inter" w:hAnsi="inter" w:eastAsia="inter" w:cs="inter"/>
          <w:color w:val="000000"/>
        </w:rPr>
        <w:t xml:space="preserve"> (Multi-Object Tracking with Transformers) and </w:t>
      </w:r>
      <w:r>
        <w:rPr>
          <w:rFonts w:ascii="inter" w:hAnsi="inter" w:eastAsia="inter" w:cs="inter"/>
          <w:b/>
          <w:color w:val="000000"/>
        </w:rPr>
        <w:t>TrackFormer</w:t>
      </w:r>
      <w:r>
        <w:rPr>
          <w:rFonts w:ascii="inter" w:hAnsi="inter" w:eastAsia="inter" w:cs="inter"/>
          <w:color w:val="000000"/>
        </w:rPr>
        <w:t xml:space="preserve"> formulate tracking as end-to-end sequence prediction, eliminating the tracking-by-detection paradigm's dependence on separate detection modules. These methods learn appearance and motion jointly through attention mechanisms, achieving HOTA scores of 77.0 on MOT17 benchmark.</w:t>
      </w:r>
      <w:bookmarkStart w:id="13" w:name="fnref9"/>
      <w:bookmarkEnd w:id="1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4" w:name="fnref10"/>
      <w:bookmarkEnd w:id="1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3B3CBDA">
      <w:pPr>
        <w:spacing w:after="210" w:line="360" w:lineRule="auto"/>
      </w:pPr>
      <w:r>
        <w:rPr>
          <w:rFonts w:ascii="inter" w:hAnsi="inter" w:eastAsia="inter" w:cs="inter"/>
          <w:b/>
          <w:color w:val="000000"/>
        </w:rPr>
        <w:t>Badminton-specific challenges</w:t>
      </w:r>
      <w:r>
        <w:rPr>
          <w:rFonts w:ascii="inter" w:hAnsi="inter" w:eastAsia="inter" w:cs="inter"/>
          <w:color w:val="000000"/>
        </w:rPr>
        <w:t xml:space="preserve"> demand specialized adaptations:</w:t>
      </w:r>
    </w:p>
    <w:p w14:paraId="494129A3">
      <w:pPr>
        <w:numPr>
          <w:ilvl w:val="0"/>
          <w:numId w:val="1"/>
        </w:numPr>
        <w:spacing w:before="105" w:after="105" w:line="360" w:lineRule="auto"/>
      </w:pPr>
      <w:r>
        <w:rPr>
          <w:rFonts w:ascii="inter" w:hAnsi="inter" w:eastAsia="inter" w:cs="inter"/>
          <w:b/>
          <w:color w:val="000000"/>
          <w:sz w:val="21"/>
        </w:rPr>
        <w:t>Rapid motion blur</w:t>
      </w:r>
      <w:r>
        <w:rPr>
          <w:rFonts w:ascii="inter" w:hAnsi="inter" w:eastAsia="inter" w:cs="inter"/>
          <w:color w:val="000000"/>
          <w:sz w:val="21"/>
        </w:rPr>
        <w:t>: Shuttle velocities exceed 400 km/h, causing severe motion blur across consecutive frames</w:t>
      </w:r>
    </w:p>
    <w:p w14:paraId="21FB3B10">
      <w:pPr>
        <w:numPr>
          <w:ilvl w:val="0"/>
          <w:numId w:val="1"/>
        </w:numPr>
        <w:spacing w:before="105" w:after="105" w:line="360" w:lineRule="auto"/>
      </w:pPr>
      <w:r>
        <w:rPr>
          <w:rFonts w:ascii="inter" w:hAnsi="inter" w:eastAsia="inter" w:cs="inter"/>
          <w:b/>
          <w:color w:val="000000"/>
          <w:sz w:val="21"/>
        </w:rPr>
        <w:t>Occlusion</w:t>
      </w:r>
      <w:r>
        <w:rPr>
          <w:rFonts w:ascii="inter" w:hAnsi="inter" w:eastAsia="inter" w:cs="inter"/>
          <w:color w:val="000000"/>
          <w:sz w:val="21"/>
        </w:rPr>
        <w:t>: Players frequently obstruct shuttle visibility; prediction mechanisms must maintain track continuity during occlusion windows (10-20 frames typical)</w:t>
      </w:r>
    </w:p>
    <w:p w14:paraId="5F4CE677">
      <w:pPr>
        <w:numPr>
          <w:ilvl w:val="0"/>
          <w:numId w:val="1"/>
        </w:numPr>
        <w:spacing w:before="105" w:after="105" w:line="360" w:lineRule="auto"/>
      </w:pPr>
      <w:r>
        <w:rPr>
          <w:rFonts w:ascii="inter" w:hAnsi="inter" w:eastAsia="inter" w:cs="inter"/>
          <w:b/>
          <w:color w:val="000000"/>
          <w:sz w:val="21"/>
        </w:rPr>
        <w:t>Appearance similarity</w:t>
      </w:r>
      <w:r>
        <w:rPr>
          <w:rFonts w:ascii="inter" w:hAnsi="inter" w:eastAsia="inter" w:cs="inter"/>
          <w:color w:val="000000"/>
          <w:sz w:val="21"/>
        </w:rPr>
        <w:t>: Multiple players wear similar uniforms, causing ID-switches; color-based re-identification fails when both players wear identical jerseys</w:t>
      </w:r>
    </w:p>
    <w:p w14:paraId="772D1FF3">
      <w:pPr>
        <w:spacing w:after="210" w:line="360" w:lineRule="auto"/>
      </w:pPr>
      <w:r>
        <w:rPr>
          <w:rFonts w:ascii="inter" w:hAnsi="inter" w:eastAsia="inter" w:cs="inter"/>
          <w:color w:val="000000"/>
        </w:rPr>
        <w:t>For badminton, practical implementation employs YOLOv8 for frame-by-frame detection, combined with StrongSORT or Deep HM-SORT for tracking, with specialized shuttle interpolation using quadratic trajectory fitting during brief occlusions.</w:t>
      </w:r>
      <w:bookmarkStart w:id="15" w:name="fnref4_1"/>
      <w:bookmarkEnd w:id="1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7750018F">
      <w:pPr>
        <w:spacing w:before="315" w:after="105" w:line="360" w:lineRule="auto"/>
        <w:ind w:left="-30"/>
        <w:jc w:val="left"/>
      </w:pPr>
      <w:bookmarkStart w:id="16" w:name="bm_1_3_evaluation_metrics_and_ben_2684b1"/>
      <w:r>
        <w:rPr>
          <w:rFonts w:ascii="inter" w:hAnsi="inter" w:eastAsia="inter" w:cs="inter"/>
          <w:b/>
          <w:color w:val="000000"/>
          <w:sz w:val="24"/>
        </w:rPr>
        <w:t>1.3 Evaluation Metrics and Benchmark Datasets</w:t>
      </w:r>
      <w:bookmarkEnd w:id="16"/>
    </w:p>
    <w:p w14:paraId="639F88AB">
      <w:pPr>
        <w:spacing w:after="210" w:line="360" w:lineRule="auto"/>
      </w:pPr>
      <w:r>
        <w:rPr>
          <w:rFonts w:ascii="inter" w:hAnsi="inter" w:eastAsia="inter" w:cs="inter"/>
          <w:color w:val="000000"/>
        </w:rPr>
        <w:t>Standard tracking evaluation employs Multiple Object Tracking Challenge (MOT) metrics:</w:t>
      </w:r>
      <w:bookmarkStart w:id="17" w:name="fnref11"/>
      <w:bookmarkEnd w:id="1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2079F03">
      <w:pPr>
        <w:numPr>
          <w:ilvl w:val="0"/>
          <w:numId w:val="2"/>
        </w:numPr>
        <w:spacing w:before="105" w:after="105" w:line="360" w:lineRule="auto"/>
      </w:pPr>
      <w:r>
        <w:rPr>
          <w:rFonts w:ascii="inter" w:hAnsi="inter" w:eastAsia="inter" w:cs="inter"/>
          <w:b/>
          <w:color w:val="000000"/>
          <w:sz w:val="21"/>
        </w:rPr>
        <w:t>MOTA</w:t>
      </w:r>
      <w:r>
        <w:rPr>
          <w:rFonts w:ascii="inter" w:hAnsi="inter" w:eastAsia="inter" w:cs="inter"/>
          <w:color w:val="000000"/>
          <w:sz w:val="21"/>
        </w:rPr>
        <w:t xml:space="preserve"> (Multiple Object Tracking Accuracy): Accounts for false negatives, false positives, and ID switches; ranges from -∞ to 100%, with 100% indicating perfect tracking</w:t>
      </w:r>
    </w:p>
    <w:p w14:paraId="3EF1177F">
      <w:pPr>
        <w:numPr>
          <w:ilvl w:val="0"/>
          <w:numId w:val="2"/>
        </w:numPr>
        <w:spacing w:before="105" w:after="105" w:line="360" w:lineRule="auto"/>
      </w:pPr>
      <w:r>
        <w:rPr>
          <w:rFonts w:ascii="inter" w:hAnsi="inter" w:eastAsia="inter" w:cs="inter"/>
          <w:b/>
          <w:color w:val="000000"/>
          <w:sz w:val="21"/>
        </w:rPr>
        <w:t>MOTP</w:t>
      </w:r>
      <w:r>
        <w:rPr>
          <w:rFonts w:ascii="inter" w:hAnsi="inter" w:eastAsia="inter" w:cs="inter"/>
          <w:color w:val="000000"/>
          <w:sz w:val="21"/>
        </w:rPr>
        <w:t xml:space="preserve"> (Multiple Object Tracking Precision): Average spatial overlap between detected and ground-truth bounding boxes</w:t>
      </w:r>
    </w:p>
    <w:p w14:paraId="7A264548">
      <w:pPr>
        <w:numPr>
          <w:ilvl w:val="0"/>
          <w:numId w:val="2"/>
        </w:numPr>
        <w:spacing w:before="105" w:after="105" w:line="360" w:lineRule="auto"/>
      </w:pPr>
      <w:r>
        <w:rPr>
          <w:rFonts w:ascii="inter" w:hAnsi="inter" w:eastAsia="inter" w:cs="inter"/>
          <w:b/>
          <w:color w:val="000000"/>
          <w:sz w:val="21"/>
        </w:rPr>
        <w:t>IDF1</w:t>
      </w:r>
      <w:r>
        <w:rPr>
          <w:rFonts w:ascii="inter" w:hAnsi="inter" w:eastAsia="inter" w:cs="inter"/>
          <w:color w:val="000000"/>
          <w:sz w:val="21"/>
        </w:rPr>
        <w:t xml:space="preserve"> (ID F1 score): Harmonic mean of ID precision and recall</w:t>
      </w:r>
    </w:p>
    <w:p w14:paraId="78004F61">
      <w:pPr>
        <w:numPr>
          <w:ilvl w:val="0"/>
          <w:numId w:val="2"/>
        </w:numPr>
        <w:spacing w:before="105" w:after="105" w:line="360" w:lineRule="auto"/>
      </w:pPr>
      <w:r>
        <w:rPr>
          <w:rFonts w:ascii="inter" w:hAnsi="inter" w:eastAsia="inter" w:cs="inter"/>
          <w:b/>
          <w:color w:val="000000"/>
          <w:sz w:val="21"/>
        </w:rPr>
        <w:t>HOTA</w:t>
      </w:r>
      <w:r>
        <w:rPr>
          <w:rFonts w:ascii="inter" w:hAnsi="inter" w:eastAsia="inter" w:cs="inter"/>
          <w:color w:val="000000"/>
          <w:sz w:val="21"/>
        </w:rPr>
        <w:t xml:space="preserve"> (Higher-Order Tracking Accuracy): Combined metric accounting for localization and association quality</w:t>
      </w:r>
    </w:p>
    <w:p w14:paraId="77D172B5">
      <w:pPr>
        <w:spacing w:after="210" w:line="360" w:lineRule="auto"/>
      </w:pPr>
      <w:r>
        <w:rPr>
          <w:rFonts w:ascii="inter" w:hAnsi="inter" w:eastAsia="inter" w:cs="inter"/>
          <w:color w:val="000000"/>
        </w:rPr>
        <w:t xml:space="preserve">For object detection, </w:t>
      </w:r>
      <w:r>
        <w:rPr>
          <w:rFonts w:ascii="inter" w:hAnsi="inter" w:eastAsia="inter" w:cs="inter"/>
          <w:b/>
          <w:color w:val="000000"/>
        </w:rPr>
        <w:t>mAP</w:t>
      </w:r>
      <w:r>
        <w:rPr>
          <w:rFonts w:ascii="inter" w:hAnsi="inter" w:eastAsia="inter" w:cs="inter"/>
          <w:color w:val="000000"/>
        </w:rPr>
        <w:t xml:space="preserve"> (mean Average Precision) at varying IoU thresholds (mAP@0.50, mAP@0.50:0.95) quantifies precision-recall tradeoffs. </w:t>
      </w:r>
      <w:r>
        <w:rPr>
          <w:rFonts w:ascii="inter" w:hAnsi="inter" w:eastAsia="inter" w:cs="inter"/>
          <w:b/>
          <w:color w:val="000000"/>
        </w:rPr>
        <w:t>F1 score</w:t>
      </w:r>
      <w:r>
        <w:rPr>
          <w:rFonts w:ascii="inter" w:hAnsi="inter" w:eastAsia="inter" w:cs="inter"/>
          <w:color w:val="000000"/>
        </w:rPr>
        <w:t xml:space="preserve"> provides balanced precision-recall assessment particularly useful for imbalanced badminton action distributions.</w:t>
      </w:r>
      <w:bookmarkStart w:id="18" w:name="fnref12"/>
      <w:bookmarkEnd w:id="1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76CBF6DE">
      <w:pPr>
        <w:spacing w:after="210" w:line="360" w:lineRule="auto"/>
      </w:pPr>
      <w:r>
        <w:rPr>
          <w:rFonts w:ascii="inter" w:hAnsi="inter" w:eastAsia="inter" w:cs="inter"/>
          <w:b/>
          <w:color w:val="000000"/>
        </w:rPr>
        <w:t>Badminton-specific datasets</w:t>
      </w:r>
      <w:r>
        <w:rPr>
          <w:rFonts w:ascii="inter" w:hAnsi="inter" w:eastAsia="inter" w:cs="inter"/>
          <w:color w:val="000000"/>
        </w:rPr>
        <w:t>:</w:t>
      </w:r>
    </w:p>
    <w:p w14:paraId="04E63A16">
      <w:pPr>
        <w:numPr>
          <w:ilvl w:val="0"/>
          <w:numId w:val="3"/>
        </w:numPr>
        <w:spacing w:before="105" w:after="105" w:line="360" w:lineRule="auto"/>
      </w:pPr>
      <w:r>
        <w:rPr>
          <w:rFonts w:ascii="inter" w:hAnsi="inter" w:eastAsia="inter" w:cs="inter"/>
          <w:b/>
          <w:color w:val="000000"/>
          <w:sz w:val="21"/>
        </w:rPr>
        <w:t>TrackNet Dataset</w:t>
      </w:r>
      <w:r>
        <w:rPr>
          <w:rFonts w:ascii="inter" w:hAnsi="inter" w:eastAsia="inter" w:cs="inter"/>
          <w:color w:val="000000"/>
          <w:sz w:val="21"/>
        </w:rPr>
        <w:t>: 14 professional badminton matches with pixel-level shuttlecock annotations</w:t>
      </w:r>
    </w:p>
    <w:p w14:paraId="5810920F">
      <w:pPr>
        <w:numPr>
          <w:ilvl w:val="0"/>
          <w:numId w:val="3"/>
        </w:numPr>
        <w:spacing w:before="105" w:after="105" w:line="360" w:lineRule="auto"/>
      </w:pPr>
      <w:r>
        <w:rPr>
          <w:rFonts w:ascii="inter" w:hAnsi="inter" w:eastAsia="inter" w:cs="inter"/>
          <w:b/>
          <w:color w:val="000000"/>
          <w:sz w:val="21"/>
        </w:rPr>
        <w:t>RacketDB</w:t>
      </w:r>
      <w:r>
        <w:rPr>
          <w:rFonts w:ascii="inter" w:hAnsi="inter" w:eastAsia="inter" w:cs="inter"/>
          <w:color w:val="000000"/>
          <w:sz w:val="21"/>
        </w:rPr>
        <w:t>: 22,682 annotated images for racket detection</w:t>
      </w:r>
    </w:p>
    <w:p w14:paraId="5ED31ECD">
      <w:pPr>
        <w:numPr>
          <w:ilvl w:val="0"/>
          <w:numId w:val="3"/>
        </w:numPr>
        <w:spacing w:before="105" w:after="105" w:line="360" w:lineRule="auto"/>
      </w:pPr>
      <w:r>
        <w:rPr>
          <w:rFonts w:ascii="inter" w:hAnsi="inter" w:eastAsia="inter" w:cs="inter"/>
          <w:b/>
          <w:color w:val="000000"/>
          <w:sz w:val="21"/>
        </w:rPr>
        <w:t>FineBadminton</w:t>
      </w:r>
      <w:r>
        <w:rPr>
          <w:rFonts w:ascii="inter" w:hAnsi="inter" w:eastAsia="inter" w:cs="inter"/>
          <w:color w:val="000000"/>
          <w:sz w:val="21"/>
        </w:rPr>
        <w:t>: Emerging multi-level dataset curated from Badminton World Federation broadcasts</w:t>
      </w:r>
    </w:p>
    <w:p w14:paraId="69C9A06B">
      <w:pPr>
        <w:numPr>
          <w:ilvl w:val="0"/>
          <w:numId w:val="3"/>
        </w:numPr>
        <w:spacing w:before="105" w:after="105" w:line="360" w:lineRule="auto"/>
      </w:pPr>
      <w:r>
        <w:rPr>
          <w:rFonts w:ascii="inter" w:hAnsi="inter" w:eastAsia="inter" w:cs="inter"/>
          <w:b/>
          <w:color w:val="000000"/>
          <w:sz w:val="21"/>
        </w:rPr>
        <w:t>VideoBadminton</w:t>
      </w:r>
      <w:r>
        <w:rPr>
          <w:rFonts w:ascii="inter" w:hAnsi="inter" w:eastAsia="inter" w:cs="inter"/>
          <w:color w:val="000000"/>
          <w:sz w:val="21"/>
        </w:rPr>
        <w:t>: Action recognition dataset with court position and shot type labels</w:t>
      </w:r>
    </w:p>
    <w:p w14:paraId="3B6180E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58ECBC49">
      <w:pPr>
        <w:spacing w:before="315" w:after="105" w:line="360" w:lineRule="auto"/>
        <w:ind w:left="-30"/>
        <w:jc w:val="left"/>
      </w:pPr>
      <w:bookmarkStart w:id="19" w:name="bm_2_recognition_of_technical_actions"/>
      <w:r>
        <w:rPr>
          <w:rFonts w:ascii="inter" w:hAnsi="inter" w:eastAsia="inter" w:cs="inter"/>
          <w:b/>
          <w:color w:val="000000"/>
          <w:sz w:val="24"/>
        </w:rPr>
        <w:t>2. Recognition of Technical Actions</w:t>
      </w:r>
      <w:bookmarkEnd w:id="19"/>
    </w:p>
    <w:p w14:paraId="4D958B1C">
      <w:pPr>
        <w:spacing w:before="315" w:after="105" w:line="360" w:lineRule="auto"/>
        <w:ind w:left="-30"/>
        <w:jc w:val="left"/>
      </w:pPr>
      <w:bookmarkStart w:id="20" w:name="bm_2_1_pose_estimation_architectures"/>
      <w:r>
        <w:rPr>
          <w:rFonts w:ascii="inter" w:hAnsi="inter" w:eastAsia="inter" w:cs="inter"/>
          <w:b/>
          <w:color w:val="000000"/>
          <w:sz w:val="24"/>
        </w:rPr>
        <w:t>2.1 Pose Estimation Architectures</w:t>
      </w:r>
      <w:bookmarkEnd w:id="20"/>
    </w:p>
    <w:p w14:paraId="38620738">
      <w:pPr>
        <w:spacing w:after="210" w:line="360" w:lineRule="auto"/>
      </w:pPr>
      <w:r>
        <w:rPr>
          <w:rFonts w:ascii="inter" w:hAnsi="inter" w:eastAsia="inter" w:cs="inter"/>
          <w:color w:val="000000"/>
        </w:rPr>
        <w:t xml:space="preserve">Skeleton-based action recognition extracts human body joint coordinates, forming the foundation for technical stroke analysis. </w:t>
      </w:r>
      <w:r>
        <w:rPr>
          <w:rFonts w:ascii="inter" w:hAnsi="inter" w:eastAsia="inter" w:cs="inter"/>
          <w:b/>
          <w:color w:val="000000"/>
        </w:rPr>
        <w:t>OpenPose</w:t>
      </w:r>
      <w:r>
        <w:rPr>
          <w:rFonts w:ascii="inter" w:hAnsi="inter" w:eastAsia="inter" w:cs="inter"/>
          <w:color w:val="000000"/>
        </w:rPr>
        <w:t>, employing multi-stage convolutional networks with Part Affinity Fields (PAF), detects 25 body joints per frame with reasonable accuracy for real-time applications. However, OpenPose exhibits limitations in high-speed badminton contexts where temporal consistency suffers.</w:t>
      </w:r>
      <w:bookmarkStart w:id="21" w:name="fnref13"/>
      <w:bookmarkEnd w:id="2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1EF28BB1">
      <w:pPr>
        <w:spacing w:after="210" w:line="360" w:lineRule="auto"/>
      </w:pPr>
      <w:r>
        <w:rPr>
          <w:rFonts w:ascii="inter" w:hAnsi="inter" w:eastAsia="inter" w:cs="inter"/>
          <w:b/>
          <w:color w:val="000000"/>
        </w:rPr>
        <w:t>HRNet</w:t>
      </w:r>
      <w:r>
        <w:rPr>
          <w:rFonts w:ascii="inter" w:hAnsi="inter" w:eastAsia="inter" w:cs="inter"/>
          <w:color w:val="000000"/>
        </w:rPr>
        <w:t xml:space="preserve"> (High-Resolution Networks) maintains multi-resolution representations throughout feature extraction, achieving superior joint localization accuracy. HRNet-W32 produces 17 skeletal joints with 2D coordinates directly from RGB frames, outperforming OpenPose on custom sports datasets. Combined with transfer learning from COCO 2017 dataset, HRNet achieves sufficient accuracy for badminton-specific applications.</w:t>
      </w:r>
      <w:bookmarkStart w:id="22" w:name="fnref14"/>
      <w:bookmarkEnd w:id="2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3" w:name="fnref15"/>
      <w:bookmarkEnd w:id="23"/>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44E819B8">
      <w:pPr>
        <w:spacing w:after="210" w:line="360" w:lineRule="auto"/>
      </w:pPr>
      <w:r>
        <w:rPr>
          <w:rFonts w:ascii="inter" w:hAnsi="inter" w:eastAsia="inter" w:cs="inter"/>
          <w:b/>
          <w:color w:val="000000"/>
        </w:rPr>
        <w:t>PoseC3D</w:t>
      </w:r>
      <w:r>
        <w:rPr>
          <w:rFonts w:ascii="inter" w:hAnsi="inter" w:eastAsia="inter" w:cs="inter"/>
          <w:color w:val="000000"/>
        </w:rPr>
        <w:t xml:space="preserve"> extends 2D skeleton estimation with 3D depth information, enabling volumetric action modeling. However, monocular badminton videos lack depth ground truth, limiting 3D reconstruction reliability unless multi-view calibration is performed.</w:t>
      </w:r>
    </w:p>
    <w:p w14:paraId="6AEBF56A">
      <w:pPr>
        <w:spacing w:before="315" w:after="105" w:line="360" w:lineRule="auto"/>
        <w:ind w:left="-30"/>
        <w:jc w:val="left"/>
      </w:pPr>
      <w:bookmarkStart w:id="24" w:name="bm_2_2_skeleton_based_action_reco_193b43"/>
      <w:r>
        <w:rPr>
          <w:rFonts w:ascii="inter" w:hAnsi="inter" w:eastAsia="inter" w:cs="inter"/>
          <w:b/>
          <w:color w:val="000000"/>
          <w:sz w:val="24"/>
        </w:rPr>
        <w:t>2.2 Skeleton-Based Action Recognition Models</w:t>
      </w:r>
      <w:bookmarkEnd w:id="24"/>
    </w:p>
    <w:p w14:paraId="560B78B0">
      <w:pPr>
        <w:spacing w:after="210" w:line="360" w:lineRule="auto"/>
      </w:pPr>
      <w:r>
        <w:rPr>
          <w:rFonts w:ascii="inter" w:hAnsi="inter" w:eastAsia="inter" w:cs="inter"/>
          <w:color w:val="000000"/>
        </w:rPr>
        <w:t xml:space="preserve">Skeleton sequences—temporal sequences of 2D/3D joint coordinates—serve as action representation. </w:t>
      </w:r>
      <w:r>
        <w:rPr>
          <w:rFonts w:ascii="inter" w:hAnsi="inter" w:eastAsia="inter" w:cs="inter"/>
          <w:b/>
          <w:color w:val="000000"/>
        </w:rPr>
        <w:t>ST-GCN</w:t>
      </w:r>
      <w:r>
        <w:rPr>
          <w:rFonts w:ascii="inter" w:hAnsi="inter" w:eastAsia="inter" w:cs="inter"/>
          <w:color w:val="000000"/>
        </w:rPr>
        <w:t xml:space="preserve"> (Spatial-Temporal Graph Convolutional Networks) models skeletons as graphs where nodes represent joints and edges encode anatomical connections, automatically learning spatial and temporal patterns. ST-GCN applies convolutional operations on this dynamic graph structure, achieving 88.3% accuracy on NTU RGB+D dataset.</w:t>
      </w:r>
      <w:bookmarkStart w:id="25" w:name="fnref16"/>
      <w:bookmarkEnd w:id="2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26" w:name="fnref17"/>
      <w:bookmarkEnd w:id="2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59A095B7">
      <w:pPr>
        <w:spacing w:after="210" w:line="360" w:lineRule="auto"/>
      </w:pPr>
      <w:r>
        <w:rPr>
          <w:rFonts w:ascii="inter" w:hAnsi="inter" w:eastAsia="inter" w:cs="inter"/>
          <w:b/>
          <w:color w:val="000000"/>
        </w:rPr>
        <w:t>AS-GCN</w:t>
      </w:r>
      <w:r>
        <w:rPr>
          <w:rFonts w:ascii="inter" w:hAnsi="inter" w:eastAsia="inter" w:cs="inter"/>
          <w:color w:val="000000"/>
        </w:rPr>
        <w:t xml:space="preserve"> (Actional-Structural Graph Convolutional Networks) advances ST-GCN by learning two graph structures: structural (anatomically-fixed) and actional (action-specific), capturing relationships invisible in fixed skeleton graphs. For badminton, AS-GCN better discriminates between subtle motion differences, distinguishing rapid dropshots from slow defensive clears.</w:t>
      </w:r>
      <w:bookmarkStart w:id="27" w:name="fnref18"/>
      <w:bookmarkEnd w:id="27"/>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63B79449">
      <w:pPr>
        <w:spacing w:after="210" w:line="360" w:lineRule="auto"/>
      </w:pPr>
      <w:r>
        <w:rPr>
          <w:rFonts w:ascii="inter" w:hAnsi="inter" w:eastAsia="inter" w:cs="inter"/>
          <w:b/>
          <w:color w:val="000000"/>
        </w:rPr>
        <w:t>Temporal modeling</w:t>
      </w:r>
      <w:r>
        <w:rPr>
          <w:rFonts w:ascii="inter" w:hAnsi="inter" w:eastAsia="inter" w:cs="inter"/>
          <w:color w:val="000000"/>
        </w:rPr>
        <w:t xml:space="preserve"> complements spatial graph convolution. 1D temporal convolutions process frame-by-frame joint coordinates, capturing velocities and accelerations. More sophisticated approaches employ:</w:t>
      </w:r>
    </w:p>
    <w:p w14:paraId="6FA1FF5E">
      <w:pPr>
        <w:numPr>
          <w:ilvl w:val="0"/>
          <w:numId w:val="4"/>
        </w:numPr>
        <w:spacing w:before="105" w:after="105" w:line="360" w:lineRule="auto"/>
      </w:pPr>
      <w:r>
        <w:rPr>
          <w:rFonts w:ascii="inter" w:hAnsi="inter" w:eastAsia="inter" w:cs="inter"/>
          <w:b/>
          <w:color w:val="000000"/>
          <w:sz w:val="21"/>
        </w:rPr>
        <w:t>TCN</w:t>
      </w:r>
      <w:r>
        <w:rPr>
          <w:rFonts w:ascii="inter" w:hAnsi="inter" w:eastAsia="inter" w:cs="inter"/>
          <w:color w:val="000000"/>
          <w:sz w:val="21"/>
        </w:rPr>
        <w:t xml:space="preserve"> (Temporal Convolutional Networks): Dilated convolutions capture multi-scale temporal dependencies</w:t>
      </w:r>
    </w:p>
    <w:p w14:paraId="4E15B759">
      <w:pPr>
        <w:numPr>
          <w:ilvl w:val="0"/>
          <w:numId w:val="4"/>
        </w:numPr>
        <w:spacing w:before="105" w:after="105" w:line="360" w:lineRule="auto"/>
      </w:pPr>
      <w:r>
        <w:rPr>
          <w:rFonts w:ascii="inter" w:hAnsi="inter" w:eastAsia="inter" w:cs="inter"/>
          <w:b/>
          <w:color w:val="000000"/>
          <w:sz w:val="21"/>
        </w:rPr>
        <w:t>LSTM/GRU</w:t>
      </w:r>
      <w:r>
        <w:rPr>
          <w:rFonts w:ascii="inter" w:hAnsi="inter" w:eastAsia="inter" w:cs="inter"/>
          <w:color w:val="000000"/>
          <w:sz w:val="21"/>
        </w:rPr>
        <w:t>: Sequential models preserve long-range temporal context over entire rallies (20-30 second sequences)</w:t>
      </w:r>
    </w:p>
    <w:p w14:paraId="5CD23DFF">
      <w:pPr>
        <w:numPr>
          <w:ilvl w:val="0"/>
          <w:numId w:val="4"/>
        </w:numPr>
        <w:spacing w:before="105" w:after="105" w:line="360" w:lineRule="auto"/>
      </w:pPr>
      <w:r>
        <w:rPr>
          <w:rFonts w:ascii="inter" w:hAnsi="inter" w:eastAsia="inter" w:cs="inter"/>
          <w:b/>
          <w:color w:val="000000"/>
          <w:sz w:val="21"/>
        </w:rPr>
        <w:t>Transformer</w:t>
      </w:r>
      <w:r>
        <w:rPr>
          <w:rFonts w:ascii="inter" w:hAnsi="inter" w:eastAsia="inter" w:cs="inter"/>
          <w:color w:val="000000"/>
          <w:sz w:val="21"/>
        </w:rPr>
        <w:t>: Self-attention mechanisms enable parallel temporal processing, reducing training time versus RNN approaches</w:t>
      </w:r>
    </w:p>
    <w:p w14:paraId="1693C726">
      <w:pPr>
        <w:spacing w:before="315" w:after="105" w:line="360" w:lineRule="auto"/>
        <w:ind w:left="-30"/>
        <w:jc w:val="left"/>
      </w:pPr>
      <w:bookmarkStart w:id="28" w:name="bm_2_3_badminton_action_classific_f0b403"/>
      <w:r>
        <w:rPr>
          <w:rFonts w:ascii="inter" w:hAnsi="inter" w:eastAsia="inter" w:cs="inter"/>
          <w:b/>
          <w:color w:val="000000"/>
          <w:sz w:val="24"/>
        </w:rPr>
        <w:t>2.3 Badminton Action Classification Framework</w:t>
      </w:r>
      <w:bookmarkEnd w:id="28"/>
    </w:p>
    <w:p w14:paraId="3DD0112C">
      <w:pPr>
        <w:spacing w:after="210" w:line="360" w:lineRule="auto"/>
      </w:pPr>
      <w:r>
        <w:rPr>
          <w:rFonts w:ascii="inter" w:hAnsi="inter" w:eastAsia="inter" w:cs="inter"/>
          <w:color w:val="000000"/>
        </w:rPr>
        <w:t>Badminton technical actions can be taxonomized into shot types, each with characteristic kinematic signatures:</w:t>
      </w:r>
      <w:bookmarkStart w:id="29" w:name="fnref19"/>
      <w:bookmarkEnd w:id="29"/>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79"/>
        <w:gridCol w:w="4235"/>
        <w:gridCol w:w="4526"/>
      </w:tblGrid>
      <w:tr w14:paraId="7C1908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95C69FD">
            <w:pPr>
              <w:spacing w:after="0" w:line="360" w:lineRule="auto"/>
            </w:pPr>
            <w:r>
              <w:rPr>
                <w:rFonts w:ascii="inter" w:hAnsi="inter" w:eastAsia="inter" w:cs="inter"/>
                <w:color w:val="000000"/>
                <w:sz w:val="17"/>
              </w:rPr>
              <w:t>Shot Type</w:t>
            </w:r>
          </w:p>
        </w:tc>
        <w:tc>
          <w:tcPr>
            <w:tcBorders>
              <w:top w:val="single" w:color="000000" w:sz="0" w:space="0"/>
              <w:bottom w:val="single" w:color="000000" w:sz="0" w:space="0"/>
              <w:right w:val="single" w:color="000000" w:sz="0" w:space="0"/>
            </w:tcBorders>
          </w:tcPr>
          <w:p w14:paraId="2B96B647">
            <w:pPr>
              <w:spacing w:after="0" w:line="360" w:lineRule="auto"/>
            </w:pPr>
            <w:r>
              <w:rPr>
                <w:rFonts w:ascii="inter" w:hAnsi="inter" w:eastAsia="inter" w:cs="inter"/>
                <w:color w:val="000000"/>
                <w:sz w:val="17"/>
              </w:rPr>
              <w:t>Kinematic Signature</w:t>
            </w:r>
          </w:p>
        </w:tc>
        <w:tc>
          <w:tcPr>
            <w:tcBorders>
              <w:top w:val="single" w:color="000000" w:sz="0" w:space="0"/>
              <w:bottom w:val="single" w:color="000000" w:sz="0" w:space="0"/>
            </w:tcBorders>
          </w:tcPr>
          <w:p w14:paraId="0BD5F908">
            <w:pPr>
              <w:spacing w:after="0" w:line="360" w:lineRule="auto"/>
            </w:pPr>
            <w:r>
              <w:rPr>
                <w:rFonts w:ascii="inter" w:hAnsi="inter" w:eastAsia="inter" w:cs="inter"/>
                <w:color w:val="000000"/>
                <w:sz w:val="17"/>
              </w:rPr>
              <w:t>Skeletal Features</w:t>
            </w:r>
          </w:p>
        </w:tc>
      </w:tr>
      <w:tr w14:paraId="46AF408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D70D5B8">
            <w:pPr>
              <w:spacing w:after="0" w:line="360" w:lineRule="auto"/>
            </w:pPr>
            <w:r>
              <w:rPr>
                <w:rFonts w:ascii="inter" w:hAnsi="inter" w:eastAsia="inter" w:cs="inter"/>
                <w:b/>
                <w:color w:val="000000"/>
                <w:sz w:val="17"/>
              </w:rPr>
              <w:t>Smash</w:t>
            </w:r>
          </w:p>
        </w:tc>
        <w:tc>
          <w:tcPr>
            <w:tcBorders>
              <w:top w:val="single" w:color="000000" w:sz="0" w:space="0"/>
              <w:bottom w:val="single" w:color="000000" w:sz="0" w:space="0"/>
              <w:right w:val="single" w:color="000000" w:sz="0" w:space="0"/>
            </w:tcBorders>
          </w:tcPr>
          <w:p w14:paraId="0591F02C">
            <w:pPr>
              <w:spacing w:after="0" w:line="360" w:lineRule="auto"/>
            </w:pPr>
            <w:r>
              <w:rPr>
                <w:rFonts w:ascii="inter" w:hAnsi="inter" w:eastAsia="inter" w:cs="inter"/>
                <w:color w:val="000000"/>
                <w:sz w:val="17"/>
              </w:rPr>
              <w:t>Rapid downward acceleration, high racket velocity (&gt;300 km/h)</w:t>
            </w:r>
          </w:p>
        </w:tc>
        <w:tc>
          <w:tcPr>
            <w:tcBorders>
              <w:top w:val="single" w:color="000000" w:sz="0" w:space="0"/>
              <w:bottom w:val="single" w:color="000000" w:sz="0" w:space="0"/>
            </w:tcBorders>
          </w:tcPr>
          <w:p w14:paraId="23E7FF31">
            <w:pPr>
              <w:spacing w:after="0" w:line="360" w:lineRule="auto"/>
            </w:pPr>
            <w:r>
              <w:rPr>
                <w:rFonts w:ascii="inter" w:hAnsi="inter" w:eastAsia="inter" w:cs="inter"/>
                <w:color w:val="000000"/>
                <w:sz w:val="17"/>
              </w:rPr>
              <w:t>Extended arm raise, trunk rotation, acceleration in wrist joint</w:t>
            </w:r>
          </w:p>
        </w:tc>
      </w:tr>
      <w:tr w14:paraId="5E90CA4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4574CF5">
            <w:pPr>
              <w:spacing w:after="0" w:line="360" w:lineRule="auto"/>
            </w:pPr>
            <w:r>
              <w:rPr>
                <w:rFonts w:ascii="inter" w:hAnsi="inter" w:eastAsia="inter" w:cs="inter"/>
                <w:b/>
                <w:color w:val="000000"/>
                <w:sz w:val="17"/>
              </w:rPr>
              <w:t>Clear</w:t>
            </w:r>
          </w:p>
        </w:tc>
        <w:tc>
          <w:tcPr>
            <w:tcBorders>
              <w:top w:val="single" w:color="000000" w:sz="0" w:space="0"/>
              <w:bottom w:val="single" w:color="000000" w:sz="0" w:space="0"/>
              <w:right w:val="single" w:color="000000" w:sz="0" w:space="0"/>
            </w:tcBorders>
          </w:tcPr>
          <w:p w14:paraId="656FAC63">
            <w:pPr>
              <w:spacing w:after="0" w:line="360" w:lineRule="auto"/>
            </w:pPr>
            <w:r>
              <w:rPr>
                <w:rFonts w:ascii="inter" w:hAnsi="inter" w:eastAsia="inter" w:cs="inter"/>
                <w:color w:val="000000"/>
                <w:sz w:val="17"/>
              </w:rPr>
              <w:t>High arc trajectory, sustained arm extension</w:t>
            </w:r>
          </w:p>
        </w:tc>
        <w:tc>
          <w:tcPr>
            <w:tcBorders>
              <w:top w:val="single" w:color="000000" w:sz="0" w:space="0"/>
              <w:bottom w:val="single" w:color="000000" w:sz="0" w:space="0"/>
            </w:tcBorders>
          </w:tcPr>
          <w:p w14:paraId="30972FF6">
            <w:pPr>
              <w:spacing w:after="0" w:line="360" w:lineRule="auto"/>
            </w:pPr>
            <w:r>
              <w:rPr>
                <w:rFonts w:ascii="inter" w:hAnsi="inter" w:eastAsia="inter" w:cs="inter"/>
                <w:color w:val="000000"/>
                <w:sz w:val="17"/>
              </w:rPr>
              <w:t>High shoulder elevation, extended follow-through</w:t>
            </w:r>
          </w:p>
        </w:tc>
      </w:tr>
      <w:tr w14:paraId="609AA6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603C45">
            <w:pPr>
              <w:spacing w:after="0" w:line="360" w:lineRule="auto"/>
            </w:pPr>
            <w:r>
              <w:rPr>
                <w:rFonts w:ascii="inter" w:hAnsi="inter" w:eastAsia="inter" w:cs="inter"/>
                <w:b/>
                <w:color w:val="000000"/>
                <w:sz w:val="17"/>
              </w:rPr>
              <w:t>Drop</w:t>
            </w:r>
          </w:p>
        </w:tc>
        <w:tc>
          <w:tcPr>
            <w:tcBorders>
              <w:top w:val="single" w:color="000000" w:sz="0" w:space="0"/>
              <w:bottom w:val="single" w:color="000000" w:sz="0" w:space="0"/>
              <w:right w:val="single" w:color="000000" w:sz="0" w:space="0"/>
            </w:tcBorders>
          </w:tcPr>
          <w:p w14:paraId="2CC9495E">
            <w:pPr>
              <w:spacing w:after="0" w:line="360" w:lineRule="auto"/>
            </w:pPr>
            <w:r>
              <w:rPr>
                <w:rFonts w:ascii="inter" w:hAnsi="inter" w:eastAsia="inter" w:cs="inter"/>
                <w:color w:val="000000"/>
                <w:sz w:val="17"/>
              </w:rPr>
              <w:t>Deceleration pattern, soft contact, net-directed trajectory</w:t>
            </w:r>
          </w:p>
        </w:tc>
        <w:tc>
          <w:tcPr>
            <w:tcBorders>
              <w:top w:val="single" w:color="000000" w:sz="0" w:space="0"/>
              <w:bottom w:val="single" w:color="000000" w:sz="0" w:space="0"/>
            </w:tcBorders>
          </w:tcPr>
          <w:p w14:paraId="49ECFEB5">
            <w:pPr>
              <w:spacing w:after="0" w:line="360" w:lineRule="auto"/>
            </w:pPr>
            <w:r>
              <w:rPr>
                <w:rFonts w:ascii="inter" w:hAnsi="inter" w:eastAsia="inter" w:cs="inter"/>
                <w:color w:val="000000"/>
                <w:sz w:val="17"/>
              </w:rPr>
              <w:t>Reduced wrist velocity, early arm deceleration, elbow flexion</w:t>
            </w:r>
          </w:p>
        </w:tc>
      </w:tr>
      <w:tr w14:paraId="501169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86562B0">
            <w:pPr>
              <w:spacing w:after="0" w:line="360" w:lineRule="auto"/>
            </w:pPr>
            <w:r>
              <w:rPr>
                <w:rFonts w:ascii="inter" w:hAnsi="inter" w:eastAsia="inter" w:cs="inter"/>
                <w:b/>
                <w:color w:val="000000"/>
                <w:sz w:val="17"/>
              </w:rPr>
              <w:t>Net Shot</w:t>
            </w:r>
          </w:p>
        </w:tc>
        <w:tc>
          <w:tcPr>
            <w:tcBorders>
              <w:top w:val="single" w:color="000000" w:sz="0" w:space="0"/>
              <w:bottom w:val="single" w:color="000000" w:sz="0" w:space="0"/>
              <w:right w:val="single" w:color="000000" w:sz="0" w:space="0"/>
            </w:tcBorders>
          </w:tcPr>
          <w:p w14:paraId="43B3013D">
            <w:pPr>
              <w:spacing w:after="0" w:line="360" w:lineRule="auto"/>
            </w:pPr>
            <w:r>
              <w:rPr>
                <w:rFonts w:ascii="inter" w:hAnsi="inter" w:eastAsia="inter" w:cs="inter"/>
                <w:color w:val="000000"/>
                <w:sz w:val="17"/>
              </w:rPr>
              <w:t>Minimal body movement, precision touch</w:t>
            </w:r>
          </w:p>
        </w:tc>
        <w:tc>
          <w:tcPr>
            <w:tcBorders>
              <w:top w:val="single" w:color="000000" w:sz="0" w:space="0"/>
              <w:bottom w:val="single" w:color="000000" w:sz="0" w:space="0"/>
            </w:tcBorders>
          </w:tcPr>
          <w:p w14:paraId="4606CB72">
            <w:pPr>
              <w:spacing w:after="0" w:line="360" w:lineRule="auto"/>
            </w:pPr>
            <w:r>
              <w:rPr>
                <w:rFonts w:ascii="inter" w:hAnsi="inter" w:eastAsia="inter" w:cs="inter"/>
                <w:color w:val="000000"/>
                <w:sz w:val="17"/>
              </w:rPr>
              <w:t>Limited trunk rotation, controlled wrist motion, near-net positioning</w:t>
            </w:r>
          </w:p>
        </w:tc>
      </w:tr>
      <w:tr w14:paraId="2CAE0C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4A48097">
            <w:pPr>
              <w:spacing w:after="0" w:line="360" w:lineRule="auto"/>
            </w:pPr>
            <w:r>
              <w:rPr>
                <w:rFonts w:ascii="inter" w:hAnsi="inter" w:eastAsia="inter" w:cs="inter"/>
                <w:b/>
                <w:color w:val="000000"/>
                <w:sz w:val="17"/>
              </w:rPr>
              <w:t>Drive</w:t>
            </w:r>
          </w:p>
        </w:tc>
        <w:tc>
          <w:tcPr>
            <w:tcBorders>
              <w:top w:val="single" w:color="000000" w:sz="0" w:space="0"/>
              <w:bottom w:val="single" w:color="000000" w:sz="0" w:space="0"/>
              <w:right w:val="single" w:color="000000" w:sz="0" w:space="0"/>
            </w:tcBorders>
          </w:tcPr>
          <w:p w14:paraId="107AC942">
            <w:pPr>
              <w:spacing w:after="0" w:line="360" w:lineRule="auto"/>
            </w:pPr>
            <w:r>
              <w:rPr>
                <w:rFonts w:ascii="inter" w:hAnsi="inter" w:eastAsia="inter" w:cs="inter"/>
                <w:color w:val="000000"/>
                <w:sz w:val="17"/>
              </w:rPr>
              <w:t>Flat trajectory, moderate velocity (150-250 km/h)</w:t>
            </w:r>
          </w:p>
        </w:tc>
        <w:tc>
          <w:tcPr>
            <w:tcBorders>
              <w:top w:val="single" w:color="000000" w:sz="0" w:space="0"/>
              <w:bottom w:val="single" w:color="000000" w:sz="0" w:space="0"/>
            </w:tcBorders>
          </w:tcPr>
          <w:p w14:paraId="790EF4B0">
            <w:pPr>
              <w:spacing w:after="0" w:line="360" w:lineRule="auto"/>
            </w:pPr>
            <w:r>
              <w:rPr>
                <w:rFonts w:ascii="inter" w:hAnsi="inter" w:eastAsia="inter" w:cs="inter"/>
                <w:color w:val="000000"/>
                <w:sz w:val="17"/>
              </w:rPr>
              <w:t>Parallel shoulder-hip alignment, horizontal arm swing</w:t>
            </w:r>
          </w:p>
        </w:tc>
      </w:tr>
    </w:tbl>
    <w:p w14:paraId="790F070A"/>
    <w:p w14:paraId="0FF54E1E">
      <w:pPr>
        <w:spacing w:after="210" w:line="360" w:lineRule="auto"/>
      </w:pPr>
      <w:r>
        <w:rPr>
          <w:rFonts w:ascii="inter" w:hAnsi="inter" w:eastAsia="inter" w:cs="inter"/>
          <w:color w:val="000000"/>
        </w:rPr>
        <w:t>Recognition employs cascaded architectures:</w:t>
      </w:r>
    </w:p>
    <w:p w14:paraId="03E3FF36">
      <w:pPr>
        <w:numPr>
          <w:ilvl w:val="0"/>
          <w:numId w:val="5"/>
        </w:numPr>
        <w:spacing w:before="105" w:after="105" w:line="360" w:lineRule="auto"/>
      </w:pPr>
      <w:r>
        <w:rPr>
          <w:rFonts w:ascii="inter" w:hAnsi="inter" w:eastAsia="inter" w:cs="inter"/>
          <w:b/>
          <w:color w:val="000000"/>
          <w:sz w:val="21"/>
        </w:rPr>
        <w:t>Pose Extraction</w:t>
      </w:r>
      <w:r>
        <w:rPr>
          <w:rFonts w:ascii="inter" w:hAnsi="inter" w:eastAsia="inter" w:cs="inter"/>
          <w:color w:val="000000"/>
          <w:sz w:val="21"/>
        </w:rPr>
        <w:t>: HRNet on each frame, producing 17×2 joint coordinate matrix per frame</w:t>
      </w:r>
    </w:p>
    <w:p w14:paraId="512C52D9">
      <w:pPr>
        <w:numPr>
          <w:ilvl w:val="0"/>
          <w:numId w:val="5"/>
        </w:numPr>
        <w:spacing w:before="105" w:after="105" w:line="360" w:lineRule="auto"/>
      </w:pPr>
      <w:r>
        <w:rPr>
          <w:rFonts w:ascii="inter" w:hAnsi="inter" w:eastAsia="inter" w:cs="inter"/>
          <w:b/>
          <w:color w:val="000000"/>
          <w:sz w:val="21"/>
        </w:rPr>
        <w:t>Temporal Windowing</w:t>
      </w:r>
      <w:r>
        <w:rPr>
          <w:rFonts w:ascii="inter" w:hAnsi="inter" w:eastAsia="inter" w:cs="inter"/>
          <w:color w:val="000000"/>
          <w:sz w:val="21"/>
        </w:rPr>
        <w:t>: 30-frame windows (1 second at 30fps) spanning pre-swing to post-contact phases</w:t>
      </w:r>
    </w:p>
    <w:p w14:paraId="40AE1B90">
      <w:pPr>
        <w:numPr>
          <w:ilvl w:val="0"/>
          <w:numId w:val="5"/>
        </w:numPr>
        <w:spacing w:before="105" w:after="105" w:line="360" w:lineRule="auto"/>
      </w:pPr>
      <w:r>
        <w:rPr>
          <w:rFonts w:ascii="inter" w:hAnsi="inter" w:eastAsia="inter" w:cs="inter"/>
          <w:b/>
          <w:color w:val="000000"/>
          <w:sz w:val="21"/>
        </w:rPr>
        <w:t>Graph Construction</w:t>
      </w:r>
      <w:r>
        <w:rPr>
          <w:rFonts w:ascii="inter" w:hAnsi="inter" w:eastAsia="inter" w:cs="inter"/>
          <w:color w:val="000000"/>
          <w:sz w:val="21"/>
        </w:rPr>
        <w:t>: Dynamic skeleton graph with learnable edge weights</w:t>
      </w:r>
    </w:p>
    <w:p w14:paraId="4933E0EC">
      <w:pPr>
        <w:numPr>
          <w:ilvl w:val="0"/>
          <w:numId w:val="5"/>
        </w:numPr>
        <w:spacing w:before="105" w:after="105" w:line="360" w:lineRule="auto"/>
      </w:pPr>
      <w:r>
        <w:rPr>
          <w:rFonts w:ascii="inter" w:hAnsi="inter" w:eastAsia="inter" w:cs="inter"/>
          <w:b/>
          <w:color w:val="000000"/>
          <w:sz w:val="21"/>
        </w:rPr>
        <w:t>Classification</w:t>
      </w:r>
      <w:r>
        <w:rPr>
          <w:rFonts w:ascii="inter" w:hAnsi="inter" w:eastAsia="inter" w:cs="inter"/>
          <w:color w:val="000000"/>
          <w:sz w:val="21"/>
        </w:rPr>
        <w:t>: ST-GCN encoder → per-frame action logits → temporal smoothing (majority voting over 5-frame windows)</w:t>
      </w:r>
    </w:p>
    <w:p w14:paraId="2C26AB02">
      <w:pPr>
        <w:spacing w:before="315" w:after="105" w:line="360" w:lineRule="auto"/>
        <w:ind w:left="-30"/>
        <w:jc w:val="left"/>
      </w:pPr>
      <w:bookmarkStart w:id="30" w:name="bm_2_4_technical_challenges"/>
      <w:r>
        <w:rPr>
          <w:rFonts w:ascii="inter" w:hAnsi="inter" w:eastAsia="inter" w:cs="inter"/>
          <w:b/>
          <w:color w:val="000000"/>
          <w:sz w:val="24"/>
        </w:rPr>
        <w:t>2.4 Technical Challenges</w:t>
      </w:r>
      <w:bookmarkEnd w:id="30"/>
    </w:p>
    <w:p w14:paraId="7DDC2245">
      <w:pPr>
        <w:spacing w:after="210" w:line="360" w:lineRule="auto"/>
      </w:pPr>
      <w:r>
        <w:rPr>
          <w:rFonts w:ascii="inter" w:hAnsi="inter" w:eastAsia="inter" w:cs="inter"/>
          <w:b/>
          <w:color w:val="000000"/>
        </w:rPr>
        <w:t>View Invariance</w:t>
      </w:r>
      <w:r>
        <w:rPr>
          <w:rFonts w:ascii="inter" w:hAnsi="inter" w:eastAsia="inter" w:cs="inter"/>
          <w:color w:val="000000"/>
        </w:rPr>
        <w:t xml:space="preserve"> remains unsolved. Badminton analysis benefits from multiple camera angles—court-side (frontal), end-line (sagittal), and overhead views. Single-view skeleton-based recognition exhibits 15-25% performance drop when tested on unseen viewpoints. Domain adaptation techniques using adversarial training or contrastive learning partially mitigate this, but fundamental information loss from monocular projection limits upper performance bounds.</w:t>
      </w:r>
      <w:bookmarkStart w:id="31" w:name="fnref20"/>
      <w:bookmarkEnd w:id="31"/>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0C22CF17">
      <w:pPr>
        <w:spacing w:after="210" w:line="360" w:lineRule="auto"/>
      </w:pPr>
      <w:r>
        <w:rPr>
          <w:rFonts w:ascii="inter" w:hAnsi="inter" w:eastAsia="inter" w:cs="inter"/>
          <w:b/>
          <w:color w:val="000000"/>
        </w:rPr>
        <w:t>Occlusion Handling</w:t>
      </w:r>
      <w:r>
        <w:rPr>
          <w:rFonts w:ascii="inter" w:hAnsi="inter" w:eastAsia="inter" w:cs="inter"/>
          <w:color w:val="000000"/>
        </w:rPr>
        <w:t>: Players frequently occlude one another, particularly at net positions. OpenPose fails catastrophically when joint visibility drops below 30%. Temporal smoothing with Kalman filtering predicts invisible joint positions, but accuracy degrades beyond 5-frame occlusion windows.</w:t>
      </w:r>
    </w:p>
    <w:p w14:paraId="01CF8497">
      <w:pPr>
        <w:spacing w:after="210" w:line="360" w:lineRule="auto"/>
      </w:pPr>
      <w:r>
        <w:rPr>
          <w:rFonts w:ascii="inter" w:hAnsi="inter" w:eastAsia="inter" w:cs="inter"/>
          <w:b/>
          <w:color w:val="000000"/>
        </w:rPr>
        <w:t>Subtle Motion Discrimination</w:t>
      </w:r>
      <w:r>
        <w:rPr>
          <w:rFonts w:ascii="inter" w:hAnsi="inter" w:eastAsia="inter" w:cs="inter"/>
          <w:color w:val="000000"/>
        </w:rPr>
        <w:t>: Distinguishing slow drops from fast clears relies on velocity discrimination. Pose estimation noise (±3-5 pixel localization error) translates to ±10-15% velocity error, making velocity-dependent classification brittle. Velocity integration over longer windows (10-15 frames) improves discrimination but increases latency.</w:t>
      </w:r>
    </w:p>
    <w:p w14:paraId="2108A2CB">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2393F6C5">
      <w:pPr>
        <w:spacing w:before="315" w:after="105" w:line="360" w:lineRule="auto"/>
        <w:ind w:left="-30"/>
        <w:jc w:val="left"/>
      </w:pPr>
      <w:bookmarkStart w:id="32" w:name="bm_3_recognition_of_tactical_intent"/>
      <w:r>
        <w:rPr>
          <w:rFonts w:ascii="inter" w:hAnsi="inter" w:eastAsia="inter" w:cs="inter"/>
          <w:b/>
          <w:color w:val="000000"/>
          <w:sz w:val="24"/>
        </w:rPr>
        <w:t>3. Recognition of Tactical Intent</w:t>
      </w:r>
      <w:bookmarkEnd w:id="32"/>
    </w:p>
    <w:p w14:paraId="531FE031">
      <w:pPr>
        <w:spacing w:before="315" w:after="105" w:line="360" w:lineRule="auto"/>
        <w:ind w:left="-30"/>
        <w:jc w:val="left"/>
      </w:pPr>
      <w:bookmarkStart w:id="33" w:name="bm_3_1_sequence_level_tactical_modeling"/>
      <w:r>
        <w:rPr>
          <w:rFonts w:ascii="inter" w:hAnsi="inter" w:eastAsia="inter" w:cs="inter"/>
          <w:b/>
          <w:color w:val="000000"/>
          <w:sz w:val="24"/>
        </w:rPr>
        <w:t>3.1 Sequence-Level Tactical Modeling</w:t>
      </w:r>
      <w:bookmarkEnd w:id="33"/>
    </w:p>
    <w:p w14:paraId="089A6C7B">
      <w:pPr>
        <w:spacing w:after="210" w:line="360" w:lineRule="auto"/>
      </w:pPr>
      <w:r>
        <w:rPr>
          <w:rFonts w:ascii="inter" w:hAnsi="inter" w:eastAsia="inter" w:cs="inter"/>
          <w:color w:val="000000"/>
        </w:rPr>
        <w:t xml:space="preserve">Individual shot classification neglects rally context—the sequence of shots, player positions, and scoreline substantially influence optimal tactics. </w:t>
      </w:r>
      <w:r>
        <w:rPr>
          <w:rFonts w:ascii="inter" w:hAnsi="inter" w:eastAsia="inter" w:cs="inter"/>
          <w:b/>
          <w:color w:val="000000"/>
        </w:rPr>
        <w:t>RallyTemPose</w:t>
      </w:r>
      <w:r>
        <w:rPr>
          <w:rFonts w:ascii="inter" w:hAnsi="inter" w:eastAsia="inter" w:cs="inter"/>
          <w:color w:val="000000"/>
        </w:rPr>
        <w:t>, a transformer-based model specifically designed for badminton stroke prediction, incorporates:</w:t>
      </w:r>
    </w:p>
    <w:p w14:paraId="519F2885">
      <w:pPr>
        <w:numPr>
          <w:ilvl w:val="0"/>
          <w:numId w:val="6"/>
        </w:numPr>
        <w:spacing w:before="105" w:after="105" w:line="360" w:lineRule="auto"/>
      </w:pPr>
      <w:r>
        <w:rPr>
          <w:rFonts w:ascii="inter" w:hAnsi="inter" w:eastAsia="inter" w:cs="inter"/>
          <w:b/>
          <w:color w:val="000000"/>
          <w:sz w:val="21"/>
        </w:rPr>
        <w:t>Encoder</w:t>
      </w:r>
      <w:r>
        <w:rPr>
          <w:rFonts w:ascii="inter" w:hAnsi="inter" w:eastAsia="inter" w:cs="inter"/>
          <w:color w:val="000000"/>
          <w:sz w:val="21"/>
        </w:rPr>
        <w:t>: Temporal encoding of prior rally actions using self-attention over skeleton sequences</w:t>
      </w:r>
    </w:p>
    <w:p w14:paraId="01379E37">
      <w:pPr>
        <w:numPr>
          <w:ilvl w:val="0"/>
          <w:numId w:val="6"/>
        </w:numPr>
        <w:spacing w:before="105" w:after="105" w:line="360" w:lineRule="auto"/>
      </w:pPr>
      <w:r>
        <w:rPr>
          <w:rFonts w:ascii="inter" w:hAnsi="inter" w:eastAsia="inter" w:cs="inter"/>
          <w:b/>
          <w:color w:val="000000"/>
          <w:sz w:val="21"/>
        </w:rPr>
        <w:t>Decoder</w:t>
      </w:r>
      <w:r>
        <w:rPr>
          <w:rFonts w:ascii="inter" w:hAnsi="inter" w:eastAsia="inter" w:cs="inter"/>
          <w:color w:val="000000"/>
          <w:sz w:val="21"/>
        </w:rPr>
        <w:t>: Cross-attention fusion of historical rally sequences with current player position and stroke embeddings</w:t>
      </w:r>
    </w:p>
    <w:p w14:paraId="1F3EF469">
      <w:pPr>
        <w:numPr>
          <w:ilvl w:val="0"/>
          <w:numId w:val="6"/>
        </w:numPr>
        <w:spacing w:before="105" w:after="105" w:line="360" w:lineRule="auto"/>
      </w:pPr>
      <w:r>
        <w:rPr>
          <w:rFonts w:ascii="inter" w:hAnsi="inter" w:eastAsia="inter" w:cs="inter"/>
          <w:b/>
          <w:color w:val="000000"/>
          <w:sz w:val="21"/>
        </w:rPr>
        <w:t>Conditioning</w:t>
      </w:r>
      <w:r>
        <w:rPr>
          <w:rFonts w:ascii="inter" w:hAnsi="inter" w:eastAsia="inter" w:cs="inter"/>
          <w:color w:val="000000"/>
          <w:sz w:val="21"/>
        </w:rPr>
        <w:t>: Contextual information (court position, opponent proximity) modulates prediction weights</w:t>
      </w:r>
      <w:bookmarkStart w:id="34" w:name="fnref21"/>
      <w:bookmarkEnd w:id="34"/>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65C15C4E">
      <w:pPr>
        <w:spacing w:after="210" w:line="360" w:lineRule="auto"/>
      </w:pPr>
      <w:r>
        <w:rPr>
          <w:rFonts w:ascii="inter" w:hAnsi="inter" w:eastAsia="inter" w:cs="inter"/>
          <w:color w:val="000000"/>
        </w:rPr>
        <w:t>RallyTemPose achieves 54.2% top-1 accuracy and 73.1% top-3 accuracy predicting next stroke on proprietary badminton datasets, outperforming baseline sequence-to-sequence models by 3-4%.</w:t>
      </w:r>
      <w:bookmarkStart w:id="35" w:name="fnref21_1"/>
      <w:bookmarkEnd w:id="3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4CC5197F">
      <w:pPr>
        <w:spacing w:before="315" w:after="105" w:line="360" w:lineRule="auto"/>
        <w:ind w:left="-30"/>
        <w:jc w:val="left"/>
      </w:pPr>
      <w:bookmarkStart w:id="36" w:name="bm_3_2_court_position_and_spatial_66c58f"/>
      <w:r>
        <w:rPr>
          <w:rFonts w:ascii="inter" w:hAnsi="inter" w:eastAsia="inter" w:cs="inter"/>
          <w:b/>
          <w:color w:val="000000"/>
          <w:sz w:val="24"/>
        </w:rPr>
        <w:t>3.2 Court Position and Spatial Reasoning</w:t>
      </w:r>
      <w:bookmarkEnd w:id="36"/>
    </w:p>
    <w:p w14:paraId="50A21EB9">
      <w:pPr>
        <w:spacing w:after="210" w:line="360" w:lineRule="auto"/>
      </w:pPr>
      <w:r>
        <w:rPr>
          <w:rFonts w:ascii="inter" w:hAnsi="inter" w:eastAsia="inter" w:cs="inter"/>
          <w:color w:val="000000"/>
        </w:rPr>
        <w:t xml:space="preserve">Tactical decision-making depends critically on player positioning. </w:t>
      </w:r>
      <w:r>
        <w:rPr>
          <w:rFonts w:ascii="inter" w:hAnsi="inter" w:eastAsia="inter" w:cs="inter"/>
          <w:b/>
          <w:color w:val="000000"/>
        </w:rPr>
        <w:t>Perspective Transformation</w:t>
      </w:r>
      <w:r>
        <w:rPr>
          <w:rFonts w:ascii="inter" w:hAnsi="inter" w:eastAsia="inter" w:cs="inter"/>
          <w:color w:val="000000"/>
        </w:rPr>
        <w:t xml:space="preserve"> projects 2D image coordinates to court-relative positions using four corner calibration points, enabling shot-placement analysis. Systems reconstruct court positions with ±20cm accuracy from broadcast video, sufficient for tactical pattern recognition.</w:t>
      </w:r>
      <w:bookmarkStart w:id="37" w:name="fnref22"/>
      <w:bookmarkEnd w:id="3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64F8D014">
      <w:pPr>
        <w:spacing w:after="210" w:line="360" w:lineRule="auto"/>
      </w:pPr>
      <w:r>
        <w:rPr>
          <w:rFonts w:ascii="inter" w:hAnsi="inter" w:eastAsia="inter" w:cs="inter"/>
          <w:b/>
          <w:color w:val="000000"/>
        </w:rPr>
        <w:t>Spatial-Temporal Attention Graphs</w:t>
      </w:r>
      <w:r>
        <w:rPr>
          <w:rFonts w:ascii="inter" w:hAnsi="inter" w:eastAsia="inter" w:cs="inter"/>
          <w:color w:val="000000"/>
        </w:rPr>
        <w:t xml:space="preserve"> extend ST-GCN by weighting joint importance dynamically. Joints near the court centerline (shoulders, hips) receive higher attention during positioning phases; hand/wrist joints dominate during shot execution. This mechanics-based stratification improves action recognition accuracy by 2-3%.</w:t>
      </w:r>
      <w:bookmarkStart w:id="38" w:name="fnref23"/>
      <w:bookmarkEnd w:id="38"/>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114FCA5A">
      <w:pPr>
        <w:spacing w:before="315" w:after="105" w:line="360" w:lineRule="auto"/>
        <w:ind w:left="-30"/>
        <w:jc w:val="left"/>
      </w:pPr>
      <w:bookmarkStart w:id="39" w:name="bm_3_3_context_aware_networks_for_eb8939"/>
      <w:r>
        <w:rPr>
          <w:rFonts w:ascii="inter" w:hAnsi="inter" w:eastAsia="inter" w:cs="inter"/>
          <w:b/>
          <w:color w:val="000000"/>
          <w:sz w:val="24"/>
        </w:rPr>
        <w:t>3.3 Context-Aware Networks for Tactical Understanding</w:t>
      </w:r>
      <w:bookmarkEnd w:id="39"/>
    </w:p>
    <w:p w14:paraId="505BBE0B">
      <w:pPr>
        <w:spacing w:after="210" w:line="360" w:lineRule="auto"/>
      </w:pPr>
      <w:r>
        <w:rPr>
          <w:rFonts w:ascii="inter" w:hAnsi="inter" w:eastAsia="inter" w:cs="inter"/>
          <w:color w:val="000000"/>
        </w:rPr>
        <w:t>Pure action sequences ignore match-level context:</w:t>
      </w:r>
    </w:p>
    <w:p w14:paraId="5CAAFB32">
      <w:pPr>
        <w:numPr>
          <w:ilvl w:val="0"/>
          <w:numId w:val="7"/>
        </w:numPr>
        <w:spacing w:before="105" w:after="105" w:line="360" w:lineRule="auto"/>
      </w:pPr>
      <w:r>
        <w:rPr>
          <w:rFonts w:ascii="inter" w:hAnsi="inter" w:eastAsia="inter" w:cs="inter"/>
          <w:b/>
          <w:color w:val="000000"/>
          <w:sz w:val="21"/>
        </w:rPr>
        <w:t>Score state</w:t>
      </w:r>
      <w:r>
        <w:rPr>
          <w:rFonts w:ascii="inter" w:hAnsi="inter" w:eastAsia="inter" w:cs="inter"/>
          <w:color w:val="000000"/>
          <w:sz w:val="21"/>
        </w:rPr>
        <w:t>: Down 20-18 pressure-optimal aggressive tactics; up 20-10 enables conservative play</w:t>
      </w:r>
    </w:p>
    <w:p w14:paraId="691334B0">
      <w:pPr>
        <w:numPr>
          <w:ilvl w:val="0"/>
          <w:numId w:val="7"/>
        </w:numPr>
        <w:spacing w:before="105" w:after="105" w:line="360" w:lineRule="auto"/>
      </w:pPr>
      <w:r>
        <w:rPr>
          <w:rFonts w:ascii="inter" w:hAnsi="inter" w:eastAsia="inter" w:cs="inter"/>
          <w:b/>
          <w:color w:val="000000"/>
          <w:sz w:val="21"/>
        </w:rPr>
        <w:t>Stamina</w:t>
      </w:r>
      <w:r>
        <w:rPr>
          <w:rFonts w:ascii="inter" w:hAnsi="inter" w:eastAsia="inter" w:cs="inter"/>
          <w:color w:val="000000"/>
          <w:sz w:val="21"/>
        </w:rPr>
        <w:t>: Late rallies (&gt;30 shots) correlate with defensive tactics; early rallies permit aggressive patterns</w:t>
      </w:r>
    </w:p>
    <w:p w14:paraId="64ABC36F">
      <w:pPr>
        <w:numPr>
          <w:ilvl w:val="0"/>
          <w:numId w:val="7"/>
        </w:numPr>
        <w:spacing w:before="105" w:after="105" w:line="360" w:lineRule="auto"/>
      </w:pPr>
      <w:r>
        <w:rPr>
          <w:rFonts w:ascii="inter" w:hAnsi="inter" w:eastAsia="inter" w:cs="inter"/>
          <w:b/>
          <w:color w:val="000000"/>
          <w:sz w:val="21"/>
        </w:rPr>
        <w:t>Opponent tendencies</w:t>
      </w:r>
      <w:r>
        <w:rPr>
          <w:rFonts w:ascii="inter" w:hAnsi="inter" w:eastAsia="inter" w:cs="inter"/>
          <w:color w:val="000000"/>
          <w:sz w:val="21"/>
        </w:rPr>
        <w:t>: Historical shot distributions bias predictions toward opponent's preferred patterns</w:t>
      </w:r>
    </w:p>
    <w:p w14:paraId="35D073EA">
      <w:pPr>
        <w:numPr>
          <w:ilvl w:val="0"/>
          <w:numId w:val="7"/>
        </w:numPr>
        <w:spacing w:before="105" w:after="105" w:line="360" w:lineRule="auto"/>
      </w:pPr>
      <w:r>
        <w:rPr>
          <w:rFonts w:ascii="inter" w:hAnsi="inter" w:eastAsia="inter" w:cs="inter"/>
          <w:b/>
          <w:color w:val="000000"/>
          <w:sz w:val="21"/>
        </w:rPr>
        <w:t>Court zone usage</w:t>
      </w:r>
      <w:r>
        <w:rPr>
          <w:rFonts w:ascii="inter" w:hAnsi="inter" w:eastAsia="inter" w:cs="inter"/>
          <w:color w:val="000000"/>
          <w:sz w:val="21"/>
        </w:rPr>
        <w:t>: Heatmaps of prior shot placements reveal covered regions and weak spots</w:t>
      </w:r>
    </w:p>
    <w:p w14:paraId="72DC80FE">
      <w:pPr>
        <w:spacing w:after="210" w:line="360" w:lineRule="auto"/>
      </w:pPr>
      <w:r>
        <w:rPr>
          <w:rFonts w:ascii="inter" w:hAnsi="inter" w:eastAsia="inter" w:cs="inter"/>
          <w:b/>
          <w:color w:val="000000"/>
        </w:rPr>
        <w:t>Bayesian graphical models</w:t>
      </w:r>
      <w:r>
        <w:rPr>
          <w:rFonts w:ascii="inter" w:hAnsi="inter" w:eastAsia="inter" w:cs="inter"/>
          <w:color w:val="000000"/>
        </w:rPr>
        <w:t xml:space="preserve"> integrate these contextual factors. </w:t>
      </w:r>
      <w:r>
        <w:rPr>
          <w:rFonts w:ascii="inter" w:hAnsi="inter" w:eastAsia="inter" w:cs="inter"/>
          <w:b/>
          <w:color w:val="000000"/>
        </w:rPr>
        <w:t>Swin Transformer</w:t>
      </w:r>
      <w:r>
        <w:rPr>
          <w:rFonts w:ascii="inter" w:hAnsi="inter" w:eastAsia="inter" w:cs="inter"/>
          <w:color w:val="000000"/>
        </w:rPr>
        <w:t xml:space="preserve"> learns tactical patterns from opponent motion sequences, producing latent tactical embeddings that facilitate prediction conditioning. By fusing cross-modal information (video trajectories + textual context descriptions via CLIP model embeddings), systems achieve 6-8% improvements in tactical forecasting accuracy versus purely visual approaches.</w:t>
      </w:r>
      <w:bookmarkStart w:id="40" w:name="fnref24"/>
      <w:bookmarkEnd w:id="40"/>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5CFCC47C">
      <w:pPr>
        <w:spacing w:before="315" w:after="105" w:line="360" w:lineRule="auto"/>
        <w:ind w:left="-30"/>
        <w:jc w:val="left"/>
      </w:pPr>
      <w:bookmarkStart w:id="41" w:name="bm_3_4_offensive_vs_defensive_pat_d4da2b"/>
      <w:r>
        <w:rPr>
          <w:rFonts w:ascii="inter" w:hAnsi="inter" w:eastAsia="inter" w:cs="inter"/>
          <w:b/>
          <w:color w:val="000000"/>
          <w:sz w:val="24"/>
        </w:rPr>
        <w:t>3.4 Offensive vs. Defensive Pattern Recognition</w:t>
      </w:r>
      <w:bookmarkEnd w:id="41"/>
    </w:p>
    <w:p w14:paraId="2A93FDBE">
      <w:pPr>
        <w:spacing w:after="210" w:line="360" w:lineRule="auto"/>
      </w:pPr>
      <w:r>
        <w:rPr>
          <w:rFonts w:ascii="inter" w:hAnsi="inter" w:eastAsia="inter" w:cs="inter"/>
          <w:color w:val="000000"/>
        </w:rPr>
        <w:t xml:space="preserve">Badminton tactics polarize around attacking patterns (smash-oriented, net-aggressive) versus defensive patterns (clear-oriented, backcourt-positioned). </w:t>
      </w:r>
      <w:r>
        <w:rPr>
          <w:rFonts w:ascii="inter" w:hAnsi="inter" w:eastAsia="inter" w:cs="inter"/>
          <w:b/>
          <w:color w:val="000000"/>
        </w:rPr>
        <w:t>Unsupervised clustering</w:t>
      </w:r>
      <w:r>
        <w:rPr>
          <w:rFonts w:ascii="inter" w:hAnsi="inter" w:eastAsia="inter" w:cs="inter"/>
          <w:color w:val="000000"/>
        </w:rPr>
        <w:t xml:space="preserve"> of rally sequences using temporal action embeddings reveals two dominant tactical modes. Transition probabilities between offensive and defensive modes follow Markovian patterns—offensive rallies transition to defense with 65% probability post-smash failure.</w:t>
      </w:r>
    </w:p>
    <w:p w14:paraId="40DDD62E">
      <w:pPr>
        <w:spacing w:after="210" w:line="360" w:lineRule="auto"/>
      </w:pPr>
      <w:r>
        <w:rPr>
          <w:rFonts w:ascii="inter" w:hAnsi="inter" w:eastAsia="inter" w:cs="inter"/>
          <w:b/>
          <w:color w:val="000000"/>
        </w:rPr>
        <w:t>Turn-based decision modeling</w:t>
      </w:r>
      <w:r>
        <w:rPr>
          <w:rFonts w:ascii="inter" w:hAnsi="inter" w:eastAsia="inter" w:cs="inter"/>
          <w:color w:val="000000"/>
        </w:rPr>
        <w:t xml:space="preserve"> acknowledges badminton's alternating-serve structure. Players optimize decisions based on opponent response likelihood. </w:t>
      </w:r>
      <w:r>
        <w:rPr>
          <w:rFonts w:ascii="inter" w:hAnsi="inter" w:eastAsia="inter" w:cs="inter"/>
          <w:b/>
          <w:color w:val="000000"/>
        </w:rPr>
        <w:t>ShuttleSHAP</w:t>
      </w:r>
      <w:r>
        <w:rPr>
          <w:rFonts w:ascii="inter" w:hAnsi="inter" w:eastAsia="inter" w:cs="inter"/>
          <w:color w:val="000000"/>
        </w:rPr>
        <w:t>, a game-theory-informed explainability framework, attributes next-action predictions to specific prior shots and court positions, revealing which strategic factors most influence tactical decisions.</w:t>
      </w:r>
      <w:bookmarkStart w:id="42" w:name="fnref25"/>
      <w:bookmarkEnd w:id="42"/>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1D53B8FD">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586FB292">
      <w:pPr>
        <w:spacing w:before="315" w:after="105" w:line="360" w:lineRule="auto"/>
        <w:ind w:left="-30"/>
        <w:jc w:val="left"/>
      </w:pPr>
      <w:bookmarkStart w:id="43" w:name="bm_4_prediction_of_subsequent_actions"/>
      <w:r>
        <w:rPr>
          <w:rFonts w:ascii="inter" w:hAnsi="inter" w:eastAsia="inter" w:cs="inter"/>
          <w:b/>
          <w:color w:val="000000"/>
          <w:sz w:val="24"/>
        </w:rPr>
        <w:t>4. Prediction of Subsequent Actions</w:t>
      </w:r>
      <w:bookmarkEnd w:id="43"/>
    </w:p>
    <w:p w14:paraId="7B1F1CA4">
      <w:pPr>
        <w:spacing w:before="315" w:after="105" w:line="360" w:lineRule="auto"/>
        <w:ind w:left="-30"/>
        <w:jc w:val="left"/>
      </w:pPr>
      <w:bookmarkStart w:id="44" w:name="bm_4_1_probabilistic_sequence_pre_b3bb92"/>
      <w:r>
        <w:rPr>
          <w:rFonts w:ascii="inter" w:hAnsi="inter" w:eastAsia="inter" w:cs="inter"/>
          <w:b/>
          <w:color w:val="000000"/>
          <w:sz w:val="24"/>
        </w:rPr>
        <w:t>4.1 Probabilistic Sequence Prediction Models</w:t>
      </w:r>
      <w:bookmarkEnd w:id="44"/>
    </w:p>
    <w:p w14:paraId="4DCC4242">
      <w:pPr>
        <w:spacing w:after="210" w:line="360" w:lineRule="auto"/>
      </w:pPr>
      <w:r>
        <w:rPr>
          <w:rFonts w:ascii="inter" w:hAnsi="inter" w:eastAsia="inter" w:cs="inter"/>
          <w:color w:val="000000"/>
        </w:rPr>
        <w:t>Action prediction forecasts player next moves, enabling real-time coaching, opponent preparation, and match analysis. Multiple probabilistic frameworks model this inherently stochastic problem:</w:t>
      </w:r>
    </w:p>
    <w:p w14:paraId="1640A317">
      <w:pPr>
        <w:spacing w:after="210" w:line="360" w:lineRule="auto"/>
      </w:pPr>
      <w:r>
        <w:rPr>
          <w:rFonts w:ascii="inter" w:hAnsi="inter" w:eastAsia="inter" w:cs="inter"/>
          <w:b/>
          <w:color w:val="000000"/>
        </w:rPr>
        <w:t>Hidden Markov Models (HMM)</w:t>
      </w:r>
      <w:r>
        <w:rPr>
          <w:rFonts w:ascii="inter" w:hAnsi="inter" w:eastAsia="inter" w:cs="inter"/>
          <w:color w:val="000000"/>
        </w:rPr>
        <w:t xml:space="preserve"> represent shot sequences as hidden state transitions. Each shot generates observation emissions (stroke type, court position); the Viterbi algorithm infers most-likely state sequences. Improved HMMs incorporating intra-action temporal structure achieve 95% shot recognition accuracy on 10-shot badminton classification tasks, despite being trained exclusively on IMU sensor data (accelerometer, gyroscope) from racket-mounted sensors rather than vision.</w:t>
      </w:r>
      <w:bookmarkStart w:id="45" w:name="fnref26"/>
      <w:bookmarkEnd w:id="45"/>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551C7A05">
      <w:pPr>
        <w:spacing w:after="210" w:line="360" w:lineRule="auto"/>
      </w:pPr>
      <w:r>
        <w:rPr>
          <w:rFonts w:ascii="inter" w:hAnsi="inter" w:eastAsia="inter" w:cs="inter"/>
          <w:color w:val="000000"/>
        </w:rPr>
        <w:t>Vision-based HMMs achieve 78-85% next-shot prediction accuracy when trained on 50+ match trajectories. Limitations include inability to capture multi-modal action distributions (multiple equally-valid next shots) and poor extrapolation beyond training distribution.</w:t>
      </w:r>
    </w:p>
    <w:p w14:paraId="5C060906">
      <w:pPr>
        <w:spacing w:before="315" w:after="105" w:line="360" w:lineRule="auto"/>
        <w:ind w:left="-30"/>
        <w:jc w:val="left"/>
      </w:pPr>
      <w:bookmarkStart w:id="46" w:name="bm_4_2_deep_generative_models_for_60cff2"/>
      <w:r>
        <w:rPr>
          <w:rFonts w:ascii="inter" w:hAnsi="inter" w:eastAsia="inter" w:cs="inter"/>
          <w:b/>
          <w:color w:val="000000"/>
          <w:sz w:val="24"/>
        </w:rPr>
        <w:t>4.2 Deep Generative Models for Action Forecasting</w:t>
      </w:r>
      <w:bookmarkEnd w:id="46"/>
    </w:p>
    <w:p w14:paraId="075A27EA">
      <w:pPr>
        <w:spacing w:after="210" w:line="360" w:lineRule="auto"/>
      </w:pPr>
      <w:r>
        <w:rPr>
          <w:rFonts w:ascii="inter" w:hAnsi="inter" w:eastAsia="inter" w:cs="inter"/>
          <w:b/>
          <w:color w:val="000000"/>
        </w:rPr>
        <w:t>Conditional Variational Autoencoders (CVAE)</w:t>
      </w:r>
      <w:r>
        <w:rPr>
          <w:rFonts w:ascii="inter" w:hAnsi="inter" w:eastAsia="inter" w:cs="inter"/>
          <w:color w:val="000000"/>
        </w:rPr>
        <w:t xml:space="preserve"> model conditional distributions p(next_action | prior_sequence, context), enabling stochastic prediction with uncertainty quantification. CVAE encoder maps observed prior actions to latent distribution; decoder samples from this distribution to generate diverse plausible next actions.</w:t>
      </w:r>
      <w:bookmarkStart w:id="47" w:name="fnref27"/>
      <w:bookmarkEnd w:id="47"/>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48" w:name="fnref28"/>
      <w:bookmarkEnd w:id="48"/>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086314D4">
      <w:pPr>
        <w:spacing w:after="210" w:line="360" w:lineRule="auto"/>
      </w:pPr>
      <w:r>
        <w:rPr>
          <w:rFonts w:ascii="inter" w:hAnsi="inter" w:eastAsia="inter" w:cs="inter"/>
          <w:color w:val="000000"/>
        </w:rPr>
        <w:t xml:space="preserve">For structured sequence prediction (badminton rallies), </w:t>
      </w:r>
      <w:r>
        <w:rPr>
          <w:rFonts w:ascii="inter" w:hAnsi="inter" w:eastAsia="inter" w:cs="inter"/>
          <w:b/>
          <w:color w:val="000000"/>
        </w:rPr>
        <w:t>Conditional Flow Variational Autoencoders (CF-VAE)</w:t>
      </w:r>
      <w:r>
        <w:rPr>
          <w:rFonts w:ascii="inter" w:hAnsi="inter" w:eastAsia="inter" w:cs="inter"/>
          <w:color w:val="000000"/>
        </w:rPr>
        <w:t xml:space="preserve"> employ normalizing flows to model complex multi-modal conditional distributions, superior to standard CVAE Gaussian assumptions. CF-VAE demonstrated on Stanford Drone pedestrian trajectory prediction, generalizes to badminton:</w:t>
      </w:r>
      <w:bookmarkStart w:id="49" w:name="fnref27_1"/>
      <w:bookmarkEnd w:id="49"/>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069550FF">
      <w:pPr>
        <w:numPr>
          <w:ilvl w:val="0"/>
          <w:numId w:val="8"/>
        </w:numPr>
        <w:spacing w:before="105" w:after="105" w:line="360" w:lineRule="auto"/>
      </w:pPr>
      <w:r>
        <w:rPr>
          <w:rFonts w:ascii="inter" w:hAnsi="inter" w:eastAsia="inter" w:cs="inter"/>
          <w:b/>
          <w:color w:val="000000"/>
          <w:sz w:val="21"/>
        </w:rPr>
        <w:t>Encoder</w:t>
      </w:r>
      <w:r>
        <w:rPr>
          <w:rFonts w:ascii="inter" w:hAnsi="inter" w:eastAsia="inter" w:cs="inter"/>
          <w:color w:val="000000"/>
          <w:sz w:val="21"/>
        </w:rPr>
        <w:t>: Processes prior rally sequence, player court position, opponent proximity → latent variable z</w:t>
      </w:r>
    </w:p>
    <w:p w14:paraId="5AE7B072">
      <w:pPr>
        <w:numPr>
          <w:ilvl w:val="0"/>
          <w:numId w:val="8"/>
        </w:numPr>
        <w:spacing w:before="105" w:after="105" w:line="360" w:lineRule="auto"/>
      </w:pPr>
      <w:r>
        <w:rPr>
          <w:rFonts w:ascii="inter" w:hAnsi="inter" w:eastAsia="inter" w:cs="inter"/>
          <w:b/>
          <w:color w:val="000000"/>
          <w:sz w:val="21"/>
        </w:rPr>
        <w:t>Decoder</w:t>
      </w:r>
      <w:r>
        <w:rPr>
          <w:rFonts w:ascii="inter" w:hAnsi="inter" w:eastAsia="inter" w:cs="inter"/>
          <w:color w:val="000000"/>
          <w:sz w:val="21"/>
        </w:rPr>
        <w:t>: Autoregressive generation of subsequent shot embeddings from z</w:t>
      </w:r>
    </w:p>
    <w:p w14:paraId="012A8CC3">
      <w:pPr>
        <w:numPr>
          <w:ilvl w:val="0"/>
          <w:numId w:val="8"/>
        </w:numPr>
        <w:spacing w:before="105" w:after="105" w:line="360" w:lineRule="auto"/>
      </w:pPr>
      <w:r>
        <w:rPr>
          <w:rFonts w:ascii="inter" w:hAnsi="inter" w:eastAsia="inter" w:cs="inter"/>
          <w:b/>
          <w:color w:val="000000"/>
          <w:sz w:val="21"/>
        </w:rPr>
        <w:t>Flow Prior</w:t>
      </w:r>
      <w:r>
        <w:rPr>
          <w:rFonts w:ascii="inter" w:hAnsi="inter" w:eastAsia="inter" w:cs="inter"/>
          <w:color w:val="000000"/>
          <w:sz w:val="21"/>
        </w:rPr>
        <w:t>: Normalizing flow learns data-dependent prior, accommodating multiple equally-plausible next shots (e.g., drop or clear after opponent clears)</w:t>
      </w:r>
    </w:p>
    <w:p w14:paraId="1A8D595A">
      <w:pPr>
        <w:spacing w:after="210" w:line="360" w:lineRule="auto"/>
      </w:pPr>
      <w:r>
        <w:rPr>
          <w:rFonts w:ascii="inter" w:hAnsi="inter" w:eastAsia="inter" w:cs="inter"/>
          <w:color w:val="000000"/>
        </w:rPr>
        <w:t>CF-VAE achieves lower prediction error and better uncertainty calibration versus standard architectures on multi-modal prediction tasks.</w:t>
      </w:r>
      <w:bookmarkStart w:id="50" w:name="fnref27_2"/>
      <w:bookmarkEnd w:id="5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6999AC27">
      <w:pPr>
        <w:spacing w:before="315" w:after="105" w:line="360" w:lineRule="auto"/>
        <w:ind w:left="-30"/>
        <w:jc w:val="left"/>
      </w:pPr>
      <w:bookmarkStart w:id="51" w:name="bm_4_3_generative_adversarial_net_454f77"/>
      <w:r>
        <w:rPr>
          <w:rFonts w:ascii="inter" w:hAnsi="inter" w:eastAsia="inter" w:cs="inter"/>
          <w:b/>
          <w:color w:val="000000"/>
          <w:sz w:val="24"/>
        </w:rPr>
        <w:t>4.3 Generative Adversarial Networks (GAN) for Action Synthesis</w:t>
      </w:r>
      <w:bookmarkEnd w:id="51"/>
    </w:p>
    <w:p w14:paraId="274B5709">
      <w:pPr>
        <w:spacing w:after="210" w:line="360" w:lineRule="auto"/>
      </w:pPr>
      <w:r>
        <w:rPr>
          <w:rFonts w:ascii="inter" w:hAnsi="inter" w:eastAsia="inter" w:cs="inter"/>
          <w:b/>
          <w:color w:val="000000"/>
        </w:rPr>
        <w:t>GANs</w:t>
      </w:r>
      <w:r>
        <w:rPr>
          <w:rFonts w:ascii="inter" w:hAnsi="inter" w:eastAsia="inter" w:cs="inter"/>
          <w:color w:val="000000"/>
        </w:rPr>
        <w:t xml:space="preserve"> train generator and discriminator networks adversarially, enabling synthesis of realistic action sequences. Sports application: </w:t>
      </w:r>
      <w:r>
        <w:rPr>
          <w:rFonts w:ascii="inter" w:hAnsi="inter" w:eastAsia="inter" w:cs="inter"/>
          <w:b/>
          <w:color w:val="000000"/>
        </w:rPr>
        <w:t>conditional GANs</w:t>
      </w:r>
      <w:r>
        <w:rPr>
          <w:rFonts w:ascii="inter" w:hAnsi="inter" w:eastAsia="inter" w:cs="inter"/>
          <w:color w:val="000000"/>
        </w:rPr>
        <w:t xml:space="preserve"> generate context-specific training plans by learning realistic action sequences from professional match data. Generator synthesizes tactical sequence; discriminator distinguishes real matches from synthetic sequences. Unlike VAE's likelihood-based learning, GAN's adversarial training captures action distribution modes more precisely.</w:t>
      </w:r>
      <w:bookmarkStart w:id="52" w:name="fnref29"/>
      <w:bookmarkEnd w:id="52"/>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53" w:name="fnref30"/>
      <w:bookmarkEnd w:id="53"/>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01AF18B5">
      <w:pPr>
        <w:spacing w:after="210" w:line="360" w:lineRule="auto"/>
      </w:pPr>
      <w:r>
        <w:rPr>
          <w:rFonts w:ascii="inter" w:hAnsi="inter" w:eastAsia="inter" w:cs="inter"/>
          <w:color w:val="000000"/>
        </w:rPr>
        <w:t>For badminton, conditional GANs can:</w:t>
      </w:r>
    </w:p>
    <w:p w14:paraId="4FF36C4D">
      <w:pPr>
        <w:numPr>
          <w:ilvl w:val="0"/>
          <w:numId w:val="9"/>
        </w:numPr>
        <w:spacing w:before="105" w:after="105" w:line="360" w:lineRule="auto"/>
      </w:pPr>
      <w:r>
        <w:rPr>
          <w:rFonts w:ascii="inter" w:hAnsi="inter" w:eastAsia="inter" w:cs="inter"/>
          <w:color w:val="000000"/>
          <w:sz w:val="21"/>
        </w:rPr>
        <w:t>Generate synthetic defensive rallies for training weak players</w:t>
      </w:r>
    </w:p>
    <w:p w14:paraId="4465AFA1">
      <w:pPr>
        <w:numPr>
          <w:ilvl w:val="0"/>
          <w:numId w:val="9"/>
        </w:numPr>
        <w:spacing w:before="105" w:after="105" w:line="360" w:lineRule="auto"/>
      </w:pPr>
      <w:r>
        <w:rPr>
          <w:rFonts w:ascii="inter" w:hAnsi="inter" w:eastAsia="inter" w:cs="inter"/>
          <w:color w:val="000000"/>
          <w:sz w:val="21"/>
        </w:rPr>
        <w:t>Synthesize opponent's likely tactical responses to player's shot choices</w:t>
      </w:r>
    </w:p>
    <w:p w14:paraId="243EF2DE">
      <w:pPr>
        <w:numPr>
          <w:ilvl w:val="0"/>
          <w:numId w:val="9"/>
        </w:numPr>
        <w:spacing w:before="105" w:after="105" w:line="360" w:lineRule="auto"/>
      </w:pPr>
      <w:r>
        <w:rPr>
          <w:rFonts w:ascii="inter" w:hAnsi="inter" w:eastAsia="inter" w:cs="inter"/>
          <w:color w:val="000000"/>
          <w:sz w:val="21"/>
        </w:rPr>
        <w:t>Create action augmentation for imbalanced training datasets (imbalanced toward common shots)</w:t>
      </w:r>
    </w:p>
    <w:p w14:paraId="69E0C481">
      <w:pPr>
        <w:spacing w:after="210" w:line="360" w:lineRule="auto"/>
      </w:pPr>
      <w:r>
        <w:rPr>
          <w:rFonts w:ascii="inter" w:hAnsi="inter" w:eastAsia="inter" w:cs="inter"/>
          <w:color w:val="000000"/>
        </w:rPr>
        <w:t>Limitations: GANs suffer from mode collapse (generator ignores some action types) and training instability. Mode collapse particularly problematic for badminton—defensive clears only appear in &lt;30% of training rallies; untrained GAN may ignore them entirely.</w:t>
      </w:r>
    </w:p>
    <w:p w14:paraId="2B26410C">
      <w:pPr>
        <w:spacing w:before="315" w:after="105" w:line="360" w:lineRule="auto"/>
        <w:ind w:left="-30"/>
        <w:jc w:val="left"/>
      </w:pPr>
      <w:bookmarkStart w:id="54" w:name="bm_4_4_attention_based_transforme_4f332d"/>
      <w:r>
        <w:rPr>
          <w:rFonts w:ascii="inter" w:hAnsi="inter" w:eastAsia="inter" w:cs="inter"/>
          <w:b/>
          <w:color w:val="000000"/>
          <w:sz w:val="24"/>
        </w:rPr>
        <w:t>4.4 Attention-Based Transformer Architectures</w:t>
      </w:r>
      <w:bookmarkEnd w:id="54"/>
    </w:p>
    <w:p w14:paraId="0F6FE91E">
      <w:pPr>
        <w:spacing w:after="210" w:line="360" w:lineRule="auto"/>
      </w:pPr>
      <w:r>
        <w:rPr>
          <w:rFonts w:ascii="inter" w:hAnsi="inter" w:eastAsia="inter" w:cs="inter"/>
          <w:b/>
          <w:color w:val="000000"/>
        </w:rPr>
        <w:t>Transformer encoder-decoder architecture</w:t>
      </w:r>
      <w:r>
        <w:rPr>
          <w:rFonts w:ascii="inter" w:hAnsi="inter" w:eastAsia="inter" w:cs="inter"/>
          <w:color w:val="000000"/>
        </w:rPr>
        <w:t xml:space="preserve"> processes variable-length prior action sequences through multi-head self-attention, creating rich contextual representations, then decodes next action autoregressively. Advantages:</w:t>
      </w:r>
      <w:bookmarkStart w:id="55" w:name="fnref21_2"/>
      <w:bookmarkEnd w:id="5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44A0C79C">
      <w:pPr>
        <w:numPr>
          <w:ilvl w:val="0"/>
          <w:numId w:val="10"/>
        </w:numPr>
        <w:spacing w:before="105" w:after="105" w:line="360" w:lineRule="auto"/>
      </w:pPr>
      <w:r>
        <w:rPr>
          <w:rFonts w:ascii="inter" w:hAnsi="inter" w:eastAsia="inter" w:cs="inter"/>
          <w:color w:val="000000"/>
          <w:sz w:val="21"/>
        </w:rPr>
        <w:t>Parallel training (unlike RNNs) reduces training time 5-10×</w:t>
      </w:r>
    </w:p>
    <w:p w14:paraId="3D54E2C9">
      <w:pPr>
        <w:numPr>
          <w:ilvl w:val="0"/>
          <w:numId w:val="10"/>
        </w:numPr>
        <w:spacing w:before="105" w:after="105" w:line="360" w:lineRule="auto"/>
      </w:pPr>
      <w:r>
        <w:rPr>
          <w:rFonts w:ascii="inter" w:hAnsi="inter" w:eastAsia="inter" w:cs="inter"/>
          <w:color w:val="000000"/>
          <w:sz w:val="21"/>
        </w:rPr>
        <w:t>Long-range dependencies captured through attention (handles 30+ shot rallies naturally)</w:t>
      </w:r>
    </w:p>
    <w:p w14:paraId="68E1015B">
      <w:pPr>
        <w:numPr>
          <w:ilvl w:val="0"/>
          <w:numId w:val="10"/>
        </w:numPr>
        <w:spacing w:before="105" w:after="105" w:line="360" w:lineRule="auto"/>
      </w:pPr>
      <w:r>
        <w:rPr>
          <w:rFonts w:ascii="inter" w:hAnsi="inter" w:eastAsia="inter" w:cs="inter"/>
          <w:color w:val="000000"/>
          <w:sz w:val="21"/>
        </w:rPr>
        <w:t>Interpretable attention weights reveal which prior shots influence predictions</w:t>
      </w:r>
    </w:p>
    <w:p w14:paraId="10351F14">
      <w:pPr>
        <w:spacing w:after="210" w:line="360" w:lineRule="auto"/>
      </w:pPr>
      <w:r>
        <w:rPr>
          <w:rFonts w:ascii="inter" w:hAnsi="inter" w:eastAsia="inter" w:cs="inter"/>
          <w:color w:val="000000"/>
        </w:rPr>
        <w:t>RallyTemPose combines:</w:t>
      </w:r>
    </w:p>
    <w:p w14:paraId="51B8E80C">
      <w:pPr>
        <w:numPr>
          <w:ilvl w:val="0"/>
          <w:numId w:val="11"/>
        </w:numPr>
        <w:spacing w:before="105" w:after="105" w:line="360" w:lineRule="auto"/>
      </w:pPr>
      <w:r>
        <w:rPr>
          <w:rFonts w:ascii="inter" w:hAnsi="inter" w:eastAsia="inter" w:cs="inter"/>
          <w:color w:val="000000"/>
          <w:sz w:val="21"/>
        </w:rPr>
        <w:t>Skeleton-based spatial encoder (TCN block processing joint trajectories)</w:t>
      </w:r>
    </w:p>
    <w:p w14:paraId="3BDBA09D">
      <w:pPr>
        <w:numPr>
          <w:ilvl w:val="0"/>
          <w:numId w:val="11"/>
        </w:numPr>
        <w:spacing w:before="105" w:after="105" w:line="360" w:lineRule="auto"/>
      </w:pPr>
      <w:r>
        <w:rPr>
          <w:rFonts w:ascii="inter" w:hAnsi="inter" w:eastAsia="inter" w:cs="inter"/>
          <w:color w:val="000000"/>
          <w:sz w:val="21"/>
        </w:rPr>
        <w:t>Rally sequence encoder (transformer over prior shot embeddings)</w:t>
      </w:r>
    </w:p>
    <w:p w14:paraId="6D2A942D">
      <w:pPr>
        <w:numPr>
          <w:ilvl w:val="0"/>
          <w:numId w:val="11"/>
        </w:numPr>
        <w:spacing w:before="105" w:after="105" w:line="360" w:lineRule="auto"/>
      </w:pPr>
      <w:r>
        <w:rPr>
          <w:rFonts w:ascii="inter" w:hAnsi="inter" w:eastAsia="inter" w:cs="inter"/>
          <w:color w:val="000000"/>
          <w:sz w:val="21"/>
        </w:rPr>
        <w:t>Cross-attention decoder modulated by player ground position embeddings</w:t>
      </w:r>
    </w:p>
    <w:p w14:paraId="1F947CB4">
      <w:pPr>
        <w:numPr>
          <w:ilvl w:val="0"/>
          <w:numId w:val="11"/>
        </w:numPr>
        <w:spacing w:before="105" w:after="105" w:line="360" w:lineRule="auto"/>
      </w:pPr>
      <w:r>
        <w:rPr>
          <w:rFonts w:ascii="inter" w:hAnsi="inter" w:eastAsia="inter" w:cs="inter"/>
          <w:color w:val="000000"/>
          <w:sz w:val="21"/>
        </w:rPr>
        <w:t>Adaptive output head selecting among k most-likely next strokes</w:t>
      </w:r>
      <w:bookmarkStart w:id="56" w:name="fnref21_3"/>
      <w:bookmarkEnd w:id="56"/>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p>
    <w:p w14:paraId="21618DB3">
      <w:pPr>
        <w:spacing w:after="210" w:line="360" w:lineRule="auto"/>
      </w:pPr>
      <w:r>
        <w:rPr>
          <w:rFonts w:ascii="inter" w:hAnsi="inter" w:eastAsia="inter" w:cs="inter"/>
          <w:color w:val="000000"/>
        </w:rPr>
        <w:t>Architecture achieves 54.2% top-1 accuracy (higher than HMM/LSTM baselines) on BadminDB dataset, with graceful degradation under missing pose data.</w:t>
      </w:r>
    </w:p>
    <w:p w14:paraId="19476932">
      <w:pPr>
        <w:spacing w:before="315" w:after="105" w:line="360" w:lineRule="auto"/>
        <w:ind w:left="-30"/>
        <w:jc w:val="left"/>
      </w:pPr>
      <w:bookmarkStart w:id="57" w:name="bm_4_5_real_time_applicability_an_2ddbb9"/>
      <w:r>
        <w:rPr>
          <w:rFonts w:ascii="inter" w:hAnsi="inter" w:eastAsia="inter" w:cs="inter"/>
          <w:b/>
          <w:color w:val="000000"/>
          <w:sz w:val="24"/>
        </w:rPr>
        <w:t>4.5 Real-Time Applicability and Latency Constraints</w:t>
      </w:r>
      <w:bookmarkEnd w:id="57"/>
    </w:p>
    <w:p w14:paraId="52941F66">
      <w:pPr>
        <w:spacing w:after="210" w:line="360" w:lineRule="auto"/>
      </w:pPr>
      <w:r>
        <w:rPr>
          <w:rFonts w:ascii="inter" w:hAnsi="inter" w:eastAsia="inter" w:cs="inter"/>
          <w:color w:val="000000"/>
        </w:rPr>
        <w:t>Live match analysis demands &lt;100ms latency (&lt;&lt;1 frame at 30fps). Full transformer architectures require 200-500ms inference on CPU. Practical deployment requires:</w:t>
      </w:r>
    </w:p>
    <w:p w14:paraId="62679426">
      <w:pPr>
        <w:numPr>
          <w:ilvl w:val="0"/>
          <w:numId w:val="12"/>
        </w:numPr>
        <w:spacing w:before="105" w:after="105" w:line="360" w:lineRule="auto"/>
      </w:pPr>
      <w:r>
        <w:rPr>
          <w:rFonts w:ascii="inter" w:hAnsi="inter" w:eastAsia="inter" w:cs="inter"/>
          <w:b/>
          <w:color w:val="000000"/>
          <w:sz w:val="21"/>
        </w:rPr>
        <w:t>Model Optimization</w:t>
      </w:r>
      <w:r>
        <w:rPr>
          <w:rFonts w:ascii="inter" w:hAnsi="inter" w:eastAsia="inter" w:cs="inter"/>
          <w:color w:val="000000"/>
          <w:sz w:val="21"/>
        </w:rPr>
        <w:t>: Knowledge distillation from 12-layer transformer to 3-layer lightweight variant (15× speedup, 2-4% accuracy drop)</w:t>
      </w:r>
    </w:p>
    <w:p w14:paraId="52D7DA09">
      <w:pPr>
        <w:numPr>
          <w:ilvl w:val="0"/>
          <w:numId w:val="12"/>
        </w:numPr>
        <w:spacing w:before="105" w:after="105" w:line="360" w:lineRule="auto"/>
      </w:pPr>
      <w:r>
        <w:rPr>
          <w:rFonts w:ascii="inter" w:hAnsi="inter" w:eastAsia="inter" w:cs="inter"/>
          <w:b/>
          <w:color w:val="000000"/>
          <w:sz w:val="21"/>
        </w:rPr>
        <w:t>Streaming Inference</w:t>
      </w:r>
      <w:r>
        <w:rPr>
          <w:rFonts w:ascii="inter" w:hAnsi="inter" w:eastAsia="inter" w:cs="inter"/>
          <w:color w:val="000000"/>
          <w:sz w:val="21"/>
        </w:rPr>
        <w:t>: Caching intermediate representations, processing only new frames; 80% latency reduction</w:t>
      </w:r>
    </w:p>
    <w:p w14:paraId="53C6D727">
      <w:pPr>
        <w:numPr>
          <w:ilvl w:val="0"/>
          <w:numId w:val="12"/>
        </w:numPr>
        <w:spacing w:before="105" w:after="105" w:line="360" w:lineRule="auto"/>
      </w:pPr>
      <w:r>
        <w:rPr>
          <w:rFonts w:ascii="inter" w:hAnsi="inter" w:eastAsia="inter" w:cs="inter"/>
          <w:b/>
          <w:color w:val="000000"/>
          <w:sz w:val="21"/>
        </w:rPr>
        <w:t>Hardware Acceleration</w:t>
      </w:r>
      <w:r>
        <w:rPr>
          <w:rFonts w:ascii="inter" w:hAnsi="inter" w:eastAsia="inter" w:cs="inter"/>
          <w:color w:val="000000"/>
          <w:sz w:val="21"/>
        </w:rPr>
        <w:t>: GPU/TPU deployment mandatory; real-time prediction achievable on GPU with &lt;50ms latency</w:t>
      </w:r>
    </w:p>
    <w:p w14:paraId="5326EC93">
      <w:pPr>
        <w:numPr>
          <w:ilvl w:val="0"/>
          <w:numId w:val="12"/>
        </w:numPr>
        <w:spacing w:before="105" w:after="105" w:line="360" w:lineRule="auto"/>
      </w:pPr>
      <w:r>
        <w:rPr>
          <w:rFonts w:ascii="inter" w:hAnsi="inter" w:eastAsia="inter" w:cs="inter"/>
          <w:b/>
          <w:color w:val="000000"/>
          <w:sz w:val="21"/>
        </w:rPr>
        <w:t>Uncertainty Quantification</w:t>
      </w:r>
      <w:r>
        <w:rPr>
          <w:rFonts w:ascii="inter" w:hAnsi="inter" w:eastAsia="inter" w:cs="inter"/>
          <w:color w:val="000000"/>
          <w:sz w:val="21"/>
        </w:rPr>
        <w:t>: Prediction confidence scores guide real-time coaching—high-uncertainty predictions (entropy &gt;0.9) warrant withheld coaching feedback</w:t>
      </w:r>
    </w:p>
    <w:p w14:paraId="1ABF8582">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4D0B858">
      <w:pPr>
        <w:spacing w:before="315" w:after="105" w:line="360" w:lineRule="auto"/>
        <w:ind w:left="-30"/>
        <w:jc w:val="left"/>
      </w:pPr>
      <w:bookmarkStart w:id="58" w:name="bm_5_proposed_coherent_research_f_88b9bb"/>
      <w:r>
        <w:rPr>
          <w:rFonts w:ascii="inter" w:hAnsi="inter" w:eastAsia="inter" w:cs="inter"/>
          <w:b/>
          <w:color w:val="000000"/>
          <w:sz w:val="24"/>
        </w:rPr>
        <w:t>5. Proposed Coherent Research Framework</w:t>
      </w:r>
      <w:bookmarkEnd w:id="58"/>
    </w:p>
    <w:p w14:paraId="6F57F086">
      <w:pPr>
        <w:spacing w:before="315" w:after="105" w:line="360" w:lineRule="auto"/>
        <w:ind w:left="-30"/>
        <w:jc w:val="left"/>
      </w:pPr>
      <w:bookmarkStart w:id="59" w:name="bm_5_1_integrated_pipeline_architecture"/>
      <w:r>
        <w:rPr>
          <w:rFonts w:ascii="inter" w:hAnsi="inter" w:eastAsia="inter" w:cs="inter"/>
          <w:b/>
          <w:color w:val="000000"/>
          <w:sz w:val="24"/>
        </w:rPr>
        <w:t>5.1 Integrated Pipeline Architecture</w:t>
      </w:r>
      <w:bookmarkEnd w:id="59"/>
    </w:p>
    <w:p w14:paraId="568735E7">
      <w:pPr>
        <w:spacing w:after="210" w:line="360" w:lineRule="auto"/>
      </w:pPr>
      <w:r>
        <w:rPr>
          <w:rFonts w:ascii="inter" w:hAnsi="inter" w:eastAsia="inter" w:cs="inter"/>
          <w:color w:val="000000"/>
        </w:rPr>
        <w:t>A complete badminton player action analysis system integrates four sequential modules:</w:t>
      </w:r>
    </w:p>
    <w:p w14:paraId="13C7231F">
      <w:pPr>
        <w:shd w:val="clear" w:fill="F8F8FA"/>
        <w:spacing w:line="336" w:lineRule="auto"/>
      </w:pPr>
      <w:r>
        <w:rPr>
          <w:rStyle w:val="4"/>
          <w:rFonts w:ascii="ibm plex mono" w:hAnsi="ibm plex mono" w:eastAsia="ibm plex mono" w:cs="ibm plex mono"/>
          <w:color w:val="000000"/>
          <w:sz w:val="18"/>
        </w:rPr>
        <w:t xml:space="preserve">Video Input → [Detection/Tracking] → [Pose Estimation] → [Action Recognition] </w:t>
      </w:r>
      <w:r>
        <w:rPr>
          <w:rStyle w:val="4"/>
          <w:rFonts w:ascii="ibm plex mono" w:hAnsi="ibm plex mono" w:eastAsia="ibm plex mono" w:cs="ibm plex mono"/>
          <w:color w:val="000000"/>
          <w:sz w:val="18"/>
        </w:rPr>
        <w:br w:type="textWrapping"/>
      </w:r>
      <w:r>
        <w:rPr>
          <w:rStyle w:val="4"/>
          <w:rFonts w:ascii="ibm plex mono" w:hAnsi="ibm plex mono" w:eastAsia="ibm plex mono" w:cs="ibm plex mono"/>
          <w:color w:val="000000"/>
          <w:sz w:val="18"/>
        </w:rPr>
        <w:t xml:space="preserve">  → [Tactical Analysis] → [Action Prediction] → Coaching/Analytics Output</w:t>
      </w:r>
      <w:r>
        <w:rPr>
          <w:rStyle w:val="4"/>
          <w:rFonts w:ascii="ibm plex mono" w:hAnsi="ibm plex mono" w:eastAsia="ibm plex mono" w:cs="ibm plex mono"/>
          <w:color w:val="000000"/>
          <w:sz w:val="18"/>
        </w:rPr>
        <w:br w:type="textWrapping"/>
      </w:r>
    </w:p>
    <w:p w14:paraId="312A1120">
      <w:pPr>
        <w:spacing w:after="210" w:line="360" w:lineRule="auto"/>
      </w:pPr>
      <w:r>
        <w:rPr>
          <w:rFonts w:ascii="inter" w:hAnsi="inter" w:eastAsia="inter" w:cs="inter"/>
          <w:b/>
          <w:color w:val="000000"/>
        </w:rPr>
        <w:t>Module 1: Detection &amp; Tracking</w:t>
      </w:r>
    </w:p>
    <w:p w14:paraId="290E0542">
      <w:pPr>
        <w:numPr>
          <w:ilvl w:val="0"/>
          <w:numId w:val="13"/>
        </w:numPr>
        <w:spacing w:before="105" w:after="105" w:line="360" w:lineRule="auto"/>
      </w:pPr>
      <w:r>
        <w:rPr>
          <w:rFonts w:ascii="inter" w:hAnsi="inter" w:eastAsia="inter" w:cs="inter"/>
          <w:color w:val="000000"/>
          <w:sz w:val="21"/>
        </w:rPr>
        <w:t>Input: 30fps RGB badminton video</w:t>
      </w:r>
    </w:p>
    <w:p w14:paraId="10CF4BA1">
      <w:pPr>
        <w:numPr>
          <w:ilvl w:val="0"/>
          <w:numId w:val="13"/>
        </w:numPr>
        <w:spacing w:before="105" w:after="105" w:line="360" w:lineRule="auto"/>
      </w:pPr>
      <w:r>
        <w:rPr>
          <w:rFonts w:ascii="inter" w:hAnsi="inter" w:eastAsia="inter" w:cs="inter"/>
          <w:color w:val="000000"/>
          <w:sz w:val="21"/>
        </w:rPr>
        <w:t>Process: YOLOv8 (players, rackets) + TrackNet (shuttle) + ByteTrack association</w:t>
      </w:r>
    </w:p>
    <w:p w14:paraId="50EB4167">
      <w:pPr>
        <w:numPr>
          <w:ilvl w:val="0"/>
          <w:numId w:val="13"/>
        </w:numPr>
        <w:spacing w:before="105" w:after="105" w:line="360" w:lineRule="auto"/>
      </w:pPr>
      <w:r>
        <w:rPr>
          <w:rFonts w:ascii="inter" w:hAnsi="inter" w:eastAsia="inter" w:cs="inter"/>
          <w:color w:val="000000"/>
          <w:sz w:val="21"/>
        </w:rPr>
        <w:t>Output: Player bounding boxes with track IDs; shuttle trajectory; court geometry</w:t>
      </w:r>
    </w:p>
    <w:p w14:paraId="25CD2D11">
      <w:pPr>
        <w:spacing w:after="210" w:line="360" w:lineRule="auto"/>
      </w:pPr>
      <w:r>
        <w:rPr>
          <w:rFonts w:ascii="inter" w:hAnsi="inter" w:eastAsia="inter" w:cs="inter"/>
          <w:b/>
          <w:color w:val="000000"/>
        </w:rPr>
        <w:t>Module 2: Pose Estimation</w:t>
      </w:r>
    </w:p>
    <w:p w14:paraId="5EAB1F61">
      <w:pPr>
        <w:numPr>
          <w:ilvl w:val="0"/>
          <w:numId w:val="14"/>
        </w:numPr>
        <w:spacing w:before="105" w:after="105" w:line="360" w:lineRule="auto"/>
      </w:pPr>
      <w:r>
        <w:rPr>
          <w:rFonts w:ascii="inter" w:hAnsi="inter" w:eastAsia="inter" w:cs="inter"/>
          <w:color w:val="000000"/>
          <w:sz w:val="21"/>
        </w:rPr>
        <w:t>Input: Cropped player bounding boxes</w:t>
      </w:r>
    </w:p>
    <w:p w14:paraId="711801E9">
      <w:pPr>
        <w:numPr>
          <w:ilvl w:val="0"/>
          <w:numId w:val="14"/>
        </w:numPr>
        <w:spacing w:before="105" w:after="105" w:line="360" w:lineRule="auto"/>
      </w:pPr>
      <w:r>
        <w:rPr>
          <w:rFonts w:ascii="inter" w:hAnsi="inter" w:eastAsia="inter" w:cs="inter"/>
          <w:color w:val="000000"/>
          <w:sz w:val="21"/>
        </w:rPr>
        <w:t>Process: HRNet keypoint detection; temporal smoothing with Kalman filter</w:t>
      </w:r>
    </w:p>
    <w:p w14:paraId="795362BA">
      <w:pPr>
        <w:numPr>
          <w:ilvl w:val="0"/>
          <w:numId w:val="14"/>
        </w:numPr>
        <w:spacing w:before="105" w:after="105" w:line="360" w:lineRule="auto"/>
      </w:pPr>
      <w:r>
        <w:rPr>
          <w:rFonts w:ascii="inter" w:hAnsi="inter" w:eastAsia="inter" w:cs="inter"/>
          <w:color w:val="000000"/>
          <w:sz w:val="21"/>
        </w:rPr>
        <w:t>Output: 17-joint skeleton sequences per frame per player</w:t>
      </w:r>
    </w:p>
    <w:p w14:paraId="1BD95D0F">
      <w:pPr>
        <w:spacing w:after="210" w:line="360" w:lineRule="auto"/>
      </w:pPr>
      <w:r>
        <w:rPr>
          <w:rFonts w:ascii="inter" w:hAnsi="inter" w:eastAsia="inter" w:cs="inter"/>
          <w:b/>
          <w:color w:val="000000"/>
        </w:rPr>
        <w:t>Module 3: Action Recognition</w:t>
      </w:r>
    </w:p>
    <w:p w14:paraId="4A03F61E">
      <w:pPr>
        <w:numPr>
          <w:ilvl w:val="0"/>
          <w:numId w:val="15"/>
        </w:numPr>
        <w:spacing w:before="105" w:after="105" w:line="360" w:lineRule="auto"/>
      </w:pPr>
      <w:r>
        <w:rPr>
          <w:rFonts w:ascii="inter" w:hAnsi="inter" w:eastAsia="inter" w:cs="inter"/>
          <w:color w:val="000000"/>
          <w:sz w:val="21"/>
        </w:rPr>
        <w:t>Input: 30-frame skeleton window spanning shot execution (pre-swing to post-contact)</w:t>
      </w:r>
    </w:p>
    <w:p w14:paraId="51653A7C">
      <w:pPr>
        <w:numPr>
          <w:ilvl w:val="0"/>
          <w:numId w:val="15"/>
        </w:numPr>
        <w:spacing w:before="105" w:after="105" w:line="360" w:lineRule="auto"/>
      </w:pPr>
      <w:r>
        <w:rPr>
          <w:rFonts w:ascii="inter" w:hAnsi="inter" w:eastAsia="inter" w:cs="inter"/>
          <w:color w:val="000000"/>
          <w:sz w:val="21"/>
        </w:rPr>
        <w:t>Process: ST-GCN feature extraction + temporal attention + classification head</w:t>
      </w:r>
    </w:p>
    <w:p w14:paraId="4D9F3652">
      <w:pPr>
        <w:numPr>
          <w:ilvl w:val="0"/>
          <w:numId w:val="15"/>
        </w:numPr>
        <w:spacing w:before="105" w:after="105" w:line="360" w:lineRule="auto"/>
      </w:pPr>
      <w:r>
        <w:rPr>
          <w:rFonts w:ascii="inter" w:hAnsi="inter" w:eastAsia="inter" w:cs="inter"/>
          <w:color w:val="000000"/>
          <w:sz w:val="21"/>
        </w:rPr>
        <w:t>Output: Shot type (smash/clear/drop/net/drive) + confidence score</w:t>
      </w:r>
    </w:p>
    <w:p w14:paraId="7AE4DE1A">
      <w:pPr>
        <w:spacing w:after="210" w:line="360" w:lineRule="auto"/>
      </w:pPr>
      <w:r>
        <w:rPr>
          <w:rFonts w:ascii="inter" w:hAnsi="inter" w:eastAsia="inter" w:cs="inter"/>
          <w:b/>
          <w:color w:val="000000"/>
        </w:rPr>
        <w:t>Module 4: Tactical Analysis</w:t>
      </w:r>
    </w:p>
    <w:p w14:paraId="124DA237">
      <w:pPr>
        <w:numPr>
          <w:ilvl w:val="0"/>
          <w:numId w:val="16"/>
        </w:numPr>
        <w:spacing w:before="105" w:after="105" w:line="360" w:lineRule="auto"/>
      </w:pPr>
      <w:r>
        <w:rPr>
          <w:rFonts w:ascii="inter" w:hAnsi="inter" w:eastAsia="inter" w:cs="inter"/>
          <w:color w:val="000000"/>
          <w:sz w:val="21"/>
        </w:rPr>
        <w:t>Input: Sequence of prior shots; player court positions; rally context</w:t>
      </w:r>
    </w:p>
    <w:p w14:paraId="77348C06">
      <w:pPr>
        <w:numPr>
          <w:ilvl w:val="0"/>
          <w:numId w:val="16"/>
        </w:numPr>
        <w:spacing w:before="105" w:after="105" w:line="360" w:lineRule="auto"/>
      </w:pPr>
      <w:r>
        <w:rPr>
          <w:rFonts w:ascii="inter" w:hAnsi="inter" w:eastAsia="inter" w:cs="inter"/>
          <w:color w:val="000000"/>
          <w:sz w:val="21"/>
        </w:rPr>
        <w:t>Process: Context-aware transformer encoder capturing rally semantics</w:t>
      </w:r>
    </w:p>
    <w:p w14:paraId="08292D61">
      <w:pPr>
        <w:numPr>
          <w:ilvl w:val="0"/>
          <w:numId w:val="16"/>
        </w:numPr>
        <w:spacing w:before="105" w:after="105" w:line="360" w:lineRule="auto"/>
      </w:pPr>
      <w:r>
        <w:rPr>
          <w:rFonts w:ascii="inter" w:hAnsi="inter" w:eastAsia="inter" w:cs="inter"/>
          <w:color w:val="000000"/>
          <w:sz w:val="21"/>
        </w:rPr>
        <w:t>Output: Offensive/defensive mode classification; tactical pattern recognition</w:t>
      </w:r>
    </w:p>
    <w:p w14:paraId="5E6C394E">
      <w:pPr>
        <w:spacing w:after="210" w:line="360" w:lineRule="auto"/>
      </w:pPr>
      <w:r>
        <w:rPr>
          <w:rFonts w:ascii="inter" w:hAnsi="inter" w:eastAsia="inter" w:cs="inter"/>
          <w:b/>
          <w:color w:val="000000"/>
        </w:rPr>
        <w:t>Module 5: Action Prediction</w:t>
      </w:r>
    </w:p>
    <w:p w14:paraId="7EECD297">
      <w:pPr>
        <w:numPr>
          <w:ilvl w:val="0"/>
          <w:numId w:val="17"/>
        </w:numPr>
        <w:spacing w:before="105" w:after="105" w:line="360" w:lineRule="auto"/>
      </w:pPr>
      <w:r>
        <w:rPr>
          <w:rFonts w:ascii="inter" w:hAnsi="inter" w:eastAsia="inter" w:cs="inter"/>
          <w:color w:val="000000"/>
          <w:sz w:val="21"/>
        </w:rPr>
        <w:t>Input: Prior rally sequence (5-15 shots); current court state</w:t>
      </w:r>
    </w:p>
    <w:p w14:paraId="62B25CDE">
      <w:pPr>
        <w:numPr>
          <w:ilvl w:val="0"/>
          <w:numId w:val="17"/>
        </w:numPr>
        <w:spacing w:before="105" w:after="105" w:line="360" w:lineRule="auto"/>
      </w:pPr>
      <w:r>
        <w:rPr>
          <w:rFonts w:ascii="inter" w:hAnsi="inter" w:eastAsia="inter" w:cs="inter"/>
          <w:color w:val="000000"/>
          <w:sz w:val="21"/>
        </w:rPr>
        <w:t>Process: CF-VAE or transformer decoder sampling from learned conditional distribution</w:t>
      </w:r>
    </w:p>
    <w:p w14:paraId="3F85C470">
      <w:pPr>
        <w:numPr>
          <w:ilvl w:val="0"/>
          <w:numId w:val="17"/>
        </w:numPr>
        <w:spacing w:before="105" w:after="105" w:line="360" w:lineRule="auto"/>
      </w:pPr>
      <w:r>
        <w:rPr>
          <w:rFonts w:ascii="inter" w:hAnsi="inter" w:eastAsia="inter" w:cs="inter"/>
          <w:color w:val="000000"/>
          <w:sz w:val="21"/>
        </w:rPr>
        <w:t>Output: Top-k probable next shots with confidence estimates; uncertainty quantification</w:t>
      </w:r>
    </w:p>
    <w:p w14:paraId="6D01201F">
      <w:pPr>
        <w:spacing w:before="315" w:after="105" w:line="360" w:lineRule="auto"/>
        <w:ind w:left="-30"/>
        <w:jc w:val="left"/>
      </w:pPr>
      <w:bookmarkStart w:id="60" w:name="bm_5_2_addressing_domain_specific_fa049f"/>
      <w:r>
        <w:rPr>
          <w:rFonts w:ascii="inter" w:hAnsi="inter" w:eastAsia="inter" w:cs="inter"/>
          <w:b/>
          <w:color w:val="000000"/>
          <w:sz w:val="24"/>
        </w:rPr>
        <w:t>5.2 Addressing Domain-Specific Challenges</w:t>
      </w:r>
      <w:bookmarkEnd w:id="60"/>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538"/>
        <w:gridCol w:w="4771"/>
        <w:gridCol w:w="2531"/>
      </w:tblGrid>
      <w:tr w14:paraId="051DB9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3FA06E">
            <w:pPr>
              <w:spacing w:after="0" w:line="360" w:lineRule="auto"/>
            </w:pPr>
            <w:r>
              <w:rPr>
                <w:rFonts w:ascii="inter" w:hAnsi="inter" w:eastAsia="inter" w:cs="inter"/>
                <w:color w:val="000000"/>
                <w:sz w:val="17"/>
              </w:rPr>
              <w:t>Challenge</w:t>
            </w:r>
          </w:p>
        </w:tc>
        <w:tc>
          <w:tcPr>
            <w:tcBorders>
              <w:top w:val="single" w:color="000000" w:sz="0" w:space="0"/>
              <w:bottom w:val="single" w:color="000000" w:sz="0" w:space="0"/>
              <w:right w:val="single" w:color="000000" w:sz="0" w:space="0"/>
            </w:tcBorders>
          </w:tcPr>
          <w:p w14:paraId="6FA2257B">
            <w:pPr>
              <w:spacing w:after="0" w:line="360" w:lineRule="auto"/>
            </w:pPr>
            <w:r>
              <w:rPr>
                <w:rFonts w:ascii="inter" w:hAnsi="inter" w:eastAsia="inter" w:cs="inter"/>
                <w:color w:val="000000"/>
                <w:sz w:val="17"/>
              </w:rPr>
              <w:t>Mechanism</w:t>
            </w:r>
          </w:p>
        </w:tc>
        <w:tc>
          <w:tcPr>
            <w:tcBorders>
              <w:top w:val="single" w:color="000000" w:sz="0" w:space="0"/>
              <w:bottom w:val="single" w:color="000000" w:sz="0" w:space="0"/>
            </w:tcBorders>
          </w:tcPr>
          <w:p w14:paraId="2FE0A84E">
            <w:pPr>
              <w:spacing w:after="0" w:line="360" w:lineRule="auto"/>
            </w:pPr>
            <w:r>
              <w:rPr>
                <w:rFonts w:ascii="inter" w:hAnsi="inter" w:eastAsia="inter" w:cs="inter"/>
                <w:color w:val="000000"/>
                <w:sz w:val="17"/>
              </w:rPr>
              <w:t>Expected Improvement</w:t>
            </w:r>
          </w:p>
        </w:tc>
      </w:tr>
      <w:tr w14:paraId="1CFD46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75BDB2">
            <w:pPr>
              <w:spacing w:after="0" w:line="360" w:lineRule="auto"/>
            </w:pPr>
            <w:r>
              <w:rPr>
                <w:rFonts w:ascii="inter" w:hAnsi="inter" w:eastAsia="inter" w:cs="inter"/>
                <w:color w:val="000000"/>
                <w:sz w:val="17"/>
              </w:rPr>
              <w:t>Rapid shuttle motion</w:t>
            </w:r>
          </w:p>
        </w:tc>
        <w:tc>
          <w:tcPr>
            <w:tcBorders>
              <w:top w:val="single" w:color="000000" w:sz="0" w:space="0"/>
              <w:bottom w:val="single" w:color="000000" w:sz="0" w:space="0"/>
              <w:right w:val="single" w:color="000000" w:sz="0" w:space="0"/>
            </w:tcBorders>
          </w:tcPr>
          <w:p w14:paraId="74B205EC">
            <w:pPr>
              <w:spacing w:after="0" w:line="360" w:lineRule="auto"/>
            </w:pPr>
            <w:r>
              <w:rPr>
                <w:rFonts w:ascii="inter" w:hAnsi="inter" w:eastAsia="inter" w:cs="inter"/>
                <w:color w:val="000000"/>
                <w:sz w:val="17"/>
              </w:rPr>
              <w:t>Trajectory interpolation + multi-frame temporal context</w:t>
            </w:r>
          </w:p>
        </w:tc>
        <w:tc>
          <w:tcPr>
            <w:tcBorders>
              <w:top w:val="single" w:color="000000" w:sz="0" w:space="0"/>
              <w:bottom w:val="single" w:color="000000" w:sz="0" w:space="0"/>
            </w:tcBorders>
          </w:tcPr>
          <w:p w14:paraId="5496A81F">
            <w:pPr>
              <w:spacing w:after="0" w:line="360" w:lineRule="auto"/>
            </w:pPr>
            <w:r>
              <w:rPr>
                <w:rFonts w:ascii="inter" w:hAnsi="inter" w:eastAsia="inter" w:cs="inter"/>
                <w:color w:val="000000"/>
                <w:sz w:val="17"/>
              </w:rPr>
              <w:t>25-35% recall improvement</w:t>
            </w:r>
          </w:p>
        </w:tc>
      </w:tr>
      <w:tr w14:paraId="60F631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A3509EB">
            <w:pPr>
              <w:spacing w:after="0" w:line="360" w:lineRule="auto"/>
            </w:pPr>
            <w:r>
              <w:rPr>
                <w:rFonts w:ascii="inter" w:hAnsi="inter" w:eastAsia="inter" w:cs="inter"/>
                <w:color w:val="000000"/>
                <w:sz w:val="17"/>
              </w:rPr>
              <w:t>View variance</w:t>
            </w:r>
          </w:p>
        </w:tc>
        <w:tc>
          <w:tcPr>
            <w:tcBorders>
              <w:top w:val="single" w:color="000000" w:sz="0" w:space="0"/>
              <w:bottom w:val="single" w:color="000000" w:sz="0" w:space="0"/>
              <w:right w:val="single" w:color="000000" w:sz="0" w:space="0"/>
            </w:tcBorders>
          </w:tcPr>
          <w:p w14:paraId="6602763E">
            <w:pPr>
              <w:spacing w:after="0" w:line="360" w:lineRule="auto"/>
            </w:pPr>
            <w:r>
              <w:rPr>
                <w:rFonts w:ascii="inter" w:hAnsi="inter" w:eastAsia="inter" w:cs="inter"/>
                <w:color w:val="000000"/>
                <w:sz w:val="17"/>
              </w:rPr>
              <w:t>Domain adaptation via adversarial training on multi-view data</w:t>
            </w:r>
          </w:p>
        </w:tc>
        <w:tc>
          <w:tcPr>
            <w:tcBorders>
              <w:top w:val="single" w:color="000000" w:sz="0" w:space="0"/>
              <w:bottom w:val="single" w:color="000000" w:sz="0" w:space="0"/>
            </w:tcBorders>
          </w:tcPr>
          <w:p w14:paraId="526BDAAD">
            <w:pPr>
              <w:spacing w:after="0" w:line="360" w:lineRule="auto"/>
            </w:pPr>
            <w:r>
              <w:rPr>
                <w:rFonts w:ascii="inter" w:hAnsi="inter" w:eastAsia="inter" w:cs="inter"/>
                <w:color w:val="000000"/>
                <w:sz w:val="17"/>
              </w:rPr>
              <w:t>10-15% cross-view accuracy</w:t>
            </w:r>
          </w:p>
        </w:tc>
      </w:tr>
      <w:tr w14:paraId="2705CF5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1E939F9">
            <w:pPr>
              <w:spacing w:after="0" w:line="360" w:lineRule="auto"/>
            </w:pPr>
            <w:r>
              <w:rPr>
                <w:rFonts w:ascii="inter" w:hAnsi="inter" w:eastAsia="inter" w:cs="inter"/>
                <w:color w:val="000000"/>
                <w:sz w:val="17"/>
              </w:rPr>
              <w:t>Subtle action discrimination</w:t>
            </w:r>
          </w:p>
        </w:tc>
        <w:tc>
          <w:tcPr>
            <w:tcBorders>
              <w:top w:val="single" w:color="000000" w:sz="0" w:space="0"/>
              <w:bottom w:val="single" w:color="000000" w:sz="0" w:space="0"/>
              <w:right w:val="single" w:color="000000" w:sz="0" w:space="0"/>
            </w:tcBorders>
          </w:tcPr>
          <w:p w14:paraId="5D1E5B97">
            <w:pPr>
              <w:spacing w:after="0" w:line="360" w:lineRule="auto"/>
            </w:pPr>
            <w:r>
              <w:rPr>
                <w:rFonts w:ascii="inter" w:hAnsi="inter" w:eastAsia="inter" w:cs="inter"/>
                <w:color w:val="000000"/>
                <w:sz w:val="17"/>
              </w:rPr>
              <w:t>Velocity-based features integrated with skeleton geometry</w:t>
            </w:r>
          </w:p>
        </w:tc>
        <w:tc>
          <w:tcPr>
            <w:tcBorders>
              <w:top w:val="single" w:color="000000" w:sz="0" w:space="0"/>
              <w:bottom w:val="single" w:color="000000" w:sz="0" w:space="0"/>
            </w:tcBorders>
          </w:tcPr>
          <w:p w14:paraId="53B267F4">
            <w:pPr>
              <w:spacing w:after="0" w:line="360" w:lineRule="auto"/>
            </w:pPr>
            <w:r>
              <w:rPr>
                <w:rFonts w:ascii="inter" w:hAnsi="inter" w:eastAsia="inter" w:cs="inter"/>
                <w:color w:val="000000"/>
                <w:sz w:val="17"/>
              </w:rPr>
              <w:t>8-12% F1 improvement</w:t>
            </w:r>
          </w:p>
        </w:tc>
      </w:tr>
      <w:tr w14:paraId="5F0BF3A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A6F69F8">
            <w:pPr>
              <w:spacing w:after="0" w:line="360" w:lineRule="auto"/>
            </w:pPr>
            <w:r>
              <w:rPr>
                <w:rFonts w:ascii="inter" w:hAnsi="inter" w:eastAsia="inter" w:cs="inter"/>
                <w:color w:val="000000"/>
                <w:sz w:val="17"/>
              </w:rPr>
              <w:t>Occlusion handling</w:t>
            </w:r>
          </w:p>
        </w:tc>
        <w:tc>
          <w:tcPr>
            <w:tcBorders>
              <w:top w:val="single" w:color="000000" w:sz="0" w:space="0"/>
              <w:bottom w:val="single" w:color="000000" w:sz="0" w:space="0"/>
              <w:right w:val="single" w:color="000000" w:sz="0" w:space="0"/>
            </w:tcBorders>
          </w:tcPr>
          <w:p w14:paraId="210D1654">
            <w:pPr>
              <w:spacing w:after="0" w:line="360" w:lineRule="auto"/>
            </w:pPr>
            <w:r>
              <w:rPr>
                <w:rFonts w:ascii="inter" w:hAnsi="inter" w:eastAsia="inter" w:cs="inter"/>
                <w:color w:val="000000"/>
                <w:sz w:val="17"/>
              </w:rPr>
              <w:t>Predictive filtering during visibility dropout windows</w:t>
            </w:r>
          </w:p>
        </w:tc>
        <w:tc>
          <w:tcPr>
            <w:tcBorders>
              <w:top w:val="single" w:color="000000" w:sz="0" w:space="0"/>
              <w:bottom w:val="single" w:color="000000" w:sz="0" w:space="0"/>
            </w:tcBorders>
          </w:tcPr>
          <w:p w14:paraId="3CB718A1">
            <w:pPr>
              <w:spacing w:after="0" w:line="360" w:lineRule="auto"/>
            </w:pPr>
            <w:r>
              <w:rPr>
                <w:rFonts w:ascii="inter" w:hAnsi="inter" w:eastAsia="inter" w:cs="inter"/>
                <w:color w:val="000000"/>
                <w:sz w:val="17"/>
              </w:rPr>
              <w:t>15-20% tracking continuity</w:t>
            </w:r>
          </w:p>
        </w:tc>
      </w:tr>
      <w:tr w14:paraId="2C4260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43662D1">
            <w:pPr>
              <w:spacing w:after="0" w:line="360" w:lineRule="auto"/>
            </w:pPr>
            <w:r>
              <w:rPr>
                <w:rFonts w:ascii="inter" w:hAnsi="inter" w:eastAsia="inter" w:cs="inter"/>
                <w:color w:val="000000"/>
                <w:sz w:val="17"/>
              </w:rPr>
              <w:t>Imbalanced shot distributions</w:t>
            </w:r>
          </w:p>
        </w:tc>
        <w:tc>
          <w:tcPr>
            <w:tcBorders>
              <w:top w:val="single" w:color="000000" w:sz="0" w:space="0"/>
              <w:bottom w:val="single" w:color="000000" w:sz="0" w:space="0"/>
              <w:right w:val="single" w:color="000000" w:sz="0" w:space="0"/>
            </w:tcBorders>
          </w:tcPr>
          <w:p w14:paraId="5A731252">
            <w:pPr>
              <w:spacing w:after="0" w:line="360" w:lineRule="auto"/>
            </w:pPr>
            <w:r>
              <w:rPr>
                <w:rFonts w:ascii="inter" w:hAnsi="inter" w:eastAsia="inter" w:cs="inter"/>
                <w:color w:val="000000"/>
                <w:sz w:val="17"/>
              </w:rPr>
              <w:t>Data augmentation (GAN synthesis) + weighted loss functions</w:t>
            </w:r>
          </w:p>
        </w:tc>
        <w:tc>
          <w:tcPr>
            <w:tcBorders>
              <w:top w:val="single" w:color="000000" w:sz="0" w:space="0"/>
              <w:bottom w:val="single" w:color="000000" w:sz="0" w:space="0"/>
            </w:tcBorders>
          </w:tcPr>
          <w:p w14:paraId="346880CE">
            <w:pPr>
              <w:spacing w:after="0" w:line="360" w:lineRule="auto"/>
            </w:pPr>
            <w:r>
              <w:rPr>
                <w:rFonts w:ascii="inter" w:hAnsi="inter" w:eastAsia="inter" w:cs="inter"/>
                <w:color w:val="000000"/>
                <w:sz w:val="17"/>
              </w:rPr>
              <w:t>5-8% balanced accuracy gain</w:t>
            </w:r>
          </w:p>
        </w:tc>
      </w:tr>
    </w:tbl>
    <w:p w14:paraId="290359AB"/>
    <w:p w14:paraId="5043CBEF">
      <w:pPr>
        <w:spacing w:before="315" w:after="105" w:line="360" w:lineRule="auto"/>
        <w:ind w:left="-30"/>
        <w:jc w:val="left"/>
      </w:pPr>
      <w:bookmarkStart w:id="61" w:name="bm_5_3_dataset_curation_strategy"/>
      <w:r>
        <w:rPr>
          <w:rFonts w:ascii="inter" w:hAnsi="inter" w:eastAsia="inter" w:cs="inter"/>
          <w:b/>
          <w:color w:val="000000"/>
          <w:sz w:val="24"/>
        </w:rPr>
        <w:t>5.3 Dataset Curation Strategy</w:t>
      </w:r>
      <w:bookmarkEnd w:id="61"/>
    </w:p>
    <w:p w14:paraId="0A9E3B27">
      <w:pPr>
        <w:spacing w:after="210" w:line="360" w:lineRule="auto"/>
      </w:pPr>
      <w:r>
        <w:rPr>
          <w:rFonts w:ascii="inter" w:hAnsi="inter" w:eastAsia="inter" w:cs="inter"/>
          <w:color w:val="000000"/>
        </w:rPr>
        <w:t>Current badminton action research suffers from private datasets limiting reproducibility. Proposed approach:</w:t>
      </w:r>
    </w:p>
    <w:p w14:paraId="0F3E25C9">
      <w:pPr>
        <w:numPr>
          <w:ilvl w:val="0"/>
          <w:numId w:val="18"/>
        </w:numPr>
        <w:spacing w:before="105" w:after="105" w:line="360" w:lineRule="auto"/>
      </w:pPr>
      <w:r>
        <w:rPr>
          <w:rFonts w:ascii="inter" w:hAnsi="inter" w:eastAsia="inter" w:cs="inter"/>
          <w:color w:val="000000"/>
          <w:sz w:val="21"/>
        </w:rPr>
        <w:t>Collect 200+ professional badminton singles matches (40+ hours video)</w:t>
      </w:r>
    </w:p>
    <w:p w14:paraId="2D5724E7">
      <w:pPr>
        <w:numPr>
          <w:ilvl w:val="0"/>
          <w:numId w:val="18"/>
        </w:numPr>
        <w:spacing w:before="105" w:after="105" w:line="360" w:lineRule="auto"/>
      </w:pPr>
      <w:r>
        <w:rPr>
          <w:rFonts w:ascii="inter" w:hAnsi="inter" w:eastAsia="inter" w:cs="inter"/>
          <w:color w:val="000000"/>
          <w:sz w:val="21"/>
        </w:rPr>
        <w:t>Annotate: shot type, court position, temporal boundaries, player ID, rally outcome</w:t>
      </w:r>
    </w:p>
    <w:p w14:paraId="30753196">
      <w:pPr>
        <w:numPr>
          <w:ilvl w:val="0"/>
          <w:numId w:val="18"/>
        </w:numPr>
        <w:spacing w:before="105" w:after="105" w:line="360" w:lineRule="auto"/>
      </w:pPr>
      <w:r>
        <w:rPr>
          <w:rFonts w:ascii="inter" w:hAnsi="inter" w:eastAsia="inter" w:cs="inter"/>
          <w:color w:val="000000"/>
          <w:sz w:val="21"/>
        </w:rPr>
        <w:t>Multi-view capture: court-side, end-line, overhead simultaneously for view-invariance research</w:t>
      </w:r>
    </w:p>
    <w:p w14:paraId="316AC103">
      <w:pPr>
        <w:numPr>
          <w:ilvl w:val="0"/>
          <w:numId w:val="18"/>
        </w:numPr>
        <w:spacing w:before="105" w:after="105" w:line="360" w:lineRule="auto"/>
      </w:pPr>
      <w:r>
        <w:rPr>
          <w:rFonts w:ascii="inter" w:hAnsi="inter" w:eastAsia="inter" w:cs="inter"/>
          <w:color w:val="000000"/>
          <w:sz w:val="21"/>
        </w:rPr>
        <w:t>Release as benchmark: BadmintonNet dataset with 100k annotated frames, 10k+ rally sequences</w:t>
      </w:r>
    </w:p>
    <w:p w14:paraId="3A495ABD">
      <w:pPr>
        <w:spacing w:before="315" w:after="105" w:line="360" w:lineRule="auto"/>
        <w:ind w:left="-30"/>
        <w:jc w:val="left"/>
      </w:pPr>
      <w:bookmarkStart w:id="62" w:name="bm_5_4_evaluation_strategy"/>
      <w:r>
        <w:rPr>
          <w:rFonts w:ascii="inter" w:hAnsi="inter" w:eastAsia="inter" w:cs="inter"/>
          <w:b/>
          <w:color w:val="000000"/>
          <w:sz w:val="24"/>
        </w:rPr>
        <w:t>5.4 Evaluation Strategy</w:t>
      </w:r>
      <w:bookmarkEnd w:id="62"/>
    </w:p>
    <w:p w14:paraId="46FE7081">
      <w:pPr>
        <w:spacing w:after="210" w:line="360" w:lineRule="auto"/>
      </w:pPr>
      <w:r>
        <w:rPr>
          <w:rFonts w:ascii="inter" w:hAnsi="inter" w:eastAsia="inter" w:cs="inter"/>
          <w:color w:val="000000"/>
        </w:rPr>
        <w:t>Propose comprehensive evaluation across four dimensions:</w:t>
      </w:r>
    </w:p>
    <w:p w14:paraId="2EC35B47">
      <w:pPr>
        <w:spacing w:after="210" w:line="360" w:lineRule="auto"/>
      </w:pPr>
      <w:r>
        <w:rPr>
          <w:rFonts w:ascii="inter" w:hAnsi="inter" w:eastAsia="inter" w:cs="inter"/>
          <w:b/>
          <w:color w:val="000000"/>
        </w:rPr>
        <w:t>Action Recognition</w:t>
      </w:r>
      <w:r>
        <w:rPr>
          <w:rFonts w:ascii="inter" w:hAnsi="inter" w:eastAsia="inter" w:cs="inter"/>
          <w:color w:val="000000"/>
        </w:rPr>
        <w:t>: Per-class F1 scores accounting for class imbalance; confusion matrices revealing difficult discrimination pairs (drop vs. clear)</w:t>
      </w:r>
    </w:p>
    <w:p w14:paraId="7B367B0F">
      <w:pPr>
        <w:spacing w:after="210" w:line="360" w:lineRule="auto"/>
      </w:pPr>
      <w:r>
        <w:rPr>
          <w:rFonts w:ascii="inter" w:hAnsi="inter" w:eastAsia="inter" w:cs="inter"/>
          <w:b/>
          <w:color w:val="000000"/>
        </w:rPr>
        <w:t>Tactical Analysis</w:t>
      </w:r>
      <w:r>
        <w:rPr>
          <w:rFonts w:ascii="inter" w:hAnsi="inter" w:eastAsia="inter" w:cs="inter"/>
          <w:color w:val="000000"/>
        </w:rPr>
        <w:t>: Rally-level metrics—correct offensive/defensive mode classification; tactical pattern matching against coach-annotated expected tactics</w:t>
      </w:r>
    </w:p>
    <w:p w14:paraId="483C1E01">
      <w:pPr>
        <w:spacing w:after="210" w:line="360" w:lineRule="auto"/>
      </w:pPr>
      <w:r>
        <w:rPr>
          <w:rFonts w:ascii="inter" w:hAnsi="inter" w:eastAsia="inter" w:cs="inter"/>
          <w:b/>
          <w:color w:val="000000"/>
        </w:rPr>
        <w:t>Action Prediction</w:t>
      </w:r>
      <w:r>
        <w:rPr>
          <w:rFonts w:ascii="inter" w:hAnsi="inter" w:eastAsia="inter" w:cs="inter"/>
          <w:color w:val="000000"/>
        </w:rPr>
        <w:t>: Top-k accuracy (k=1,3,5); calibration metrics (ECE: Expected Calibration Error); scenario-specific evaluation (new opponents, unfamiliar court conditions)</w:t>
      </w:r>
    </w:p>
    <w:p w14:paraId="6D3F6AB9">
      <w:pPr>
        <w:spacing w:after="210" w:line="360" w:lineRule="auto"/>
      </w:pPr>
      <w:r>
        <w:rPr>
          <w:rFonts w:ascii="inter" w:hAnsi="inter" w:eastAsia="inter" w:cs="inter"/>
          <w:b/>
          <w:color w:val="000000"/>
        </w:rPr>
        <w:t>End-to-End System</w:t>
      </w:r>
      <w:r>
        <w:rPr>
          <w:rFonts w:ascii="inter" w:hAnsi="inter" w:eastAsia="inter" w:cs="inter"/>
          <w:color w:val="000000"/>
        </w:rPr>
        <w:t>: User study with coaches assessing coaching intervention utility; comparison against baseline (no AI assistance)</w:t>
      </w:r>
    </w:p>
    <w:p w14:paraId="6852E605">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57B074A2">
      <w:pPr>
        <w:spacing w:before="315" w:after="105" w:line="360" w:lineRule="auto"/>
        <w:ind w:left="-30"/>
        <w:jc w:val="left"/>
      </w:pPr>
      <w:bookmarkStart w:id="63" w:name="bm_6_critical_limitations_and_fut_6e13fd"/>
      <w:r>
        <w:rPr>
          <w:rFonts w:ascii="inter" w:hAnsi="inter" w:eastAsia="inter" w:cs="inter"/>
          <w:b/>
          <w:color w:val="000000"/>
          <w:sz w:val="24"/>
        </w:rPr>
        <w:t>6. Critical Limitations and Future Research Directions</w:t>
      </w:r>
      <w:bookmarkEnd w:id="63"/>
    </w:p>
    <w:p w14:paraId="57A7EFEC">
      <w:pPr>
        <w:spacing w:before="315" w:after="105" w:line="360" w:lineRule="auto"/>
        <w:ind w:left="-30"/>
        <w:jc w:val="left"/>
      </w:pPr>
      <w:bookmarkStart w:id="64" w:name="bm_6_1_fundamental_limitations"/>
      <w:r>
        <w:rPr>
          <w:rFonts w:ascii="inter" w:hAnsi="inter" w:eastAsia="inter" w:cs="inter"/>
          <w:b/>
          <w:color w:val="000000"/>
          <w:sz w:val="24"/>
        </w:rPr>
        <w:t>6.1 Fundamental Limitations</w:t>
      </w:r>
      <w:bookmarkEnd w:id="64"/>
    </w:p>
    <w:p w14:paraId="59F2DCAB">
      <w:pPr>
        <w:numPr>
          <w:ilvl w:val="0"/>
          <w:numId w:val="19"/>
        </w:numPr>
        <w:spacing w:after="210" w:line="360" w:lineRule="auto"/>
      </w:pPr>
      <w:r>
        <w:rPr>
          <w:rFonts w:ascii="inter" w:hAnsi="inter" w:eastAsia="inter" w:cs="inter"/>
          <w:b/>
          <w:color w:val="000000"/>
          <w:sz w:val="21"/>
        </w:rPr>
        <w:t>Monocular Geometry Ambiguity</w:t>
      </w:r>
      <w:r>
        <w:rPr>
          <w:rFonts w:ascii="inter" w:hAnsi="inter" w:eastAsia="inter" w:cs="inter"/>
          <w:color w:val="000000"/>
          <w:sz w:val="21"/>
        </w:rPr>
        <w:t>: Court perspective reconstruction relies on corner calibration, introducing systematic errors. Multi-view calibration expensive; monocular depth estimation remains unreliable.</w:t>
      </w:r>
    </w:p>
    <w:p w14:paraId="7235815B">
      <w:pPr>
        <w:numPr>
          <w:ilvl w:val="0"/>
          <w:numId w:val="19"/>
        </w:numPr>
        <w:spacing w:after="210" w:line="360" w:lineRule="auto"/>
      </w:pPr>
      <w:r>
        <w:rPr>
          <w:rFonts w:ascii="inter" w:hAnsi="inter" w:eastAsia="inter" w:cs="inter"/>
          <w:b/>
          <w:color w:val="000000"/>
          <w:sz w:val="21"/>
        </w:rPr>
        <w:t>Incomplete Action Context</w:t>
      </w:r>
      <w:r>
        <w:rPr>
          <w:rFonts w:ascii="inter" w:hAnsi="inter" w:eastAsia="inter" w:cs="inter"/>
          <w:color w:val="000000"/>
          <w:sz w:val="21"/>
        </w:rPr>
        <w:t>: Video alone captures physical motion, not intention (why player chose this shot). Incorporating eye-gaze, historical opponent models, or coach audio could improve tactical interpretation.</w:t>
      </w:r>
    </w:p>
    <w:p w14:paraId="74F34A61">
      <w:pPr>
        <w:numPr>
          <w:ilvl w:val="0"/>
          <w:numId w:val="19"/>
        </w:numPr>
        <w:spacing w:after="210" w:line="360" w:lineRule="auto"/>
      </w:pPr>
      <w:r>
        <w:rPr>
          <w:rFonts w:ascii="inter" w:hAnsi="inter" w:eastAsia="inter" w:cs="inter"/>
          <w:b/>
          <w:color w:val="000000"/>
          <w:sz w:val="21"/>
        </w:rPr>
        <w:t>Dataset Scarcity</w:t>
      </w:r>
      <w:r>
        <w:rPr>
          <w:rFonts w:ascii="inter" w:hAnsi="inter" w:eastAsia="inter" w:cs="inter"/>
          <w:color w:val="000000"/>
          <w:sz w:val="21"/>
        </w:rPr>
        <w:t>: Unlike general action recognition (Kinetics 400k videos), badminton datasets contain &lt;10k annotated rallies. Transfer learning from generic sports partially mitigates but fundamental domain gap remains.</w:t>
      </w:r>
    </w:p>
    <w:p w14:paraId="7DF3A84E">
      <w:pPr>
        <w:numPr>
          <w:ilvl w:val="0"/>
          <w:numId w:val="19"/>
        </w:numPr>
        <w:spacing w:after="210" w:line="360" w:lineRule="auto"/>
      </w:pPr>
      <w:r>
        <w:rPr>
          <w:rFonts w:ascii="inter" w:hAnsi="inter" w:eastAsia="inter" w:cs="inter"/>
          <w:b/>
          <w:color w:val="000000"/>
          <w:sz w:val="21"/>
        </w:rPr>
        <w:t>Generalization Across Skill Levels</w:t>
      </w:r>
      <w:r>
        <w:rPr>
          <w:rFonts w:ascii="inter" w:hAnsi="inter" w:eastAsia="inter" w:cs="inter"/>
          <w:color w:val="000000"/>
          <w:sz w:val="21"/>
        </w:rPr>
        <w:t>: Professional players exhibit consistent, high-velocity actions. Amateur/intermediate players exhibit greater kinematic variability, causing model performance degradation. Current models trained exclusively on professional footage.</w:t>
      </w:r>
    </w:p>
    <w:p w14:paraId="65447AA0">
      <w:pPr>
        <w:numPr>
          <w:ilvl w:val="0"/>
          <w:numId w:val="19"/>
        </w:numPr>
        <w:spacing w:after="210" w:line="360" w:lineRule="auto"/>
      </w:pPr>
      <w:r>
        <w:rPr>
          <w:rFonts w:ascii="inter" w:hAnsi="inter" w:eastAsia="inter" w:cs="inter"/>
          <w:b/>
          <w:color w:val="000000"/>
          <w:sz w:val="21"/>
        </w:rPr>
        <w:t>Real-Time Processing Trade-off</w:t>
      </w:r>
      <w:r>
        <w:rPr>
          <w:rFonts w:ascii="inter" w:hAnsi="inter" w:eastAsia="inter" w:cs="inter"/>
          <w:color w:val="000000"/>
          <w:sz w:val="21"/>
        </w:rPr>
        <w:t>: Latency constraints (&lt;&lt;100ms) necessitate model simplification, reducing accuracy 5-15% versus offline analysis.</w:t>
      </w:r>
    </w:p>
    <w:p w14:paraId="605694B1">
      <w:pPr>
        <w:spacing w:before="315" w:after="105" w:line="360" w:lineRule="auto"/>
        <w:ind w:left="-30"/>
        <w:jc w:val="left"/>
      </w:pPr>
      <w:bookmarkStart w:id="65" w:name="bm_6_2_recommended_future_research"/>
      <w:r>
        <w:rPr>
          <w:rFonts w:ascii="inter" w:hAnsi="inter" w:eastAsia="inter" w:cs="inter"/>
          <w:b/>
          <w:color w:val="000000"/>
          <w:sz w:val="24"/>
        </w:rPr>
        <w:t>6.2 Recommended Future Research</w:t>
      </w:r>
      <w:bookmarkEnd w:id="65"/>
    </w:p>
    <w:p w14:paraId="3447E217">
      <w:pPr>
        <w:numPr>
          <w:ilvl w:val="0"/>
          <w:numId w:val="20"/>
        </w:numPr>
        <w:spacing w:after="210" w:line="360" w:lineRule="auto"/>
      </w:pPr>
      <w:r>
        <w:rPr>
          <w:rFonts w:ascii="inter" w:hAnsi="inter" w:eastAsia="inter" w:cs="inter"/>
          <w:b/>
          <w:color w:val="000000"/>
          <w:sz w:val="21"/>
        </w:rPr>
        <w:t>Multi-Modal Fusion</w:t>
      </w:r>
      <w:r>
        <w:rPr>
          <w:rFonts w:ascii="inter" w:hAnsi="inter" w:eastAsia="inter" w:cs="inter"/>
          <w:color w:val="000000"/>
          <w:sz w:val="21"/>
        </w:rPr>
        <w:t>: Integrate IMU data from racket-mounted sensors (accelerometer, gyroscope) with vision, improving shot classification to 95%+ accuracy. Sensor fusion also enables equipment-agnostic analysis.</w:t>
      </w:r>
    </w:p>
    <w:p w14:paraId="254B4829">
      <w:pPr>
        <w:numPr>
          <w:ilvl w:val="0"/>
          <w:numId w:val="20"/>
        </w:numPr>
        <w:spacing w:after="210" w:line="360" w:lineRule="auto"/>
      </w:pPr>
      <w:r>
        <w:rPr>
          <w:rFonts w:ascii="inter" w:hAnsi="inter" w:eastAsia="inter" w:cs="inter"/>
          <w:b/>
          <w:color w:val="000000"/>
          <w:sz w:val="21"/>
        </w:rPr>
        <w:t>Causal Inference</w:t>
      </w:r>
      <w:r>
        <w:rPr>
          <w:rFonts w:ascii="inter" w:hAnsi="inter" w:eastAsia="inter" w:cs="inter"/>
          <w:color w:val="000000"/>
          <w:sz w:val="21"/>
        </w:rPr>
        <w:t>: Move beyond correlative pattern recognition toward causal models identifying which tactical choices directly influence rally outcomes. Potential methods: causal inference trees, instrumental variables.</w:t>
      </w:r>
    </w:p>
    <w:p w14:paraId="1D7A4085">
      <w:pPr>
        <w:numPr>
          <w:ilvl w:val="0"/>
          <w:numId w:val="20"/>
        </w:numPr>
        <w:spacing w:after="210" w:line="360" w:lineRule="auto"/>
      </w:pPr>
      <w:r>
        <w:rPr>
          <w:rFonts w:ascii="inter" w:hAnsi="inter" w:eastAsia="inter" w:cs="inter"/>
          <w:b/>
          <w:color w:val="000000"/>
          <w:sz w:val="21"/>
        </w:rPr>
        <w:t>Explainability via Game Theory</w:t>
      </w:r>
      <w:r>
        <w:rPr>
          <w:rFonts w:ascii="inter" w:hAnsi="inter" w:eastAsia="inter" w:cs="inter"/>
          <w:color w:val="000000"/>
          <w:sz w:val="21"/>
        </w:rPr>
        <w:t>: Apply SHAP analysis (ShuttleSHAP framework) to interpret why models prefer specific shots, enabling validation against domain expert knowledge.</w:t>
      </w:r>
    </w:p>
    <w:p w14:paraId="54D58992">
      <w:pPr>
        <w:numPr>
          <w:ilvl w:val="0"/>
          <w:numId w:val="20"/>
        </w:numPr>
        <w:spacing w:after="210" w:line="360" w:lineRule="auto"/>
      </w:pPr>
      <w:r>
        <w:rPr>
          <w:rFonts w:ascii="inter" w:hAnsi="inter" w:eastAsia="inter" w:cs="inter"/>
          <w:b/>
          <w:color w:val="000000"/>
          <w:sz w:val="21"/>
        </w:rPr>
        <w:t>Opponent Modeling</w:t>
      </w:r>
      <w:r>
        <w:rPr>
          <w:rFonts w:ascii="inter" w:hAnsi="inter" w:eastAsia="inter" w:cs="inter"/>
          <w:color w:val="000000"/>
          <w:sz w:val="21"/>
        </w:rPr>
        <w:t>: Develop separate encoder for opponent action history; condition predictions on this history to capture adaptive tactics. Bayesian filtering framework tracks opponent model uncertainty.</w:t>
      </w:r>
    </w:p>
    <w:p w14:paraId="19B33FC2">
      <w:pPr>
        <w:numPr>
          <w:ilvl w:val="0"/>
          <w:numId w:val="20"/>
        </w:numPr>
        <w:spacing w:after="210" w:line="360" w:lineRule="auto"/>
      </w:pPr>
      <w:r>
        <w:rPr>
          <w:rFonts w:ascii="inter" w:hAnsi="inter" w:eastAsia="inter" w:cs="inter"/>
          <w:b/>
          <w:color w:val="000000"/>
          <w:sz w:val="21"/>
        </w:rPr>
        <w:t>Continuous Action Recognition</w:t>
      </w:r>
      <w:r>
        <w:rPr>
          <w:rFonts w:ascii="inter" w:hAnsi="inter" w:eastAsia="inter" w:cs="inter"/>
          <w:color w:val="000000"/>
          <w:sz w:val="21"/>
        </w:rPr>
        <w:t>: Current work assumes discrete shot types. Investigate continuous representation learning (e.g., action embeddings in learned latent space) capturing shot execution quality and subtle variations.</w:t>
      </w:r>
    </w:p>
    <w:p w14:paraId="7C01B2C0">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9C74BBE">
      <w:pPr>
        <w:spacing w:before="315" w:after="105" w:line="360" w:lineRule="auto"/>
        <w:ind w:left="-30"/>
        <w:jc w:val="left"/>
      </w:pPr>
      <w:bookmarkStart w:id="66" w:name="conclusion"/>
      <w:r>
        <w:rPr>
          <w:rFonts w:ascii="inter" w:hAnsi="inter" w:eastAsia="inter" w:cs="inter"/>
          <w:b/>
          <w:color w:val="000000"/>
          <w:sz w:val="24"/>
        </w:rPr>
        <w:t>Conclusion</w:t>
      </w:r>
      <w:bookmarkEnd w:id="66"/>
    </w:p>
    <w:p w14:paraId="3CFBB6A1">
      <w:pPr>
        <w:spacing w:after="210" w:line="360" w:lineRule="auto"/>
      </w:pPr>
      <w:r>
        <w:rPr>
          <w:rFonts w:ascii="inter" w:hAnsi="inter" w:eastAsia="inter" w:cs="inter"/>
          <w:color w:val="000000"/>
        </w:rPr>
        <w:t>Singles badminton player action analysis through sports video analysis integrates four technically sophisticated and largely independent computer vision domains: object detection/tracking, pose estimation, action recognition, and sequence prediction. Each domain presents sport-specific challenges—rapid motion blur, occlusion, subtle motion discrimination, and multi-modal outcome distributions—that generic computer vision approaches inadequately address.</w:t>
      </w:r>
    </w:p>
    <w:p w14:paraId="1DE76A9E">
      <w:pPr>
        <w:spacing w:after="210" w:line="360" w:lineRule="auto"/>
      </w:pPr>
      <w:r>
        <w:rPr>
          <w:rFonts w:ascii="inter" w:hAnsi="inter" w:eastAsia="inter" w:cs="inter"/>
          <w:color w:val="000000"/>
        </w:rPr>
        <w:t>This report proposes a cohesive framework integrating state-of-the-art methods (YOLOv8, HRNet, ST-GCN, transformer-based prediction) with careful attention to badminton-specific requirements. Critical gaps remain: monocular geometry limitations, dataset scarcity, and poor cross-domain generalization represent fundamental research frontiers. However, integration of specialized components (TrackNet for shuttle tracking, CF-VAE for multi-modal prediction, context-aware architectures for tactical reasoning) demonstrates that purpose-built systems substantially outperform naive application of general-purpose methods.</w:t>
      </w:r>
    </w:p>
    <w:p w14:paraId="17C052FC">
      <w:pPr>
        <w:spacing w:after="210" w:line="360" w:lineRule="auto"/>
      </w:pPr>
      <w:r>
        <w:rPr>
          <w:rFonts w:ascii="inter" w:hAnsi="inter" w:eastAsia="inter" w:cs="inter"/>
          <w:color w:val="000000"/>
        </w:rPr>
        <w:t>Successful deployment requires not only technical innovation but also close collaboration with domain experts (professional coaches, players) to validate that computational predictions align with tactical intuition. Future work emphasizing interpretability, multi-modal sensing, and causal reasoning promises to elevate computational badminton analysis from accuracy metrics toward genuine strategic utility for player development.</w:t>
      </w:r>
    </w:p>
    <w:p w14:paraId="62B8920B">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F86DF49">
      <w:pPr>
        <w:spacing w:before="315" w:after="105" w:line="360" w:lineRule="auto"/>
        <w:ind w:left="-30"/>
        <w:jc w:val="left"/>
      </w:pPr>
      <w:bookmarkStart w:id="67" w:name="references"/>
      <w:r>
        <w:rPr>
          <w:rFonts w:ascii="inter" w:hAnsi="inter" w:eastAsia="inter" w:cs="inter"/>
          <w:b/>
          <w:color w:val="000000"/>
          <w:sz w:val="24"/>
        </w:rPr>
        <w:t>References</w:t>
      </w:r>
      <w:bookmarkEnd w:id="67"/>
    </w:p>
    <w:p w14:paraId="40309AE9">
      <w:pPr>
        <w:spacing w:after="210" w:line="360" w:lineRule="auto"/>
      </w:pPr>
      <w:r>
        <w:rPr>
          <w:rFonts w:ascii="inter" w:hAnsi="inter" w:eastAsia="inter" w:cs="inter"/>
          <w:color w:val="000000"/>
        </w:rPr>
        <w:t xml:space="preserve">LinkedIn (2025). Object Detection in Sports using YOLOv8. </w:t>
      </w:r>
      <w:r>
        <w:fldChar w:fldCharType="begin"/>
      </w:r>
      <w:r>
        <w:instrText xml:space="preserve"> HYPERLINK "https://www.linkedin.com/posts/mohamed-ahshik-510134159/" \h </w:instrText>
      </w:r>
      <w:r>
        <w:fldChar w:fldCharType="separate"/>
      </w:r>
      <w:r>
        <w:rPr>
          <w:rFonts w:ascii="inter" w:hAnsi="inter" w:eastAsia="inter" w:cs="inter"/>
          <w:color w:val="000000"/>
          <w:u w:val="single"/>
        </w:rPr>
        <w:t>https://www.linkedin.com/posts/mohamed-ahshik-510134159/</w:t>
      </w:r>
      <w:r>
        <w:rPr>
          <w:rFonts w:ascii="inter" w:hAnsi="inter" w:eastAsia="inter" w:cs="inter"/>
          <w:color w:val="000000"/>
          <w:u w:val="single"/>
        </w:rPr>
        <w:fldChar w:fldCharType="end"/>
      </w:r>
      <w:bookmarkStart w:id="68" w:name="fnref1_1"/>
      <w:bookmarkEnd w:id="6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D8BEECC">
      <w:pPr>
        <w:spacing w:after="210" w:line="360" w:lineRule="auto"/>
      </w:pPr>
      <w:r>
        <w:rPr>
          <w:rFonts w:ascii="inter" w:hAnsi="inter" w:eastAsia="inter" w:cs="inter"/>
          <w:color w:val="000000"/>
        </w:rPr>
        <w:t xml:space="preserve">arXiv (2024). Deep HM-SORT: Enhancing Multi-Object Tracking in Sports. </w:t>
      </w:r>
      <w:r>
        <w:fldChar w:fldCharType="begin"/>
      </w:r>
      <w:r>
        <w:instrText xml:space="preserve"> HYPERLINK "https://arxiv.org/html/2406.12081v1" \h </w:instrText>
      </w:r>
      <w:r>
        <w:fldChar w:fldCharType="separate"/>
      </w:r>
      <w:r>
        <w:rPr>
          <w:rFonts w:ascii="inter" w:hAnsi="inter" w:eastAsia="inter" w:cs="inter"/>
          <w:color w:val="000000"/>
          <w:u w:val="single"/>
        </w:rPr>
        <w:t>https://arxiv.org/html/2406.12081v1</w:t>
      </w:r>
      <w:r>
        <w:rPr>
          <w:rFonts w:ascii="inter" w:hAnsi="inter" w:eastAsia="inter" w:cs="inter"/>
          <w:color w:val="000000"/>
          <w:u w:val="single"/>
        </w:rPr>
        <w:fldChar w:fldCharType="end"/>
      </w:r>
      <w:bookmarkStart w:id="69" w:name="fnref7_1"/>
      <w:bookmarkEnd w:id="6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C613702">
      <w:pPr>
        <w:spacing w:after="210" w:line="360" w:lineRule="auto"/>
      </w:pPr>
      <w:r>
        <w:rPr>
          <w:rFonts w:ascii="inter" w:hAnsi="inter" w:eastAsia="inter" w:cs="inter"/>
          <w:color w:val="000000"/>
        </w:rPr>
        <w:t xml:space="preserve">ECCV (2022). MOTR: End-to-End Multiple-Object Tracking with Transformer. </w:t>
      </w:r>
      <w:r>
        <w:fldChar w:fldCharType="begin"/>
      </w:r>
      <w:r>
        <w:instrText xml:space="preserve"> HYPERLINK "https://www.ecva.net/papers/eccv_2022/papers_ECCV/papers/136870648.pdf" \h </w:instrText>
      </w:r>
      <w:r>
        <w:fldChar w:fldCharType="separate"/>
      </w:r>
      <w:r>
        <w:rPr>
          <w:rFonts w:ascii="inter" w:hAnsi="inter" w:eastAsia="inter" w:cs="inter"/>
          <w:color w:val="000000"/>
          <w:u w:val="single"/>
        </w:rPr>
        <w:t>https://www.ecva.net/papers/eccv_2022/papers_ECCV/papers/136870648.pdf</w:t>
      </w:r>
      <w:r>
        <w:rPr>
          <w:rFonts w:ascii="inter" w:hAnsi="inter" w:eastAsia="inter" w:cs="inter"/>
          <w:color w:val="000000"/>
          <w:u w:val="single"/>
        </w:rPr>
        <w:fldChar w:fldCharType="end"/>
      </w:r>
      <w:bookmarkStart w:id="70" w:name="fnref9_1"/>
      <w:bookmarkEnd w:id="7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2B1120DC">
      <w:pPr>
        <w:spacing w:after="210" w:line="360" w:lineRule="auto"/>
      </w:pPr>
      <w:r>
        <w:rPr>
          <w:rFonts w:ascii="inter" w:hAnsi="inter" w:eastAsia="inter" w:cs="inter"/>
          <w:color w:val="000000"/>
        </w:rPr>
        <w:t xml:space="preserve">Ultralytics (2025). Tracking Moving Objects in Videos with YOLO Models. </w:t>
      </w:r>
      <w:r>
        <w:fldChar w:fldCharType="begin"/>
      </w:r>
      <w:r>
        <w:instrText xml:space="preserve"> HYPERLINK "https://www.ultralytics.com/blog/a-guide-on-tracking-moving-objects-in-videos-with-ultralytics-yolo-models" \h </w:instrText>
      </w:r>
      <w:r>
        <w:fldChar w:fldCharType="separate"/>
      </w:r>
      <w:r>
        <w:rPr>
          <w:rFonts w:ascii="inter" w:hAnsi="inter" w:eastAsia="inter" w:cs="inter"/>
          <w:color w:val="000000"/>
          <w:u w:val="single"/>
        </w:rPr>
        <w:t>https://www.ultralytics.com/blog/a-guide-on-tracking-moving-objects-in-videos-with-ultralytics-yolo-models</w:t>
      </w:r>
      <w:r>
        <w:rPr>
          <w:rFonts w:ascii="inter" w:hAnsi="inter" w:eastAsia="inter" w:cs="inter"/>
          <w:color w:val="000000"/>
          <w:u w:val="single"/>
        </w:rPr>
        <w:fldChar w:fldCharType="end"/>
      </w:r>
      <w:bookmarkStart w:id="71" w:name="fnref8_1"/>
      <w:bookmarkEnd w:id="7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124CB4BA">
      <w:pPr>
        <w:spacing w:after="210" w:line="360" w:lineRule="auto"/>
      </w:pPr>
      <w:r>
        <w:rPr>
          <w:rFonts w:ascii="inter" w:hAnsi="inter" w:eastAsia="inter" w:cs="inter"/>
          <w:color w:val="000000"/>
        </w:rPr>
        <w:t xml:space="preserve">MATLAB &amp; Simulink. Multi-Object Tracking with DeepSORT. </w:t>
      </w:r>
      <w:r>
        <w:fldChar w:fldCharType="begin"/>
      </w:r>
      <w:r>
        <w:instrText xml:space="preserve"> HYPERLINK "https://www.mathworks.com/help/fusion/ug/multi-object-tracking-with-deepsort.html" \h </w:instrText>
      </w:r>
      <w:r>
        <w:fldChar w:fldCharType="separate"/>
      </w:r>
      <w:r>
        <w:rPr>
          <w:rFonts w:ascii="inter" w:hAnsi="inter" w:eastAsia="inter" w:cs="inter"/>
          <w:color w:val="000000"/>
          <w:u w:val="single"/>
        </w:rPr>
        <w:t>https://www.mathworks.com/help/fusion/ug/multi-object-tracking-with-deepsort.html</w:t>
      </w:r>
      <w:r>
        <w:rPr>
          <w:rFonts w:ascii="inter" w:hAnsi="inter" w:eastAsia="inter" w:cs="inter"/>
          <w:color w:val="000000"/>
          <w:u w:val="single"/>
        </w:rPr>
        <w:fldChar w:fldCharType="end"/>
      </w:r>
      <w:bookmarkStart w:id="72" w:name="fnref5_1"/>
      <w:bookmarkEnd w:id="7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E13B71E">
      <w:pPr>
        <w:spacing w:after="210" w:line="360" w:lineRule="auto"/>
      </w:pPr>
      <w:r>
        <w:rPr>
          <w:rFonts w:ascii="inter" w:hAnsi="inter" w:eastAsia="inter" w:cs="inter"/>
          <w:color w:val="000000"/>
        </w:rPr>
        <w:t xml:space="preserve">CVPR (2022). TrackFormer: Multi-Object Tracking With Transformers. </w:t>
      </w:r>
      <w:r>
        <w:fldChar w:fldCharType="begin"/>
      </w:r>
      <w:r>
        <w:instrText xml:space="preserve"> HYPERLINK "https://openaccess.thecvf.com/content/CVPR2022/papers/Meinhardt_TrackFormer_Multi-Object_Tracking_With_Transformers_CVPR_2022_pa" \h </w:instrText>
      </w:r>
      <w:r>
        <w:fldChar w:fldCharType="separate"/>
      </w:r>
      <w:r>
        <w:rPr>
          <w:rFonts w:ascii="inter" w:hAnsi="inter" w:eastAsia="inter" w:cs="inter"/>
          <w:color w:val="000000"/>
          <w:u w:val="single"/>
        </w:rPr>
        <w:t>https://openaccess.thecvf.com/content/CVPR2022/papers/Meinhardt_TrackFormer_Multi-Object_Tracking_With_Transformers_CVPR_2022_pa</w:t>
      </w:r>
      <w:r>
        <w:rPr>
          <w:rFonts w:ascii="inter" w:hAnsi="inter" w:eastAsia="inter" w:cs="inter"/>
          <w:color w:val="000000"/>
          <w:u w:val="single"/>
        </w:rPr>
        <w:fldChar w:fldCharType="end"/>
      </w:r>
      <w:bookmarkStart w:id="73" w:name="fnref10_1"/>
      <w:bookmarkEnd w:id="7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1FAF444">
      <w:pPr>
        <w:spacing w:after="210" w:line="360" w:lineRule="auto"/>
      </w:pPr>
      <w:r>
        <w:rPr>
          <w:rFonts w:ascii="inter" w:hAnsi="inter" w:eastAsia="inter" w:cs="inter"/>
          <w:color w:val="000000"/>
        </w:rPr>
        <w:t xml:space="preserve">LearnOpenCV (2022). Understanding Multiple Object Tracking using DeepSORT. </w:t>
      </w:r>
      <w:r>
        <w:fldChar w:fldCharType="begin"/>
      </w:r>
      <w:r>
        <w:instrText xml:space="preserve"> HYPERLINK "https://learnopencv.com/understanding-multiple-object-tracking-using-deepsort/" \h </w:instrText>
      </w:r>
      <w:r>
        <w:fldChar w:fldCharType="separate"/>
      </w:r>
      <w:r>
        <w:rPr>
          <w:rFonts w:ascii="inter" w:hAnsi="inter" w:eastAsia="inter" w:cs="inter"/>
          <w:color w:val="000000"/>
          <w:u w:val="single"/>
        </w:rPr>
        <w:t>https://learnopencv.com/understanding-multiple-object-tracking-using-deepsort/</w:t>
      </w:r>
      <w:r>
        <w:rPr>
          <w:rFonts w:ascii="inter" w:hAnsi="inter" w:eastAsia="inter" w:cs="inter"/>
          <w:color w:val="000000"/>
          <w:u w:val="single"/>
        </w:rPr>
        <w:fldChar w:fldCharType="end"/>
      </w:r>
      <w:bookmarkStart w:id="74" w:name="fnref6_1"/>
      <w:bookmarkEnd w:id="7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56B2D34A">
      <w:pPr>
        <w:spacing w:after="210" w:line="360" w:lineRule="auto"/>
      </w:pPr>
      <w:r>
        <w:rPr>
          <w:rFonts w:ascii="inter" w:hAnsi="inter" w:eastAsia="inter" w:cs="inter"/>
          <w:color w:val="000000"/>
        </w:rPr>
        <w:t xml:space="preserve">CEUR (2024). Ball and Player Detection in Futsal Videos Using YOLOv8. </w:t>
      </w:r>
      <w:r>
        <w:fldChar w:fldCharType="begin"/>
      </w:r>
      <w:r>
        <w:instrText xml:space="preserve"> HYPERLINK "https://ceur-ws.org/Vol-3885/paper28.pdf" \h </w:instrText>
      </w:r>
      <w:r>
        <w:fldChar w:fldCharType="separate"/>
      </w:r>
      <w:r>
        <w:rPr>
          <w:rFonts w:ascii="inter" w:hAnsi="inter" w:eastAsia="inter" w:cs="inter"/>
          <w:color w:val="000000"/>
          <w:u w:val="single"/>
        </w:rPr>
        <w:t>https://ceur-ws.org/Vol-3885/paper28.pdf</w:t>
      </w:r>
      <w:r>
        <w:rPr>
          <w:rFonts w:ascii="inter" w:hAnsi="inter" w:eastAsia="inter" w:cs="inter"/>
          <w:color w:val="000000"/>
          <w:u w:val="single"/>
        </w:rPr>
        <w:fldChar w:fldCharType="end"/>
      </w:r>
      <w:bookmarkStart w:id="75" w:name="fnref2_1"/>
      <w:bookmarkEnd w:id="7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98842FB">
      <w:pPr>
        <w:spacing w:after="210" w:line="360" w:lineRule="auto"/>
      </w:pPr>
      <w:r>
        <w:rPr>
          <w:rFonts w:ascii="inter" w:hAnsi="inter" w:eastAsia="inter" w:cs="inter"/>
          <w:color w:val="000000"/>
        </w:rPr>
        <w:t xml:space="preserve">MOT Challenge. MOT17 Leaderboard. </w:t>
      </w:r>
      <w:r>
        <w:fldChar w:fldCharType="begin"/>
      </w:r>
      <w:r>
        <w:instrText xml:space="preserve"> HYPERLINK "https://motchallenge.net/method/MOT=5675&amp;chl=10" \h </w:instrText>
      </w:r>
      <w:r>
        <w:fldChar w:fldCharType="separate"/>
      </w:r>
      <w:r>
        <w:rPr>
          <w:rFonts w:ascii="inter" w:hAnsi="inter" w:eastAsia="inter" w:cs="inter"/>
          <w:color w:val="000000"/>
          <w:u w:val="single"/>
        </w:rPr>
        <w:t>https://motchallenge.net/method/MOT=5675&amp;chl=10</w:t>
      </w:r>
      <w:r>
        <w:rPr>
          <w:rFonts w:ascii="inter" w:hAnsi="inter" w:eastAsia="inter" w:cs="inter"/>
          <w:color w:val="000000"/>
          <w:u w:val="single"/>
        </w:rPr>
        <w:fldChar w:fldCharType="end"/>
      </w:r>
      <w:bookmarkStart w:id="76" w:name="fnref11_1"/>
      <w:bookmarkEnd w:id="76"/>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6A4B1EC2">
      <w:pPr>
        <w:spacing w:after="210" w:line="360" w:lineRule="auto"/>
      </w:pPr>
      <w:r>
        <w:rPr>
          <w:rFonts w:ascii="inter" w:hAnsi="inter" w:eastAsia="inter" w:cs="inter"/>
          <w:color w:val="000000"/>
        </w:rPr>
        <w:t xml:space="preserve">HR Publisher (2024). Action Recognition and Sports Evaluation of Running Pose Based on HRNet. </w:t>
      </w:r>
      <w:r>
        <w:fldChar w:fldCharType="begin"/>
      </w:r>
      <w:r>
        <w:instrText xml:space="preserve"> HYPERLINK "https://www.hrpub.org/download/20240130/SAJ18-19935314.pdf" \h </w:instrText>
      </w:r>
      <w:r>
        <w:fldChar w:fldCharType="separate"/>
      </w:r>
      <w:r>
        <w:rPr>
          <w:rFonts w:ascii="inter" w:hAnsi="inter" w:eastAsia="inter" w:cs="inter"/>
          <w:color w:val="000000"/>
          <w:u w:val="single"/>
        </w:rPr>
        <w:t>https://www.hrpub.org/download/20240130/SAJ18-19935314.pdf</w:t>
      </w:r>
      <w:r>
        <w:rPr>
          <w:rFonts w:ascii="inter" w:hAnsi="inter" w:eastAsia="inter" w:cs="inter"/>
          <w:color w:val="000000"/>
          <w:u w:val="single"/>
        </w:rPr>
        <w:fldChar w:fldCharType="end"/>
      </w:r>
      <w:bookmarkStart w:id="77" w:name="fnref14_1"/>
      <w:bookmarkEnd w:id="77"/>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285BD946">
      <w:pPr>
        <w:spacing w:after="210" w:line="360" w:lineRule="auto"/>
      </w:pPr>
      <w:r>
        <w:rPr>
          <w:rFonts w:ascii="inter" w:hAnsi="inter" w:eastAsia="inter" w:cs="inter"/>
          <w:color w:val="000000"/>
        </w:rPr>
        <w:t xml:space="preserve">ACM Digital Library (2018). Spatial Temporal Graph Convolutional Networks for Skeleton-Based Action Recognition. </w:t>
      </w:r>
      <w:r>
        <w:fldChar w:fldCharType="begin"/>
      </w:r>
      <w:r>
        <w:instrText xml:space="preserve"> HYPERLINK "https://dl.acm.org/doi/10.5555/3504035.3504947" \h </w:instrText>
      </w:r>
      <w:r>
        <w:fldChar w:fldCharType="separate"/>
      </w:r>
      <w:r>
        <w:rPr>
          <w:rFonts w:ascii="inter" w:hAnsi="inter" w:eastAsia="inter" w:cs="inter"/>
          <w:color w:val="000000"/>
          <w:u w:val="single"/>
        </w:rPr>
        <w:t>https://dl.acm.org/doi/10.5555/3504035.3504947</w:t>
      </w:r>
      <w:r>
        <w:rPr>
          <w:rFonts w:ascii="inter" w:hAnsi="inter" w:eastAsia="inter" w:cs="inter"/>
          <w:color w:val="000000"/>
          <w:u w:val="single"/>
        </w:rPr>
        <w:fldChar w:fldCharType="end"/>
      </w:r>
      <w:bookmarkStart w:id="78" w:name="fnref16_1"/>
      <w:bookmarkEnd w:id="78"/>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73C687D3">
      <w:pPr>
        <w:spacing w:after="210" w:line="360" w:lineRule="auto"/>
      </w:pPr>
      <w:r>
        <w:rPr>
          <w:rFonts w:ascii="inter" w:hAnsi="inter" w:eastAsia="inter" w:cs="inter"/>
          <w:color w:val="000000"/>
        </w:rPr>
        <w:t xml:space="preserve">SCITEPRESS (2025). TAL4Tennis: Temporal Action Localization in Tennis Videos. </w:t>
      </w:r>
      <w:r>
        <w:fldChar w:fldCharType="begin"/>
      </w:r>
      <w:r>
        <w:instrText xml:space="preserve"> HYPERLINK "https://www.scitepress.org/Papers/2025/131689/131689.pdf" \h </w:instrText>
      </w:r>
      <w:r>
        <w:fldChar w:fldCharType="separate"/>
      </w:r>
      <w:r>
        <w:rPr>
          <w:rFonts w:ascii="inter" w:hAnsi="inter" w:eastAsia="inter" w:cs="inter"/>
          <w:color w:val="000000"/>
          <w:u w:val="single"/>
        </w:rPr>
        <w:t>https://www.scitepress.org/Papers/2025/131689/131689.pdf</w:t>
      </w:r>
      <w:r>
        <w:rPr>
          <w:rFonts w:ascii="inter" w:hAnsi="inter" w:eastAsia="inter" w:cs="inter"/>
          <w:color w:val="000000"/>
          <w:u w:val="single"/>
        </w:rPr>
        <w:fldChar w:fldCharType="end"/>
      </w:r>
      <w:bookmarkStart w:id="79" w:name="fnref15_1"/>
      <w:bookmarkEnd w:id="79"/>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731D50B9">
      <w:pPr>
        <w:spacing w:after="210" w:line="360" w:lineRule="auto"/>
      </w:pPr>
      <w:r>
        <w:rPr>
          <w:rFonts w:ascii="inter" w:hAnsi="inter" w:eastAsia="inter" w:cs="inter"/>
          <w:color w:val="000000"/>
        </w:rPr>
        <w:t xml:space="preserve">arXiv (2018). Spatial Temporal Graph Convolutional Networks for Skeleton-Based Action Recognition. </w:t>
      </w:r>
      <w:r>
        <w:fldChar w:fldCharType="begin"/>
      </w:r>
      <w:r>
        <w:instrText xml:space="preserve"> HYPERLINK "https://arxiv.org/abs/1801.07455" \h </w:instrText>
      </w:r>
      <w:r>
        <w:fldChar w:fldCharType="separate"/>
      </w:r>
      <w:r>
        <w:rPr>
          <w:rFonts w:ascii="inter" w:hAnsi="inter" w:eastAsia="inter" w:cs="inter"/>
          <w:color w:val="000000"/>
          <w:u w:val="single"/>
        </w:rPr>
        <w:t>https://arxiv.org/abs/1801.07455</w:t>
      </w:r>
      <w:r>
        <w:rPr>
          <w:rFonts w:ascii="inter" w:hAnsi="inter" w:eastAsia="inter" w:cs="inter"/>
          <w:color w:val="000000"/>
          <w:u w:val="single"/>
        </w:rPr>
        <w:fldChar w:fldCharType="end"/>
      </w:r>
      <w:bookmarkStart w:id="80" w:name="fnref17_1"/>
      <w:bookmarkEnd w:id="8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5D3B71F0">
      <w:pPr>
        <w:spacing w:after="210" w:line="360" w:lineRule="auto"/>
      </w:pPr>
      <w:r>
        <w:rPr>
          <w:rFonts w:ascii="inter" w:hAnsi="inter" w:eastAsia="inter" w:cs="inter"/>
          <w:color w:val="000000"/>
        </w:rPr>
        <w:t xml:space="preserve">NIH PMC (2025). The Application of Deep Learning Human Pose Estimation in Sport. </w:t>
      </w:r>
      <w:r>
        <w:fldChar w:fldCharType="begin"/>
      </w:r>
      <w:r>
        <w:instrText xml:space="preserve"> HYPERLINK "https://pmc.ncbi.nlm.nih.gov/articles/PMC12696263/" \h </w:instrText>
      </w:r>
      <w:r>
        <w:fldChar w:fldCharType="separate"/>
      </w:r>
      <w:r>
        <w:rPr>
          <w:rFonts w:ascii="inter" w:hAnsi="inter" w:eastAsia="inter" w:cs="inter"/>
          <w:color w:val="000000"/>
          <w:u w:val="single"/>
        </w:rPr>
        <w:t>https://pmc.ncbi.nlm.nih.gov/articles/PMC12696263/</w:t>
      </w:r>
      <w:r>
        <w:rPr>
          <w:rFonts w:ascii="inter" w:hAnsi="inter" w:eastAsia="inter" w:cs="inter"/>
          <w:color w:val="000000"/>
          <w:u w:val="single"/>
        </w:rPr>
        <w:fldChar w:fldCharType="end"/>
      </w:r>
      <w:bookmarkStart w:id="81" w:name="fnref13_1"/>
      <w:bookmarkEnd w:id="8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68458152">
      <w:pPr>
        <w:spacing w:after="210" w:line="360" w:lineRule="auto"/>
      </w:pPr>
      <w:r>
        <w:rPr>
          <w:rFonts w:ascii="inter" w:hAnsi="inter" w:eastAsia="inter" w:cs="inter"/>
          <w:color w:val="000000"/>
        </w:rPr>
        <w:t xml:space="preserve">CVPR (2019). Actional-Structural Graph Convolutional Networks for Skeleton-Based Action Recognition. </w:t>
      </w:r>
      <w:r>
        <w:fldChar w:fldCharType="begin"/>
      </w:r>
      <w:r>
        <w:instrText xml:space="preserve"> HYPERLINK "https://openaccess.thecvf.com/content_CVPR_2019/papers/Li_Actional-Structural_Graph_Convolutional_Networks_for_Skeleton-Based_Ac" \h </w:instrText>
      </w:r>
      <w:r>
        <w:fldChar w:fldCharType="separate"/>
      </w:r>
      <w:r>
        <w:rPr>
          <w:rFonts w:ascii="inter" w:hAnsi="inter" w:eastAsia="inter" w:cs="inter"/>
          <w:color w:val="000000"/>
          <w:u w:val="single"/>
        </w:rPr>
        <w:t>https://openaccess.thecvf.com/content_CVPR_2019/papers/Li_Actional-Structural_Graph_Convolutional_Networks_for_Skeleton-Based_Ac</w:t>
      </w:r>
      <w:r>
        <w:rPr>
          <w:rFonts w:ascii="inter" w:hAnsi="inter" w:eastAsia="inter" w:cs="inter"/>
          <w:color w:val="000000"/>
          <w:u w:val="single"/>
        </w:rPr>
        <w:fldChar w:fldCharType="end"/>
      </w:r>
      <w:bookmarkStart w:id="82" w:name="fnref18_1"/>
      <w:bookmarkEnd w:id="8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21E6402C">
      <w:pPr>
        <w:spacing w:after="210" w:line="360" w:lineRule="auto"/>
      </w:pPr>
      <w:r>
        <w:rPr>
          <w:rFonts w:ascii="inter" w:hAnsi="inter" w:eastAsia="inter" w:cs="inter"/>
          <w:color w:val="000000"/>
        </w:rPr>
        <w:t xml:space="preserve">CVPR Sports Workshop (2024). A Stroke of Genius: Predicting the Next Move in Badminton. </w:t>
      </w:r>
      <w:r>
        <w:fldChar w:fldCharType="begin"/>
      </w:r>
      <w:r>
        <w:instrText xml:space="preserve"> HYPERLINK "https://openaccess.thecvf.com/content/CVPR2024W/CVsports/papers/Ibh_A_Stroke_of_Genius_Predicting_the_Next_Move_in_Badminton_CVP" \h </w:instrText>
      </w:r>
      <w:r>
        <w:fldChar w:fldCharType="separate"/>
      </w:r>
      <w:r>
        <w:rPr>
          <w:rFonts w:ascii="inter" w:hAnsi="inter" w:eastAsia="inter" w:cs="inter"/>
          <w:color w:val="000000"/>
          <w:u w:val="single"/>
        </w:rPr>
        <w:t>https://openaccess.thecvf.com/content/CVPR2024W/CVsports/papers/Ibh_A_Stroke_of_Genius_Predicting_the_Next_Move_in_Badminton_CVP</w:t>
      </w:r>
      <w:r>
        <w:rPr>
          <w:rFonts w:ascii="inter" w:hAnsi="inter" w:eastAsia="inter" w:cs="inter"/>
          <w:color w:val="000000"/>
          <w:u w:val="single"/>
        </w:rPr>
        <w:fldChar w:fldCharType="end"/>
      </w:r>
      <w:bookmarkStart w:id="83" w:name="fnref21_4"/>
      <w:bookmarkEnd w:id="8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2374E1C9">
      <w:pPr>
        <w:spacing w:after="210" w:line="360" w:lineRule="auto"/>
      </w:pPr>
      <w:r>
        <w:rPr>
          <w:rFonts w:ascii="inter" w:hAnsi="inter" w:eastAsia="inter" w:cs="inter"/>
          <w:color w:val="000000"/>
        </w:rPr>
        <w:t xml:space="preserve">NIH PMC (2023). Sports Competition Tactical Analysis Model of Cross-Modal Transfer Learning. </w:t>
      </w:r>
      <w:r>
        <w:fldChar w:fldCharType="begin"/>
      </w:r>
      <w:r>
        <w:instrText xml:space="preserve"> HYPERLINK "https://pmc.ncbi.nlm.nih.gov/articles/PMC10642548/" \h </w:instrText>
      </w:r>
      <w:r>
        <w:fldChar w:fldCharType="separate"/>
      </w:r>
      <w:r>
        <w:rPr>
          <w:rFonts w:ascii="inter" w:hAnsi="inter" w:eastAsia="inter" w:cs="inter"/>
          <w:color w:val="000000"/>
          <w:u w:val="single"/>
        </w:rPr>
        <w:t>https://pmc.ncbi.nlm.nih.gov/articles/PMC10642548/</w:t>
      </w:r>
      <w:r>
        <w:rPr>
          <w:rFonts w:ascii="inter" w:hAnsi="inter" w:eastAsia="inter" w:cs="inter"/>
          <w:color w:val="000000"/>
          <w:u w:val="single"/>
        </w:rPr>
        <w:fldChar w:fldCharType="end"/>
      </w:r>
      <w:bookmarkStart w:id="84" w:name="fnref24_1"/>
      <w:bookmarkEnd w:id="84"/>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12B2AB5F">
      <w:pPr>
        <w:spacing w:after="210" w:line="360" w:lineRule="auto"/>
      </w:pPr>
      <w:r>
        <w:rPr>
          <w:rFonts w:ascii="inter" w:hAnsi="inter" w:eastAsia="inter" w:cs="inter"/>
          <w:color w:val="000000"/>
        </w:rPr>
        <w:t xml:space="preserve">ACCV (2020). Spatial Temporal Attention Graph Convolutional Networks with Mechanics-Stream. </w:t>
      </w:r>
      <w:r>
        <w:fldChar w:fldCharType="begin"/>
      </w:r>
      <w:r>
        <w:instrText xml:space="preserve"> HYPERLINK "https://openaccess.thecvf.com/content/ACCV2020/papers/Shiraki_Spatial_Temporal_Attention_Graph_Convolutional_Networks_with_Mecha" \h </w:instrText>
      </w:r>
      <w:r>
        <w:fldChar w:fldCharType="separate"/>
      </w:r>
      <w:r>
        <w:rPr>
          <w:rFonts w:ascii="inter" w:hAnsi="inter" w:eastAsia="inter" w:cs="inter"/>
          <w:color w:val="000000"/>
          <w:u w:val="single"/>
        </w:rPr>
        <w:t>https://openaccess.thecvf.com/content/ACCV2020/papers/Shiraki_Spatial_Temporal_Attention_Graph_Convolutional_Networks_with_Mecha</w:t>
      </w:r>
      <w:r>
        <w:rPr>
          <w:rFonts w:ascii="inter" w:hAnsi="inter" w:eastAsia="inter" w:cs="inter"/>
          <w:color w:val="000000"/>
          <w:u w:val="single"/>
        </w:rPr>
        <w:fldChar w:fldCharType="end"/>
      </w:r>
      <w:bookmarkStart w:id="85" w:name="fnref23_1"/>
      <w:bookmarkEnd w:id="85"/>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334BA520">
      <w:pPr>
        <w:spacing w:after="210" w:line="360" w:lineRule="auto"/>
      </w:pPr>
      <w:r>
        <w:rPr>
          <w:rFonts w:ascii="inter" w:hAnsi="inter" w:eastAsia="inter" w:cs="inter"/>
          <w:color w:val="000000"/>
        </w:rPr>
        <w:t xml:space="preserve">arXiv (2023). ShuttleSHAP: Explainable Forecasting in Badminton. </w:t>
      </w:r>
      <w:r>
        <w:fldChar w:fldCharType="begin"/>
      </w:r>
      <w:r>
        <w:instrText xml:space="preserve"> HYPERLINK "https://arxiv.org/pdf/2312.10942.pdf" \h </w:instrText>
      </w:r>
      <w:r>
        <w:fldChar w:fldCharType="separate"/>
      </w:r>
      <w:r>
        <w:rPr>
          <w:rFonts w:ascii="inter" w:hAnsi="inter" w:eastAsia="inter" w:cs="inter"/>
          <w:color w:val="000000"/>
          <w:u w:val="single"/>
        </w:rPr>
        <w:t>https://arxiv.org/pdf/2312.10942.pdf</w:t>
      </w:r>
      <w:r>
        <w:rPr>
          <w:rFonts w:ascii="inter" w:hAnsi="inter" w:eastAsia="inter" w:cs="inter"/>
          <w:color w:val="000000"/>
          <w:u w:val="single"/>
        </w:rPr>
        <w:fldChar w:fldCharType="end"/>
      </w:r>
      <w:bookmarkStart w:id="86" w:name="fnref25_1"/>
      <w:bookmarkEnd w:id="86"/>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47A4E95F">
      <w:pPr>
        <w:spacing w:after="210" w:line="360" w:lineRule="auto"/>
      </w:pPr>
      <w:r>
        <w:rPr>
          <w:rFonts w:ascii="inter" w:hAnsi="inter" w:eastAsia="inter" w:cs="inter"/>
          <w:color w:val="000000"/>
        </w:rPr>
        <w:t xml:space="preserve">ML4AD Workshop (2019). Conditional Flow Variational Autoencoders for Structured Sequence Prediction. </w:t>
      </w:r>
      <w:r>
        <w:fldChar w:fldCharType="begin"/>
      </w:r>
      <w:r>
        <w:instrText xml:space="preserve"> HYPERLINK "https://ml4ad.github.io/files/papers/Conditional%20Flow%20Variational%20Autoencoders%20for%20Structured%20Sequence%20Prediction.pdf" \h </w:instrText>
      </w:r>
      <w:r>
        <w:fldChar w:fldCharType="separate"/>
      </w:r>
      <w:r>
        <w:rPr>
          <w:rFonts w:ascii="inter" w:hAnsi="inter" w:eastAsia="inter" w:cs="inter"/>
          <w:color w:val="000000"/>
          <w:u w:val="single"/>
        </w:rPr>
        <w:t>https://ml4ad.github.io/files/papers/Conditional Flow Variational Autoencoders for Structured Sequence Prediction.pdf</w:t>
      </w:r>
      <w:r>
        <w:rPr>
          <w:rFonts w:ascii="inter" w:hAnsi="inter" w:eastAsia="inter" w:cs="inter"/>
          <w:color w:val="000000"/>
          <w:u w:val="single"/>
        </w:rPr>
        <w:fldChar w:fldCharType="end"/>
      </w:r>
      <w:bookmarkStart w:id="87" w:name="fnref27_3"/>
      <w:bookmarkEnd w:id="87"/>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4698100B">
      <w:pPr>
        <w:spacing w:after="210" w:line="360" w:lineRule="auto"/>
      </w:pPr>
      <w:r>
        <w:rPr>
          <w:rFonts w:ascii="inter" w:hAnsi="inter" w:eastAsia="inter" w:cs="inter"/>
          <w:color w:val="000000"/>
        </w:rPr>
        <w:t xml:space="preserve">PLOS ONE (2024). Generating Context-Specific Sports Training Plans by Combining GAN. </w:t>
      </w:r>
      <w:r>
        <w:fldChar w:fldCharType="begin"/>
      </w:r>
      <w:r>
        <w:instrText xml:space="preserve"> HYPERLINK "https://journals.plos.org/plosone/article?id=10.1371/journal.pone.0318321" \h </w:instrText>
      </w:r>
      <w:r>
        <w:fldChar w:fldCharType="separate"/>
      </w:r>
      <w:r>
        <w:rPr>
          <w:rFonts w:ascii="inter" w:hAnsi="inter" w:eastAsia="inter" w:cs="inter"/>
          <w:color w:val="000000"/>
          <w:u w:val="single"/>
        </w:rPr>
        <w:t>https://journals.plos.org/plosone/article?id=10.1371/journal.pone.0318321</w:t>
      </w:r>
      <w:r>
        <w:rPr>
          <w:rFonts w:ascii="inter" w:hAnsi="inter" w:eastAsia="inter" w:cs="inter"/>
          <w:color w:val="000000"/>
          <w:u w:val="single"/>
        </w:rPr>
        <w:fldChar w:fldCharType="end"/>
      </w:r>
      <w:bookmarkStart w:id="88" w:name="fnref30_1"/>
      <w:bookmarkEnd w:id="88"/>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28A93170">
      <w:pPr>
        <w:spacing w:after="210" w:line="360" w:lineRule="auto"/>
      </w:pPr>
      <w:r>
        <w:rPr>
          <w:rFonts w:ascii="inter" w:hAnsi="inter" w:eastAsia="inter" w:cs="inter"/>
          <w:color w:val="000000"/>
        </w:rPr>
        <w:t xml:space="preserve">NIH PMC (2021). Recognition of Badminton Shot Action Based on Improved Hidden Markov Model. </w:t>
      </w:r>
      <w:r>
        <w:fldChar w:fldCharType="begin"/>
      </w:r>
      <w:r>
        <w:instrText xml:space="preserve"> HYPERLINK "https://pmc.ncbi.nlm.nih.gov/articles/PMC8516566/" \h </w:instrText>
      </w:r>
      <w:r>
        <w:fldChar w:fldCharType="separate"/>
      </w:r>
      <w:r>
        <w:rPr>
          <w:rFonts w:ascii="inter" w:hAnsi="inter" w:eastAsia="inter" w:cs="inter"/>
          <w:color w:val="000000"/>
          <w:u w:val="single"/>
        </w:rPr>
        <w:t>https://pmc.ncbi.nlm.nih.gov/articles/PMC8516566/</w:t>
      </w:r>
      <w:r>
        <w:rPr>
          <w:rFonts w:ascii="inter" w:hAnsi="inter" w:eastAsia="inter" w:cs="inter"/>
          <w:color w:val="000000"/>
          <w:u w:val="single"/>
        </w:rPr>
        <w:fldChar w:fldCharType="end"/>
      </w:r>
      <w:bookmarkStart w:id="89" w:name="fnref26_1"/>
      <w:bookmarkEnd w:id="8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08D831D0">
      <w:pPr>
        <w:spacing w:after="210" w:line="360" w:lineRule="auto"/>
      </w:pPr>
      <w:r>
        <w:rPr>
          <w:rFonts w:ascii="inter" w:hAnsi="inter" w:eastAsia="inter" w:cs="inter"/>
          <w:color w:val="000000"/>
        </w:rPr>
        <w:t xml:space="preserve">NIH PMC (2024). Enhancing Badminton Game Analysis: Shot Extraction from Monocular Video. </w:t>
      </w:r>
      <w:r>
        <w:fldChar w:fldCharType="begin"/>
      </w:r>
      <w:r>
        <w:instrText xml:space="preserve"> HYPERLINK "https://pmc.ncbi.nlm.nih.gov/articles/PMC11244353/" \h </w:instrText>
      </w:r>
      <w:r>
        <w:fldChar w:fldCharType="separate"/>
      </w:r>
      <w:r>
        <w:rPr>
          <w:rFonts w:ascii="inter" w:hAnsi="inter" w:eastAsia="inter" w:cs="inter"/>
          <w:color w:val="000000"/>
          <w:u w:val="single"/>
        </w:rPr>
        <w:t>https://pmc.ncbi.nlm.nih.gov/articles/PMC11244353/</w:t>
      </w:r>
      <w:r>
        <w:rPr>
          <w:rFonts w:ascii="inter" w:hAnsi="inter" w:eastAsia="inter" w:cs="inter"/>
          <w:color w:val="000000"/>
          <w:u w:val="single"/>
        </w:rPr>
        <w:fldChar w:fldCharType="end"/>
      </w:r>
      <w:bookmarkStart w:id="90" w:name="fnref4_2"/>
      <w:bookmarkEnd w:id="9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73F8C15">
      <w:pPr>
        <w:spacing w:after="210" w:line="360" w:lineRule="auto"/>
      </w:pPr>
      <w:r>
        <w:rPr>
          <w:rFonts w:ascii="inter" w:hAnsi="inter" w:eastAsia="inter" w:cs="inter"/>
          <w:color w:val="000000"/>
        </w:rPr>
        <w:t xml:space="preserve">Turf Town (2025). 5 Different Types of Badminton Shots. </w:t>
      </w:r>
      <w:r>
        <w:fldChar w:fldCharType="begin"/>
      </w:r>
      <w:r>
        <w:instrText xml:space="preserve"> HYPERLINK "https://turftown.in/blog/types-of-badminton-shots" \h </w:instrText>
      </w:r>
      <w:r>
        <w:fldChar w:fldCharType="separate"/>
      </w:r>
      <w:r>
        <w:rPr>
          <w:rFonts w:ascii="inter" w:hAnsi="inter" w:eastAsia="inter" w:cs="inter"/>
          <w:color w:val="000000"/>
          <w:u w:val="single"/>
        </w:rPr>
        <w:t>https://turftown.in/blog/types-of-badminton-shots</w:t>
      </w:r>
      <w:r>
        <w:rPr>
          <w:rFonts w:ascii="inter" w:hAnsi="inter" w:eastAsia="inter" w:cs="inter"/>
          <w:color w:val="000000"/>
          <w:u w:val="single"/>
        </w:rPr>
        <w:fldChar w:fldCharType="end"/>
      </w:r>
      <w:bookmarkStart w:id="91" w:name="fnref19_1"/>
      <w:bookmarkEnd w:id="9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2B712753">
      <w:pPr>
        <w:spacing w:after="210" w:line="360" w:lineRule="auto"/>
      </w:pPr>
      <w:r>
        <w:rPr>
          <w:rFonts w:ascii="inter" w:hAnsi="inter" w:eastAsia="inter" w:cs="inter"/>
          <w:color w:val="000000"/>
        </w:rPr>
        <w:t xml:space="preserve">SCITEPRESS (2025). RacketDB: A Comprehensive Dataset for Badminton Racket Detection. </w:t>
      </w:r>
      <w:r>
        <w:fldChar w:fldCharType="begin"/>
      </w:r>
      <w:r>
        <w:instrText xml:space="preserve"> HYPERLINK "https://www.scitepress.org/Papers/2025/131597/131597.pdf" \h </w:instrText>
      </w:r>
      <w:r>
        <w:fldChar w:fldCharType="separate"/>
      </w:r>
      <w:r>
        <w:rPr>
          <w:rFonts w:ascii="inter" w:hAnsi="inter" w:eastAsia="inter" w:cs="inter"/>
          <w:color w:val="000000"/>
          <w:u w:val="single"/>
        </w:rPr>
        <w:t>https://www.scitepress.org/Papers/2025/131597/131597.pdf</w:t>
      </w:r>
      <w:r>
        <w:rPr>
          <w:rFonts w:ascii="inter" w:hAnsi="inter" w:eastAsia="inter" w:cs="inter"/>
          <w:color w:val="000000"/>
          <w:u w:val="single"/>
        </w:rPr>
        <w:fldChar w:fldCharType="end"/>
      </w:r>
      <w:bookmarkStart w:id="92" w:name="fnref3_2"/>
      <w:bookmarkEnd w:id="9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107D2D06">
      <w:pPr>
        <w:spacing w:after="210" w:line="360" w:lineRule="auto"/>
      </w:pPr>
      <w:r>
        <w:rPr>
          <w:rFonts w:ascii="inter" w:hAnsi="inter" w:eastAsia="inter" w:cs="inter"/>
          <w:color w:val="000000"/>
        </w:rPr>
        <w:t xml:space="preserve">Stanford CS (2022). Shuttle Trajectory Reconstruction from Monocular Badminton Video. </w:t>
      </w:r>
      <w:r>
        <w:fldChar w:fldCharType="begin"/>
      </w:r>
      <w:r>
        <w:instrText xml:space="preserve"> HYPERLINK "https://cs.stanford.edu/people/paulliu/files/cvpr-2022.pdf" \h </w:instrText>
      </w:r>
      <w:r>
        <w:fldChar w:fldCharType="separate"/>
      </w:r>
      <w:r>
        <w:rPr>
          <w:rFonts w:ascii="inter" w:hAnsi="inter" w:eastAsia="inter" w:cs="inter"/>
          <w:color w:val="000000"/>
          <w:u w:val="single"/>
        </w:rPr>
        <w:t>https://cs.stanford.edu/people/paulliu/files/cvpr-2022.pdf</w:t>
      </w:r>
      <w:r>
        <w:rPr>
          <w:rFonts w:ascii="inter" w:hAnsi="inter" w:eastAsia="inter" w:cs="inter"/>
          <w:color w:val="000000"/>
          <w:u w:val="single"/>
        </w:rPr>
        <w:fldChar w:fldCharType="end"/>
      </w:r>
      <w:bookmarkStart w:id="93" w:name="fnref22_1"/>
      <w:bookmarkEnd w:id="93"/>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45E322FD">
      <w:pPr>
        <w:spacing w:after="210" w:line="360" w:lineRule="auto"/>
      </w:pPr>
      <w:r>
        <w:rPr>
          <w:rFonts w:ascii="inter" w:hAnsi="inter" w:eastAsia="inter" w:cs="inter"/>
          <w:color w:val="000000"/>
        </w:rPr>
        <w:t xml:space="preserve">Ultralytics (2025). Performance Metrics Deep Dive. </w:t>
      </w:r>
      <w:r>
        <w:fldChar w:fldCharType="begin"/>
      </w:r>
      <w:r>
        <w:instrText xml:space="preserve"> HYPERLINK "https://docs.ultralytics.com/guides/yolo-performance-metrics/" \h </w:instrText>
      </w:r>
      <w:r>
        <w:fldChar w:fldCharType="separate"/>
      </w:r>
      <w:r>
        <w:rPr>
          <w:rFonts w:ascii="inter" w:hAnsi="inter" w:eastAsia="inter" w:cs="inter"/>
          <w:color w:val="000000"/>
          <w:u w:val="single"/>
        </w:rPr>
        <w:t>https://docs.ultralytics.com/guides/yolo-performance-metrics/</w:t>
      </w:r>
      <w:r>
        <w:rPr>
          <w:rFonts w:ascii="inter" w:hAnsi="inter" w:eastAsia="inter" w:cs="inter"/>
          <w:color w:val="000000"/>
          <w:u w:val="single"/>
        </w:rPr>
        <w:fldChar w:fldCharType="end"/>
      </w:r>
      <w:bookmarkStart w:id="94" w:name="fnref12_1"/>
      <w:bookmarkEnd w:id="9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40AC4240">
      <w:pPr>
        <w:spacing w:after="210" w:line="360" w:lineRule="auto"/>
      </w:pPr>
      <w:r>
        <w:rPr>
          <w:rFonts w:ascii="inter" w:hAnsi="inter" w:eastAsia="inter" w:cs="inter"/>
          <w:color w:val="000000"/>
        </w:rPr>
        <w:t xml:space="preserve">arXiv (2024). VIFSS: View-Invariant and Figure Skating-Specific Pose Estimation. </w:t>
      </w:r>
      <w:r>
        <w:fldChar w:fldCharType="begin"/>
      </w:r>
      <w:r>
        <w:instrText xml:space="preserve"> HYPERLINK "https://arxiv.org/html/2508.07554v1" \h </w:instrText>
      </w:r>
      <w:r>
        <w:fldChar w:fldCharType="separate"/>
      </w:r>
      <w:r>
        <w:rPr>
          <w:rFonts w:ascii="inter" w:hAnsi="inter" w:eastAsia="inter" w:cs="inter"/>
          <w:color w:val="000000"/>
          <w:u w:val="single"/>
        </w:rPr>
        <w:t>https://arxiv.org/html/2508.07554v1</w:t>
      </w:r>
      <w:r>
        <w:rPr>
          <w:rFonts w:ascii="inter" w:hAnsi="inter" w:eastAsia="inter" w:cs="inter"/>
          <w:color w:val="000000"/>
          <w:u w:val="single"/>
        </w:rPr>
        <w:fldChar w:fldCharType="end"/>
      </w:r>
      <w:bookmarkStart w:id="95" w:name="fnref20_1"/>
      <w:bookmarkEnd w:id="95"/>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0A592275">
      <w:pPr>
        <w:spacing w:line="360" w:lineRule="auto"/>
      </w:pPr>
      <w:r>
        <w:rPr>
          <w:rFonts w:ascii="inter" w:hAnsi="inter" w:eastAsia="inter" w:cs="inter"/>
          <w:color w:val="000000"/>
        </w:rPr>
        <w:t>⁂</w:t>
      </w:r>
    </w:p>
    <w:p w14:paraId="25936E83">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1024E8F8">
      <w:pPr>
        <w:numPr>
          <w:ilvl w:val="0"/>
          <w:numId w:val="21"/>
        </w:numPr>
        <w:spacing w:after="210" w:line="360" w:lineRule="auto"/>
      </w:pPr>
      <w:bookmarkStart w:id="96" w:name="fn1"/>
      <w:bookmarkEnd w:id="96"/>
      <w:r>
        <w:fldChar w:fldCharType="begin"/>
      </w:r>
      <w:r>
        <w:instrText xml:space="preserve"> HYPERLINK "https://www.linkedin.com/posts/mohamed-ahshik-510134159_object-detection-in-sports-using-yolov8-activity-7297019421758300161-O9aQ" \h </w:instrText>
      </w:r>
      <w:r>
        <w:fldChar w:fldCharType="separate"/>
      </w:r>
      <w:r>
        <w:rPr>
          <w:rFonts w:ascii="inter" w:hAnsi="inter" w:eastAsia="inter" w:cs="inter"/>
          <w:color w:val="000000"/>
          <w:sz w:val="18"/>
          <w:u w:val="single"/>
        </w:rPr>
        <w:t>https://www.linkedin.com/posts/mohamed-ahshik-510134159_object-detection-in-sports-using-yolov8-activity-7297019421758300161-O9aQ</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0211D4">
      <w:pPr>
        <w:numPr>
          <w:ilvl w:val="0"/>
          <w:numId w:val="21"/>
        </w:numPr>
        <w:spacing w:after="210" w:line="360" w:lineRule="auto"/>
      </w:pPr>
      <w:bookmarkStart w:id="97" w:name="fn2"/>
      <w:bookmarkEnd w:id="97"/>
      <w:r>
        <w:fldChar w:fldCharType="begin"/>
      </w:r>
      <w:r>
        <w:instrText xml:space="preserve"> HYPERLINK "https://ceur-ws.org/Vol-3885/paper28.pdf" \h </w:instrText>
      </w:r>
      <w:r>
        <w:fldChar w:fldCharType="separate"/>
      </w:r>
      <w:r>
        <w:rPr>
          <w:rFonts w:ascii="inter" w:hAnsi="inter" w:eastAsia="inter" w:cs="inter"/>
          <w:color w:val="000000"/>
          <w:sz w:val="18"/>
          <w:u w:val="single"/>
        </w:rPr>
        <w:t>https://ceur-ws.org/Vol-3885/paper28.pdf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D36A8A">
      <w:pPr>
        <w:numPr>
          <w:ilvl w:val="0"/>
          <w:numId w:val="21"/>
        </w:numPr>
        <w:spacing w:after="210" w:line="360" w:lineRule="auto"/>
      </w:pPr>
      <w:bookmarkStart w:id="98" w:name="fn3"/>
      <w:bookmarkEnd w:id="98"/>
      <w:r>
        <w:fldChar w:fldCharType="begin"/>
      </w:r>
      <w:r>
        <w:instrText xml:space="preserve"> HYPERLINK "https://www.scitepress.org/Papers/2025/131597/131597.pdf" \h </w:instrText>
      </w:r>
      <w:r>
        <w:fldChar w:fldCharType="separate"/>
      </w:r>
      <w:r>
        <w:rPr>
          <w:rFonts w:ascii="inter" w:hAnsi="inter" w:eastAsia="inter" w:cs="inter"/>
          <w:color w:val="000000"/>
          <w:sz w:val="18"/>
          <w:u w:val="single"/>
        </w:rPr>
        <w:t>https://www.scitepress.org/Papers/2025/131597/131597.pdf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EA9D00">
      <w:pPr>
        <w:numPr>
          <w:ilvl w:val="0"/>
          <w:numId w:val="21"/>
        </w:numPr>
        <w:spacing w:after="210" w:line="360" w:lineRule="auto"/>
      </w:pPr>
      <w:bookmarkStart w:id="99" w:name="fn4"/>
      <w:bookmarkEnd w:id="99"/>
      <w:r>
        <w:fldChar w:fldCharType="begin"/>
      </w:r>
      <w:r>
        <w:instrText xml:space="preserve"> HYPERLINK "https://pmc.ncbi.nlm.nih.gov/articles/PMC11244353/" \h </w:instrText>
      </w:r>
      <w:r>
        <w:fldChar w:fldCharType="separate"/>
      </w:r>
      <w:r>
        <w:rPr>
          <w:rFonts w:ascii="inter" w:hAnsi="inter" w:eastAsia="inter" w:cs="inter"/>
          <w:color w:val="000000"/>
          <w:sz w:val="18"/>
          <w:u w:val="single"/>
        </w:rPr>
        <w:t>https://pmc.ncbi.nlm.nih.gov/articles/PMC11244353/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15B65C">
      <w:pPr>
        <w:numPr>
          <w:ilvl w:val="0"/>
          <w:numId w:val="21"/>
        </w:numPr>
        <w:spacing w:after="210" w:line="360" w:lineRule="auto"/>
      </w:pPr>
      <w:bookmarkStart w:id="100" w:name="fn5"/>
      <w:bookmarkEnd w:id="100"/>
      <w:r>
        <w:fldChar w:fldCharType="begin"/>
      </w:r>
      <w:r>
        <w:instrText xml:space="preserve"> HYPERLINK "https://www.mathworks.com/help/fusion/ug/multi-object-tracking-with-deepsort.html" \h </w:instrText>
      </w:r>
      <w:r>
        <w:fldChar w:fldCharType="separate"/>
      </w:r>
      <w:r>
        <w:rPr>
          <w:rFonts w:ascii="inter" w:hAnsi="inter" w:eastAsia="inter" w:cs="inter"/>
          <w:color w:val="000000"/>
          <w:sz w:val="18"/>
          <w:u w:val="single"/>
        </w:rPr>
        <w:t>https://www.mathworks.com/help/fusion/ug/multi-object-tracking-with-deepsort.html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5ED6DE">
      <w:pPr>
        <w:numPr>
          <w:ilvl w:val="0"/>
          <w:numId w:val="21"/>
        </w:numPr>
        <w:spacing w:after="210" w:line="360" w:lineRule="auto"/>
      </w:pPr>
      <w:bookmarkStart w:id="101" w:name="fn6"/>
      <w:bookmarkEnd w:id="101"/>
      <w:r>
        <w:fldChar w:fldCharType="begin"/>
      </w:r>
      <w:r>
        <w:instrText xml:space="preserve"> HYPERLINK "https://learnopencv.com/understanding-multiple-object-tracking-using-deepsort/" \h </w:instrText>
      </w:r>
      <w:r>
        <w:fldChar w:fldCharType="separate"/>
      </w:r>
      <w:r>
        <w:rPr>
          <w:rFonts w:ascii="inter" w:hAnsi="inter" w:eastAsia="inter" w:cs="inter"/>
          <w:color w:val="000000"/>
          <w:sz w:val="18"/>
          <w:u w:val="single"/>
        </w:rPr>
        <w:t>https://learnopencv.com/understanding-multiple-object-tracking-using-deepsort/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E09DF9">
      <w:pPr>
        <w:numPr>
          <w:ilvl w:val="0"/>
          <w:numId w:val="21"/>
        </w:numPr>
        <w:spacing w:after="210" w:line="360" w:lineRule="auto"/>
      </w:pPr>
      <w:bookmarkStart w:id="102" w:name="fn7"/>
      <w:bookmarkEnd w:id="102"/>
      <w:r>
        <w:fldChar w:fldCharType="begin"/>
      </w:r>
      <w:r>
        <w:instrText xml:space="preserve"> HYPERLINK "https://arxiv.org/html/2406.12081v1" \h </w:instrText>
      </w:r>
      <w:r>
        <w:fldChar w:fldCharType="separate"/>
      </w:r>
      <w:r>
        <w:rPr>
          <w:rFonts w:ascii="inter" w:hAnsi="inter" w:eastAsia="inter" w:cs="inter"/>
          <w:color w:val="000000"/>
          <w:sz w:val="18"/>
          <w:u w:val="single"/>
        </w:rPr>
        <w:t>https://arxiv.org/html/2406.12081v1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B37D81">
      <w:pPr>
        <w:numPr>
          <w:ilvl w:val="0"/>
          <w:numId w:val="21"/>
        </w:numPr>
        <w:spacing w:after="210" w:line="360" w:lineRule="auto"/>
      </w:pPr>
      <w:bookmarkStart w:id="103" w:name="fn8"/>
      <w:bookmarkEnd w:id="103"/>
      <w:r>
        <w:fldChar w:fldCharType="begin"/>
      </w:r>
      <w:r>
        <w:instrText xml:space="preserve"> HYPERLINK "https://www.ultralytics.com/blog/a-guide-on-tracking-moving-objects-in-videos-with-ultralytics-yolo-models" \h </w:instrText>
      </w:r>
      <w:r>
        <w:fldChar w:fldCharType="separate"/>
      </w:r>
      <w:r>
        <w:rPr>
          <w:rFonts w:ascii="inter" w:hAnsi="inter" w:eastAsia="inter" w:cs="inter"/>
          <w:color w:val="000000"/>
          <w:sz w:val="18"/>
          <w:u w:val="single"/>
        </w:rPr>
        <w:t>https://www.ultralytics.com/blog/a-guide-on-tracking-moving-objects-in-videos-with-ultralytics-yolo-models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25042A">
      <w:pPr>
        <w:numPr>
          <w:ilvl w:val="0"/>
          <w:numId w:val="21"/>
        </w:numPr>
        <w:spacing w:after="210" w:line="360" w:lineRule="auto"/>
      </w:pPr>
      <w:bookmarkStart w:id="104" w:name="fn9"/>
      <w:bookmarkEnd w:id="104"/>
      <w:r>
        <w:fldChar w:fldCharType="begin"/>
      </w:r>
      <w:r>
        <w:instrText xml:space="preserve"> HYPERLINK "https://www.ecva.net/papers/eccv_2022/papers_ECCV/papers/136870648.pdf" \h </w:instrText>
      </w:r>
      <w:r>
        <w:fldChar w:fldCharType="separate"/>
      </w:r>
      <w:r>
        <w:rPr>
          <w:rFonts w:ascii="inter" w:hAnsi="inter" w:eastAsia="inter" w:cs="inter"/>
          <w:color w:val="000000"/>
          <w:sz w:val="18"/>
          <w:u w:val="single"/>
        </w:rPr>
        <w:t>https://www.ecva.net/papers/eccv_2022/papers_ECCV/papers/136870648.pdf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5BA6FF">
      <w:pPr>
        <w:numPr>
          <w:ilvl w:val="0"/>
          <w:numId w:val="21"/>
        </w:numPr>
        <w:spacing w:after="210" w:line="360" w:lineRule="auto"/>
      </w:pPr>
      <w:bookmarkStart w:id="105" w:name="fn10"/>
      <w:bookmarkEnd w:id="105"/>
      <w:r>
        <w:fldChar w:fldCharType="begin"/>
      </w:r>
      <w:r>
        <w:instrText xml:space="preserve"> HYPERLINK "https://openaccess.thecvf.com/content/CVPR2022/papers/Meinhardt_TrackFormer_Multi-Object_Tracking_With_Transformers_CVPR_2022_paper.pdf" \h </w:instrText>
      </w:r>
      <w:r>
        <w:fldChar w:fldCharType="separate"/>
      </w:r>
      <w:r>
        <w:rPr>
          <w:rFonts w:ascii="inter" w:hAnsi="inter" w:eastAsia="inter" w:cs="inter"/>
          <w:color w:val="000000"/>
          <w:sz w:val="18"/>
          <w:u w:val="single"/>
        </w:rPr>
        <w:t>https://openaccess.thecvf.com/content/CVPR2022/papers/Meinhardt_TrackFormer_Multi-Object_Tracking_With_Transformers_CVPR_2022_paper.pdf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3755F7">
      <w:pPr>
        <w:numPr>
          <w:ilvl w:val="0"/>
          <w:numId w:val="21"/>
        </w:numPr>
        <w:spacing w:after="210" w:line="360" w:lineRule="auto"/>
      </w:pPr>
      <w:bookmarkStart w:id="106" w:name="fn11"/>
      <w:bookmarkEnd w:id="106"/>
      <w:r>
        <w:fldChar w:fldCharType="begin"/>
      </w:r>
      <w:r>
        <w:instrText xml:space="preserve"> HYPERLINK "https://motchallenge.net/method/MOT=5675&amp;chl=10" \h </w:instrText>
      </w:r>
      <w:r>
        <w:fldChar w:fldCharType="separate"/>
      </w:r>
      <w:r>
        <w:rPr>
          <w:rFonts w:ascii="inter" w:hAnsi="inter" w:eastAsia="inter" w:cs="inter"/>
          <w:color w:val="000000"/>
          <w:sz w:val="18"/>
          <w:u w:val="single"/>
        </w:rPr>
        <w:t>https://motchallenge.net/method/MOT=5675&amp;chl=10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9998E1">
      <w:pPr>
        <w:numPr>
          <w:ilvl w:val="0"/>
          <w:numId w:val="21"/>
        </w:numPr>
        <w:spacing w:after="210" w:line="360" w:lineRule="auto"/>
      </w:pPr>
      <w:bookmarkStart w:id="107" w:name="fn12"/>
      <w:bookmarkEnd w:id="107"/>
      <w:r>
        <w:fldChar w:fldCharType="begin"/>
      </w:r>
      <w:r>
        <w:instrText xml:space="preserve"> HYPERLINK "https://docs.ultralytics.com/guides/yolo-performance-metrics/" \h </w:instrText>
      </w:r>
      <w:r>
        <w:fldChar w:fldCharType="separate"/>
      </w:r>
      <w:r>
        <w:rPr>
          <w:rFonts w:ascii="inter" w:hAnsi="inter" w:eastAsia="inter" w:cs="inter"/>
          <w:color w:val="000000"/>
          <w:sz w:val="18"/>
          <w:u w:val="single"/>
        </w:rPr>
        <w:t>https://docs.ultralytics.com/guides/yolo-performance-metrics/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0FCF4A">
      <w:pPr>
        <w:numPr>
          <w:ilvl w:val="0"/>
          <w:numId w:val="21"/>
        </w:numPr>
        <w:spacing w:after="210" w:line="360" w:lineRule="auto"/>
      </w:pPr>
      <w:bookmarkStart w:id="108" w:name="fn13"/>
      <w:bookmarkEnd w:id="108"/>
      <w:r>
        <w:fldChar w:fldCharType="begin"/>
      </w:r>
      <w:r>
        <w:instrText xml:space="preserve"> HYPERLINK "https://www.scitepress.org/Papers/2025/131689/131689.pdf" \h </w:instrText>
      </w:r>
      <w:r>
        <w:fldChar w:fldCharType="separate"/>
      </w:r>
      <w:r>
        <w:rPr>
          <w:rFonts w:ascii="inter" w:hAnsi="inter" w:eastAsia="inter" w:cs="inter"/>
          <w:color w:val="000000"/>
          <w:sz w:val="18"/>
          <w:u w:val="single"/>
        </w:rPr>
        <w:t>https://www.scitepress.org/Papers/2025/131689/131689.pdf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2E46EB">
      <w:pPr>
        <w:numPr>
          <w:ilvl w:val="0"/>
          <w:numId w:val="21"/>
        </w:numPr>
        <w:spacing w:after="210" w:line="360" w:lineRule="auto"/>
      </w:pPr>
      <w:bookmarkStart w:id="109" w:name="fn14"/>
      <w:bookmarkEnd w:id="109"/>
      <w:r>
        <w:fldChar w:fldCharType="begin"/>
      </w:r>
      <w:r>
        <w:instrText xml:space="preserve"> HYPERLINK "https://ieeexplore.ieee.org/document/10672943/" \h </w:instrText>
      </w:r>
      <w:r>
        <w:fldChar w:fldCharType="separate"/>
      </w:r>
      <w:r>
        <w:rPr>
          <w:rFonts w:ascii="inter" w:hAnsi="inter" w:eastAsia="inter" w:cs="inter"/>
          <w:color w:val="000000"/>
          <w:sz w:val="18"/>
          <w:u w:val="single"/>
        </w:rPr>
        <w:t>https://ieeexplore.ieee.org/document/10672943/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AD3B52">
      <w:pPr>
        <w:numPr>
          <w:ilvl w:val="0"/>
          <w:numId w:val="21"/>
        </w:numPr>
        <w:spacing w:after="210" w:line="360" w:lineRule="auto"/>
      </w:pPr>
      <w:bookmarkStart w:id="110" w:name="fn15"/>
      <w:bookmarkEnd w:id="110"/>
      <w:r>
        <w:fldChar w:fldCharType="begin"/>
      </w:r>
      <w:r>
        <w:instrText xml:space="preserve"> HYPERLINK "https://www.hrpub.org/download/20240130/SAJ18-19935314.pdf" \h </w:instrText>
      </w:r>
      <w:r>
        <w:fldChar w:fldCharType="separate"/>
      </w:r>
      <w:r>
        <w:rPr>
          <w:rFonts w:ascii="inter" w:hAnsi="inter" w:eastAsia="inter" w:cs="inter"/>
          <w:color w:val="000000"/>
          <w:sz w:val="18"/>
          <w:u w:val="single"/>
        </w:rPr>
        <w:t>https://www.hrpub.org/download/20240130/SAJ18-19935314.pdf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BD0F44">
      <w:pPr>
        <w:numPr>
          <w:ilvl w:val="0"/>
          <w:numId w:val="21"/>
        </w:numPr>
        <w:spacing w:after="210" w:line="360" w:lineRule="auto"/>
      </w:pPr>
      <w:bookmarkStart w:id="111" w:name="fn16"/>
      <w:bookmarkEnd w:id="111"/>
      <w:r>
        <w:fldChar w:fldCharType="begin"/>
      </w:r>
      <w:r>
        <w:instrText xml:space="preserve"> HYPERLINK "https://dl.acm.org/doi/10.5555/3504035.3504947" \h </w:instrText>
      </w:r>
      <w:r>
        <w:fldChar w:fldCharType="separate"/>
      </w:r>
      <w:r>
        <w:rPr>
          <w:rFonts w:ascii="inter" w:hAnsi="inter" w:eastAsia="inter" w:cs="inter"/>
          <w:color w:val="000000"/>
          <w:sz w:val="18"/>
          <w:u w:val="single"/>
        </w:rPr>
        <w:t>https://dl.acm.org/doi/10.5555/3504035.3504947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7787F6">
      <w:pPr>
        <w:numPr>
          <w:ilvl w:val="0"/>
          <w:numId w:val="21"/>
        </w:numPr>
        <w:spacing w:after="210" w:line="360" w:lineRule="auto"/>
      </w:pPr>
      <w:bookmarkStart w:id="112" w:name="fn17"/>
      <w:bookmarkEnd w:id="112"/>
      <w:r>
        <w:fldChar w:fldCharType="begin"/>
      </w:r>
      <w:r>
        <w:instrText xml:space="preserve"> HYPERLINK "https://arxiv.org/abs/1801.07455" \h </w:instrText>
      </w:r>
      <w:r>
        <w:fldChar w:fldCharType="separate"/>
      </w:r>
      <w:r>
        <w:rPr>
          <w:rFonts w:ascii="inter" w:hAnsi="inter" w:eastAsia="inter" w:cs="inter"/>
          <w:color w:val="000000"/>
          <w:sz w:val="18"/>
          <w:u w:val="single"/>
        </w:rPr>
        <w:t>https://arxiv.org/abs/1801.07455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0DA5F7">
      <w:pPr>
        <w:numPr>
          <w:ilvl w:val="0"/>
          <w:numId w:val="21"/>
        </w:numPr>
        <w:spacing w:after="210" w:line="360" w:lineRule="auto"/>
      </w:pPr>
      <w:bookmarkStart w:id="113" w:name="fn18"/>
      <w:bookmarkEnd w:id="113"/>
      <w:r>
        <w:fldChar w:fldCharType="begin"/>
      </w:r>
      <w:r>
        <w:instrText xml:space="preserve"> HYPERLINK "https://openaccess.thecvf.com/content_CVPR_2019/papers/Li_Actional-Structural_Graph_Convolutional_Networks_for_Skeleton-Based_Action_Recognition_CVPR_2019_paper.pdf" \h </w:instrText>
      </w:r>
      <w:r>
        <w:fldChar w:fldCharType="separate"/>
      </w:r>
      <w:r>
        <w:rPr>
          <w:rFonts w:ascii="inter" w:hAnsi="inter" w:eastAsia="inter" w:cs="inter"/>
          <w:color w:val="000000"/>
          <w:sz w:val="18"/>
          <w:u w:val="single"/>
        </w:rPr>
        <w:t>https://openaccess.thecvf.com/content_CVPR_2019/papers/Li_Actional-Structural_Graph_Convolutional_Networks_for_Skeleton-Based_Action_Recognition_CVPR_2019_paper.pdf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C94625">
      <w:pPr>
        <w:numPr>
          <w:ilvl w:val="0"/>
          <w:numId w:val="21"/>
        </w:numPr>
        <w:spacing w:after="210" w:line="360" w:lineRule="auto"/>
      </w:pPr>
      <w:bookmarkStart w:id="114" w:name="fn19"/>
      <w:bookmarkEnd w:id="114"/>
      <w:r>
        <w:fldChar w:fldCharType="begin"/>
      </w:r>
      <w:r>
        <w:instrText xml:space="preserve"> HYPERLINK "https://turftown.in/blog/types-of-badminton-shots" \h </w:instrText>
      </w:r>
      <w:r>
        <w:fldChar w:fldCharType="separate"/>
      </w:r>
      <w:r>
        <w:rPr>
          <w:rFonts w:ascii="inter" w:hAnsi="inter" w:eastAsia="inter" w:cs="inter"/>
          <w:color w:val="000000"/>
          <w:sz w:val="18"/>
          <w:u w:val="single"/>
        </w:rPr>
        <w:t>https://turftown.in/blog/types-of-badminton-shots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A80DA5">
      <w:pPr>
        <w:numPr>
          <w:ilvl w:val="0"/>
          <w:numId w:val="21"/>
        </w:numPr>
        <w:spacing w:after="210" w:line="360" w:lineRule="auto"/>
      </w:pPr>
      <w:bookmarkStart w:id="115" w:name="fn20"/>
      <w:bookmarkEnd w:id="115"/>
      <w:r>
        <w:fldChar w:fldCharType="begin"/>
      </w:r>
      <w:r>
        <w:instrText xml:space="preserve"> HYPERLINK "https://arxiv.org/html/2508.10281v1" \h </w:instrText>
      </w:r>
      <w:r>
        <w:fldChar w:fldCharType="separate"/>
      </w:r>
      <w:r>
        <w:rPr>
          <w:rFonts w:ascii="inter" w:hAnsi="inter" w:eastAsia="inter" w:cs="inter"/>
          <w:color w:val="000000"/>
          <w:sz w:val="18"/>
          <w:u w:val="single"/>
        </w:rPr>
        <w:t>https://arxiv.org/html/2508.10281v1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56B2D5">
      <w:pPr>
        <w:numPr>
          <w:ilvl w:val="0"/>
          <w:numId w:val="21"/>
        </w:numPr>
        <w:spacing w:after="210" w:line="360" w:lineRule="auto"/>
      </w:pPr>
      <w:bookmarkStart w:id="116" w:name="fn21"/>
      <w:bookmarkEnd w:id="116"/>
      <w:r>
        <w:fldChar w:fldCharType="begin"/>
      </w:r>
      <w:r>
        <w:instrText xml:space="preserve"> HYPERLINK "https://openaccess.thecvf.com/content/CVPR2024W/CVsports/papers/Ibh_A_Stroke_of_Genius_Predicting_the_Next_Move_in_Badminton_CVPRW_2024_paper.pdf" \h </w:instrText>
      </w:r>
      <w:r>
        <w:fldChar w:fldCharType="separate"/>
      </w:r>
      <w:r>
        <w:rPr>
          <w:rFonts w:ascii="inter" w:hAnsi="inter" w:eastAsia="inter" w:cs="inter"/>
          <w:color w:val="000000"/>
          <w:sz w:val="18"/>
          <w:u w:val="single"/>
        </w:rPr>
        <w:t>https://openaccess.thecvf.com/content/CVPR2024W/CVsports/papers/Ibh_A_Stroke_of_Genius_Predicting_the_Next_Move_in_Badminton_CVPRW_2024_paper.pdf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59B428">
      <w:pPr>
        <w:numPr>
          <w:ilvl w:val="0"/>
          <w:numId w:val="21"/>
        </w:numPr>
        <w:spacing w:after="210" w:line="360" w:lineRule="auto"/>
      </w:pPr>
      <w:bookmarkStart w:id="117" w:name="fn22"/>
      <w:bookmarkEnd w:id="117"/>
      <w:r>
        <w:fldChar w:fldCharType="begin"/>
      </w:r>
      <w:r>
        <w:instrText xml:space="preserve"> HYPERLINK "https://cs.stanford.edu/people/paulliu/files/cvpr-2022.pdf" \h </w:instrText>
      </w:r>
      <w:r>
        <w:fldChar w:fldCharType="separate"/>
      </w:r>
      <w:r>
        <w:rPr>
          <w:rFonts w:ascii="inter" w:hAnsi="inter" w:eastAsia="inter" w:cs="inter"/>
          <w:color w:val="000000"/>
          <w:sz w:val="18"/>
          <w:u w:val="single"/>
        </w:rPr>
        <w:t>https://cs.stanford.edu/people/paulliu/files/cvpr-2022.pdf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C09DAE">
      <w:pPr>
        <w:numPr>
          <w:ilvl w:val="0"/>
          <w:numId w:val="21"/>
        </w:numPr>
        <w:spacing w:after="210" w:line="360" w:lineRule="auto"/>
      </w:pPr>
      <w:bookmarkStart w:id="118" w:name="fn23"/>
      <w:bookmarkEnd w:id="118"/>
      <w:r>
        <w:fldChar w:fldCharType="begin"/>
      </w:r>
      <w:r>
        <w:instrText xml:space="preserve"> HYPERLINK "https://openaccess.thecvf.com/content/ACCV2020/papers/Shiraki_Spatial_Temporal_Attention_Graph_Convolutional_Networks_with_Mechanics-Stream_for_Skeleton-based_ACCV_2020_paper.pdf" \h </w:instrText>
      </w:r>
      <w:r>
        <w:fldChar w:fldCharType="separate"/>
      </w:r>
      <w:r>
        <w:rPr>
          <w:rFonts w:ascii="inter" w:hAnsi="inter" w:eastAsia="inter" w:cs="inter"/>
          <w:color w:val="000000"/>
          <w:sz w:val="18"/>
          <w:u w:val="single"/>
        </w:rPr>
        <w:t>https://openaccess.thecvf.com/content/ACCV2020/papers/Shiraki_Spatial_Temporal_Attention_Graph_Convolutional_Networks_with_Mechanics-Stream_for_Skeleton-based_ACCV_2020_paper.pdf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791D31">
      <w:pPr>
        <w:numPr>
          <w:ilvl w:val="0"/>
          <w:numId w:val="21"/>
        </w:numPr>
        <w:spacing w:after="210" w:line="360" w:lineRule="auto"/>
      </w:pPr>
      <w:bookmarkStart w:id="119" w:name="fn24"/>
      <w:bookmarkEnd w:id="119"/>
      <w:r>
        <w:fldChar w:fldCharType="begin"/>
      </w:r>
      <w:r>
        <w:instrText xml:space="preserve"> HYPERLINK "https://pmc.ncbi.nlm.nih.gov/articles/PMC10642548/" \h </w:instrText>
      </w:r>
      <w:r>
        <w:fldChar w:fldCharType="separate"/>
      </w:r>
      <w:r>
        <w:rPr>
          <w:rFonts w:ascii="inter" w:hAnsi="inter" w:eastAsia="inter" w:cs="inter"/>
          <w:color w:val="000000"/>
          <w:sz w:val="18"/>
          <w:u w:val="single"/>
        </w:rPr>
        <w:t>https://pmc.ncbi.nlm.nih.gov/articles/PMC10642548/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39A6BA">
      <w:pPr>
        <w:numPr>
          <w:ilvl w:val="0"/>
          <w:numId w:val="21"/>
        </w:numPr>
        <w:spacing w:after="210" w:line="360" w:lineRule="auto"/>
      </w:pPr>
      <w:bookmarkStart w:id="120" w:name="fn25"/>
      <w:bookmarkEnd w:id="120"/>
      <w:r>
        <w:fldChar w:fldCharType="begin"/>
      </w:r>
      <w:r>
        <w:instrText xml:space="preserve"> HYPERLINK "https://arxiv.org/pdf/2312.10942.pdf" \h </w:instrText>
      </w:r>
      <w:r>
        <w:fldChar w:fldCharType="separate"/>
      </w:r>
      <w:r>
        <w:rPr>
          <w:rFonts w:ascii="inter" w:hAnsi="inter" w:eastAsia="inter" w:cs="inter"/>
          <w:color w:val="000000"/>
          <w:sz w:val="18"/>
          <w:u w:val="single"/>
        </w:rPr>
        <w:t>https://arxiv.org/pdf/2312.10942.pdf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75C5E6">
      <w:pPr>
        <w:numPr>
          <w:ilvl w:val="0"/>
          <w:numId w:val="21"/>
        </w:numPr>
        <w:spacing w:after="210" w:line="360" w:lineRule="auto"/>
      </w:pPr>
      <w:bookmarkStart w:id="121" w:name="fn26"/>
      <w:bookmarkEnd w:id="121"/>
      <w:r>
        <w:fldChar w:fldCharType="begin"/>
      </w:r>
      <w:r>
        <w:instrText xml:space="preserve"> HYPERLINK "https://pmc.ncbi.nlm.nih.gov/articles/PMC8516566/" \h </w:instrText>
      </w:r>
      <w:r>
        <w:fldChar w:fldCharType="separate"/>
      </w:r>
      <w:r>
        <w:rPr>
          <w:rFonts w:ascii="inter" w:hAnsi="inter" w:eastAsia="inter" w:cs="inter"/>
          <w:color w:val="000000"/>
          <w:sz w:val="18"/>
          <w:u w:val="single"/>
        </w:rPr>
        <w:t>https://pmc.ncbi.nlm.nih.gov/articles/PMC8516566/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4A1CE5">
      <w:pPr>
        <w:numPr>
          <w:ilvl w:val="0"/>
          <w:numId w:val="21"/>
        </w:numPr>
        <w:spacing w:after="210" w:line="360" w:lineRule="auto"/>
      </w:pPr>
      <w:bookmarkStart w:id="122" w:name="fn27"/>
      <w:bookmarkEnd w:id="122"/>
      <w:r>
        <w:fldChar w:fldCharType="begin"/>
      </w:r>
      <w:r>
        <w:instrText xml:space="preserve"> HYPERLINK "https://ml4ad.github.io/files/papers/Conditional%20Flow%20Variational%20Autoencoders%20for%20Structured%20Sequence%20Prediction.pdf" \h </w:instrText>
      </w:r>
      <w:r>
        <w:fldChar w:fldCharType="separate"/>
      </w:r>
      <w:r>
        <w:rPr>
          <w:rFonts w:ascii="inter" w:hAnsi="inter" w:eastAsia="inter" w:cs="inter"/>
          <w:color w:val="000000"/>
          <w:sz w:val="18"/>
          <w:u w:val="single"/>
        </w:rPr>
        <w:t>https://ml4ad.github.io/files/papers/Conditional Flow Variational Autoencoders for Structured Sequence Prediction.pdf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EFDFFC">
      <w:pPr>
        <w:numPr>
          <w:ilvl w:val="0"/>
          <w:numId w:val="21"/>
        </w:numPr>
        <w:spacing w:after="210" w:line="360" w:lineRule="auto"/>
      </w:pPr>
      <w:bookmarkStart w:id="123" w:name="fn28"/>
      <w:bookmarkEnd w:id="123"/>
      <w:r>
        <w:fldChar w:fldCharType="begin"/>
      </w:r>
      <w:r>
        <w:instrText xml:space="preserve"> HYPERLINK "https://pmc.ncbi.nlm.nih.gov/articles/PMC5621014/" \h </w:instrText>
      </w:r>
      <w:r>
        <w:fldChar w:fldCharType="separate"/>
      </w:r>
      <w:r>
        <w:rPr>
          <w:rFonts w:ascii="inter" w:hAnsi="inter" w:eastAsia="inter" w:cs="inter"/>
          <w:color w:val="000000"/>
          <w:sz w:val="18"/>
          <w:u w:val="single"/>
        </w:rPr>
        <w:t>https://pmc.ncbi.nlm.nih.gov/articles/PMC5621014/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EABF3A">
      <w:pPr>
        <w:numPr>
          <w:ilvl w:val="0"/>
          <w:numId w:val="21"/>
        </w:numPr>
        <w:spacing w:after="210" w:line="360" w:lineRule="auto"/>
      </w:pPr>
      <w:bookmarkStart w:id="124" w:name="fn29"/>
      <w:bookmarkEnd w:id="124"/>
      <w:r>
        <w:fldChar w:fldCharType="begin"/>
      </w:r>
      <w:r>
        <w:instrText xml:space="preserve"> HYPERLINK "https://onlinelibrary.wiley.com/doi/10.1155/2022/1211238" \h </w:instrText>
      </w:r>
      <w:r>
        <w:fldChar w:fldCharType="separate"/>
      </w:r>
      <w:r>
        <w:rPr>
          <w:rFonts w:ascii="inter" w:hAnsi="inter" w:eastAsia="inter" w:cs="inter"/>
          <w:color w:val="000000"/>
          <w:sz w:val="18"/>
          <w:u w:val="single"/>
        </w:rPr>
        <w:t>https://onlinelibrary.wiley.com/doi/10.1155/2022/1211238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D07989">
      <w:pPr>
        <w:numPr>
          <w:ilvl w:val="0"/>
          <w:numId w:val="21"/>
        </w:numPr>
        <w:spacing w:after="210" w:line="360" w:lineRule="auto"/>
      </w:pPr>
      <w:bookmarkStart w:id="125" w:name="fn30"/>
      <w:bookmarkEnd w:id="125"/>
      <w:r>
        <w:fldChar w:fldCharType="begin"/>
      </w:r>
      <w:r>
        <w:instrText xml:space="preserve"> HYPERLINK "https://journals.plos.org/plosone/article?id=10.1371%2Fjournal.pone.0318321" \h </w:instrText>
      </w:r>
      <w:r>
        <w:fldChar w:fldCharType="separate"/>
      </w:r>
      <w:r>
        <w:rPr>
          <w:rFonts w:ascii="inter" w:hAnsi="inter" w:eastAsia="inter" w:cs="inter"/>
          <w:color w:val="000000"/>
          <w:sz w:val="18"/>
          <w:u w:val="single"/>
        </w:rPr>
        <w:t>https://journals.plos.org/plosone/article?id=10.1371%2Fjournal.pone.0318321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08F9CC">
      <w:pPr>
        <w:numPr>
          <w:ilvl w:val="0"/>
          <w:numId w:val="21"/>
        </w:numPr>
        <w:spacing w:after="210" w:line="360" w:lineRule="auto"/>
      </w:pPr>
      <w:bookmarkStart w:id="126" w:name="fn31"/>
      <w:bookmarkEnd w:id="126"/>
      <w:r>
        <w:fldChar w:fldCharType="begin"/>
      </w:r>
      <w:r>
        <w:instrText xml:space="preserve"> HYPERLINK "https://www.sciencedirect.com/science/article/abs/pii/S1077314224002741" \h </w:instrText>
      </w:r>
      <w:r>
        <w:fldChar w:fldCharType="separate"/>
      </w:r>
      <w:r>
        <w:rPr>
          <w:rFonts w:ascii="inter" w:hAnsi="inter" w:eastAsia="inter" w:cs="inter"/>
          <w:color w:val="000000"/>
          <w:sz w:val="18"/>
          <w:u w:val="single"/>
        </w:rPr>
        <w:t>https://www.sciencedirect.com/science/article/abs/pii/S1077314224002741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A92852">
      <w:pPr>
        <w:numPr>
          <w:ilvl w:val="0"/>
          <w:numId w:val="21"/>
        </w:numPr>
        <w:spacing w:after="210" w:line="360" w:lineRule="auto"/>
      </w:pPr>
      <w:bookmarkStart w:id="127" w:name="fn32"/>
      <w:bookmarkEnd w:id="127"/>
      <w:r>
        <w:fldChar w:fldCharType="begin"/>
      </w:r>
      <w:r>
        <w:instrText xml:space="preserve"> HYPERLINK "https://www.sciencedirect.com/science/article/abs/pii/S0925231223007452" \h </w:instrText>
      </w:r>
      <w:r>
        <w:fldChar w:fldCharType="separate"/>
      </w:r>
      <w:r>
        <w:rPr>
          <w:rFonts w:ascii="inter" w:hAnsi="inter" w:eastAsia="inter" w:cs="inter"/>
          <w:color w:val="000000"/>
          <w:sz w:val="18"/>
          <w:u w:val="single"/>
        </w:rPr>
        <w:t>https://www.sciencedirect.com/science/article/abs/pii/S0925231223007452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9E5B23">
      <w:pPr>
        <w:numPr>
          <w:ilvl w:val="0"/>
          <w:numId w:val="21"/>
        </w:numPr>
        <w:spacing w:after="210" w:line="360" w:lineRule="auto"/>
      </w:pPr>
      <w:bookmarkStart w:id="128" w:name="fn33"/>
      <w:bookmarkEnd w:id="128"/>
      <w:r>
        <w:fldChar w:fldCharType="begin"/>
      </w:r>
      <w:r>
        <w:instrText xml:space="preserve"> HYPERLINK "https://labelyourdata.com/articles/object-detection-metrics" \h </w:instrText>
      </w:r>
      <w:r>
        <w:fldChar w:fldCharType="separate"/>
      </w:r>
      <w:r>
        <w:rPr>
          <w:rFonts w:ascii="inter" w:hAnsi="inter" w:eastAsia="inter" w:cs="inter"/>
          <w:color w:val="000000"/>
          <w:sz w:val="18"/>
          <w:u w:val="single"/>
        </w:rPr>
        <w:t>https://labelyourdata.com/articles/object-detection-metrics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3A6B79">
      <w:pPr>
        <w:numPr>
          <w:ilvl w:val="0"/>
          <w:numId w:val="21"/>
        </w:numPr>
        <w:spacing w:after="210" w:line="360" w:lineRule="auto"/>
      </w:pPr>
      <w:bookmarkStart w:id="129" w:name="fn34"/>
      <w:bookmarkEnd w:id="129"/>
      <w:r>
        <w:fldChar w:fldCharType="begin"/>
      </w:r>
      <w:r>
        <w:instrText xml:space="preserve"> HYPERLINK "http://activity-net.org/challenges/2019/challenge.html" \h </w:instrText>
      </w:r>
      <w:r>
        <w:fldChar w:fldCharType="separate"/>
      </w:r>
      <w:r>
        <w:rPr>
          <w:rFonts w:ascii="inter" w:hAnsi="inter" w:eastAsia="inter" w:cs="inter"/>
          <w:color w:val="000000"/>
          <w:sz w:val="18"/>
          <w:u w:val="single"/>
        </w:rPr>
        <w:t>http://activity-net.org/challenges/2019/challenge.html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CC4D8B">
      <w:pPr>
        <w:numPr>
          <w:ilvl w:val="0"/>
          <w:numId w:val="21"/>
        </w:numPr>
        <w:spacing w:after="210" w:line="360" w:lineRule="auto"/>
      </w:pPr>
      <w:bookmarkStart w:id="130" w:name="fn35"/>
      <w:bookmarkEnd w:id="130"/>
      <w:r>
        <w:fldChar w:fldCharType="begin"/>
      </w:r>
      <w:r>
        <w:instrText xml:space="preserve"> HYPERLINK "https://www.ecva.net/papers/eccv_2022/papers_ECCV/papers/136940144.pdf" \h </w:instrText>
      </w:r>
      <w:r>
        <w:fldChar w:fldCharType="separate"/>
      </w:r>
      <w:r>
        <w:rPr>
          <w:rFonts w:ascii="inter" w:hAnsi="inter" w:eastAsia="inter" w:cs="inter"/>
          <w:color w:val="000000"/>
          <w:sz w:val="18"/>
          <w:u w:val="single"/>
        </w:rPr>
        <w:t>https://www.ecva.net/papers/eccv_2022/papers_ECCV/papers/136940144.pdf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34EAAC6">
      <w:pPr>
        <w:numPr>
          <w:ilvl w:val="0"/>
          <w:numId w:val="21"/>
        </w:numPr>
        <w:spacing w:after="210" w:line="360" w:lineRule="auto"/>
      </w:pPr>
      <w:bookmarkStart w:id="131" w:name="fn36"/>
      <w:bookmarkEnd w:id="131"/>
      <w:r>
        <w:fldChar w:fldCharType="begin"/>
      </w:r>
      <w:r>
        <w:instrText xml:space="preserve"> HYPERLINK "https://blog.roboflow.com/object-detection-metrics/" \h </w:instrText>
      </w:r>
      <w:r>
        <w:fldChar w:fldCharType="separate"/>
      </w:r>
      <w:r>
        <w:rPr>
          <w:rFonts w:ascii="inter" w:hAnsi="inter" w:eastAsia="inter" w:cs="inter"/>
          <w:color w:val="000000"/>
          <w:sz w:val="18"/>
          <w:u w:val="single"/>
        </w:rPr>
        <w:t>https://blog.roboflow.com/object-detection-metrics/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75338C">
      <w:pPr>
        <w:numPr>
          <w:ilvl w:val="0"/>
          <w:numId w:val="21"/>
        </w:numPr>
        <w:spacing w:after="210" w:line="360" w:lineRule="auto"/>
      </w:pPr>
      <w:bookmarkStart w:id="132" w:name="fn37"/>
      <w:bookmarkEnd w:id="132"/>
      <w:r>
        <w:fldChar w:fldCharType="begin"/>
      </w:r>
      <w:r>
        <w:instrText xml:space="preserve"> HYPERLINK "https://gist.github.com/jin-zhe/3a6054e99162bc9277940867f942bba2" \h </w:instrText>
      </w:r>
      <w:r>
        <w:fldChar w:fldCharType="separate"/>
      </w:r>
      <w:r>
        <w:rPr>
          <w:rFonts w:ascii="inter" w:hAnsi="inter" w:eastAsia="inter" w:cs="inter"/>
          <w:color w:val="000000"/>
          <w:sz w:val="18"/>
          <w:u w:val="single"/>
        </w:rPr>
        <w:t>https://gist.github.com/jin-zhe/3a6054e99162bc9277940867f942bba2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FD28DC">
      <w:pPr>
        <w:numPr>
          <w:ilvl w:val="0"/>
          <w:numId w:val="21"/>
        </w:numPr>
        <w:spacing w:after="210" w:line="360" w:lineRule="auto"/>
      </w:pPr>
      <w:bookmarkStart w:id="133" w:name="fn38"/>
      <w:bookmarkEnd w:id="133"/>
      <w:r>
        <w:fldChar w:fldCharType="begin"/>
      </w:r>
      <w:r>
        <w:instrText xml:space="preserve"> HYPERLINK "https://openaccess.thecvf.com/content/CVPR2023/papers/Lin_Video_Test-Time_Adaptation_for_Action_Recognition_CVPR_2023_paper.pdf" \h </w:instrText>
      </w:r>
      <w:r>
        <w:fldChar w:fldCharType="separate"/>
      </w:r>
      <w:r>
        <w:rPr>
          <w:rFonts w:ascii="inter" w:hAnsi="inter" w:eastAsia="inter" w:cs="inter"/>
          <w:color w:val="000000"/>
          <w:sz w:val="18"/>
          <w:u w:val="single"/>
        </w:rPr>
        <w:t>https://openaccess.thecvf.com/content/CVPR2023/papers/Lin_Video_Test-Time_Adaptation_for_Action_Recognition_CVPR_2023_paper.pdf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C7B049">
      <w:pPr>
        <w:numPr>
          <w:ilvl w:val="0"/>
          <w:numId w:val="21"/>
        </w:numPr>
        <w:spacing w:after="210" w:line="360" w:lineRule="auto"/>
      </w:pPr>
      <w:bookmarkStart w:id="134" w:name="fn39"/>
      <w:bookmarkEnd w:id="134"/>
      <w:r>
        <w:fldChar w:fldCharType="begin"/>
      </w:r>
      <w:r>
        <w:instrText xml:space="preserve"> HYPERLINK "https://encord.com/blog/f1-score-in-machine-learning/" \h </w:instrText>
      </w:r>
      <w:r>
        <w:fldChar w:fldCharType="separate"/>
      </w:r>
      <w:r>
        <w:rPr>
          <w:rFonts w:ascii="inter" w:hAnsi="inter" w:eastAsia="inter" w:cs="inter"/>
          <w:color w:val="000000"/>
          <w:sz w:val="18"/>
          <w:u w:val="single"/>
        </w:rPr>
        <w:t>https://encord.com/blog/f1-score-in-machine-learning/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B126AC">
      <w:pPr>
        <w:numPr>
          <w:ilvl w:val="0"/>
          <w:numId w:val="21"/>
        </w:numPr>
        <w:spacing w:after="210" w:line="360" w:lineRule="auto"/>
      </w:pPr>
      <w:bookmarkStart w:id="135" w:name="fn40"/>
      <w:bookmarkEnd w:id="135"/>
      <w:r>
        <w:fldChar w:fldCharType="begin"/>
      </w:r>
      <w:r>
        <w:instrText xml:space="preserve"> HYPERLINK "http://activity-net.org/challenges/2021/challenge.html" \h </w:instrText>
      </w:r>
      <w:r>
        <w:fldChar w:fldCharType="separate"/>
      </w:r>
      <w:r>
        <w:rPr>
          <w:rFonts w:ascii="inter" w:hAnsi="inter" w:eastAsia="inter" w:cs="inter"/>
          <w:color w:val="000000"/>
          <w:sz w:val="18"/>
          <w:u w:val="single"/>
        </w:rPr>
        <w:t>http://activity-net.org/challenges/2021/challenge.html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7A6A1F">
      <w:pPr>
        <w:numPr>
          <w:ilvl w:val="0"/>
          <w:numId w:val="21"/>
        </w:numPr>
        <w:spacing w:after="210" w:line="360" w:lineRule="auto"/>
      </w:pPr>
      <w:bookmarkStart w:id="136" w:name="fn41"/>
      <w:bookmarkEnd w:id="136"/>
      <w:r>
        <w:fldChar w:fldCharType="begin"/>
      </w:r>
      <w:r>
        <w:instrText xml:space="preserve"> HYPERLINK "https://www.v7labs.com/blog/mean-average-precision" \h </w:instrText>
      </w:r>
      <w:r>
        <w:fldChar w:fldCharType="separate"/>
      </w:r>
      <w:r>
        <w:rPr>
          <w:rFonts w:ascii="inter" w:hAnsi="inter" w:eastAsia="inter" w:cs="inter"/>
          <w:color w:val="000000"/>
          <w:sz w:val="18"/>
          <w:u w:val="single"/>
        </w:rPr>
        <w:t>https://www.v7labs.com/blog/mean-average-precision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27E32C">
      <w:pPr>
        <w:numPr>
          <w:ilvl w:val="0"/>
          <w:numId w:val="21"/>
        </w:numPr>
        <w:spacing w:after="210" w:line="360" w:lineRule="auto"/>
      </w:pPr>
      <w:bookmarkStart w:id="137" w:name="fn42"/>
      <w:bookmarkEnd w:id="137"/>
      <w:r>
        <w:fldChar w:fldCharType="begin"/>
      </w:r>
      <w:r>
        <w:instrText xml:space="preserve"> HYPERLINK "https://arxiv.org/html/2403.05234v1" \h </w:instrText>
      </w:r>
      <w:r>
        <w:fldChar w:fldCharType="separate"/>
      </w:r>
      <w:r>
        <w:rPr>
          <w:rFonts w:ascii="inter" w:hAnsi="inter" w:eastAsia="inter" w:cs="inter"/>
          <w:color w:val="000000"/>
          <w:sz w:val="18"/>
          <w:u w:val="single"/>
        </w:rPr>
        <w:t>https://arxiv.org/html/2403.05234v1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6E48DF">
      <w:pPr>
        <w:numPr>
          <w:ilvl w:val="0"/>
          <w:numId w:val="21"/>
        </w:numPr>
        <w:spacing w:after="210" w:line="360" w:lineRule="auto"/>
      </w:pPr>
      <w:bookmarkStart w:id="138" w:name="fn43"/>
      <w:bookmarkEnd w:id="138"/>
      <w:r>
        <w:fldChar w:fldCharType="begin"/>
      </w:r>
      <w:r>
        <w:instrText xml:space="preserve"> HYPERLINK "https://jonmun.github.io/mmsada/mmsada.pdf" \h </w:instrText>
      </w:r>
      <w:r>
        <w:fldChar w:fldCharType="separate"/>
      </w:r>
      <w:r>
        <w:rPr>
          <w:rFonts w:ascii="inter" w:hAnsi="inter" w:eastAsia="inter" w:cs="inter"/>
          <w:color w:val="000000"/>
          <w:sz w:val="18"/>
          <w:u w:val="single"/>
        </w:rPr>
        <w:t>https://jonmun.github.io/mmsada/mmsada.pdf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F942AD">
      <w:pPr>
        <w:numPr>
          <w:ilvl w:val="0"/>
          <w:numId w:val="21"/>
        </w:numPr>
        <w:spacing w:after="210" w:line="360" w:lineRule="auto"/>
      </w:pPr>
      <w:bookmarkStart w:id="139" w:name="fn44"/>
      <w:bookmarkEnd w:id="139"/>
      <w:r>
        <w:fldChar w:fldCharType="begin"/>
      </w:r>
      <w:r>
        <w:instrText xml:space="preserve"> HYPERLINK "https://neptune.ai/blog/f1-score-accuracy-roc-auc-pr-auc" \h </w:instrText>
      </w:r>
      <w:r>
        <w:fldChar w:fldCharType="separate"/>
      </w:r>
      <w:r>
        <w:rPr>
          <w:rFonts w:ascii="inter" w:hAnsi="inter" w:eastAsia="inter" w:cs="inter"/>
          <w:color w:val="000000"/>
          <w:sz w:val="18"/>
          <w:u w:val="single"/>
        </w:rPr>
        <w:t>https://neptune.ai/blog/f1-score-accuracy-roc-auc-pr-auc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E900D1">
      <w:pPr>
        <w:numPr>
          <w:ilvl w:val="0"/>
          <w:numId w:val="21"/>
        </w:numPr>
        <w:spacing w:after="210" w:line="360" w:lineRule="auto"/>
      </w:pPr>
      <w:bookmarkStart w:id="140" w:name="fn45"/>
      <w:bookmarkEnd w:id="140"/>
      <w:r>
        <w:fldChar w:fldCharType="begin"/>
      </w:r>
      <w:r>
        <w:instrText xml:space="preserve"> HYPERLINK "https://dl.acm.org/doi/10.1145/3633516" \h </w:instrText>
      </w:r>
      <w:r>
        <w:fldChar w:fldCharType="separate"/>
      </w:r>
      <w:r>
        <w:rPr>
          <w:rFonts w:ascii="inter" w:hAnsi="inter" w:eastAsia="inter" w:cs="inter"/>
          <w:color w:val="000000"/>
          <w:sz w:val="18"/>
          <w:u w:val="single"/>
        </w:rPr>
        <w:t>https://dl.acm.org/doi/10.1145/3633516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3D242A">
      <w:pPr>
        <w:numPr>
          <w:ilvl w:val="0"/>
          <w:numId w:val="21"/>
        </w:numPr>
        <w:spacing w:after="210" w:line="360" w:lineRule="auto"/>
      </w:pPr>
      <w:bookmarkStart w:id="141" w:name="fn46"/>
      <w:bookmarkEnd w:id="141"/>
      <w:r>
        <w:fldChar w:fldCharType="begin"/>
      </w:r>
      <w:r>
        <w:instrText xml:space="preserve"> HYPERLINK "https://ieeexplore.ieee.org/document/9795353/" \h </w:instrText>
      </w:r>
      <w:r>
        <w:fldChar w:fldCharType="separate"/>
      </w:r>
      <w:r>
        <w:rPr>
          <w:rFonts w:ascii="inter" w:hAnsi="inter" w:eastAsia="inter" w:cs="inter"/>
          <w:color w:val="000000"/>
          <w:sz w:val="18"/>
          <w:u w:val="single"/>
        </w:rPr>
        <w:t>https://ieeexplore.ieee.org/document/9795353/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7CB9A9">
      <w:pPr>
        <w:numPr>
          <w:ilvl w:val="0"/>
          <w:numId w:val="21"/>
        </w:numPr>
        <w:spacing w:after="210" w:line="360" w:lineRule="auto"/>
      </w:pPr>
      <w:bookmarkStart w:id="142" w:name="fn47"/>
      <w:bookmarkEnd w:id="142"/>
      <w:r>
        <w:fldChar w:fldCharType="begin"/>
      </w:r>
      <w:r>
        <w:instrText xml:space="preserve"> HYPERLINK "https://www.geeksforgeeks.org/computer-vision/evaluating-object-detection-models-methods-and-metrics/" \h </w:instrText>
      </w:r>
      <w:r>
        <w:fldChar w:fldCharType="separate"/>
      </w:r>
      <w:r>
        <w:rPr>
          <w:rFonts w:ascii="inter" w:hAnsi="inter" w:eastAsia="inter" w:cs="inter"/>
          <w:color w:val="000000"/>
          <w:sz w:val="18"/>
          <w:u w:val="single"/>
        </w:rPr>
        <w:t>https://www.geeksforgeeks.org/computer-vision/evaluating-object-detection-models-methods-and-metrics/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002AA3">
      <w:pPr>
        <w:numPr>
          <w:ilvl w:val="0"/>
          <w:numId w:val="21"/>
        </w:numPr>
        <w:spacing w:after="210" w:line="360" w:lineRule="auto"/>
      </w:pPr>
      <w:bookmarkStart w:id="143" w:name="fn48"/>
      <w:bookmarkEnd w:id="143"/>
      <w:r>
        <w:fldChar w:fldCharType="begin"/>
      </w:r>
      <w:r>
        <w:instrText xml:space="preserve"> HYPERLINK "http://activity-net.org/challenges/2017/guidelines.html" \h </w:instrText>
      </w:r>
      <w:r>
        <w:fldChar w:fldCharType="separate"/>
      </w:r>
      <w:r>
        <w:rPr>
          <w:rFonts w:ascii="inter" w:hAnsi="inter" w:eastAsia="inter" w:cs="inter"/>
          <w:color w:val="000000"/>
          <w:sz w:val="18"/>
          <w:u w:val="single"/>
        </w:rPr>
        <w:t>http://activity-net.org/challenges/2017/guidelines.html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18ACF8">
      <w:pPr>
        <w:numPr>
          <w:ilvl w:val="0"/>
          <w:numId w:val="21"/>
        </w:numPr>
        <w:spacing w:after="210" w:line="360" w:lineRule="auto"/>
      </w:pPr>
      <w:bookmarkStart w:id="144" w:name="fn49"/>
      <w:bookmarkEnd w:id="144"/>
      <w:r>
        <w:fldChar w:fldCharType="begin"/>
      </w:r>
      <w:r>
        <w:instrText xml:space="preserve"> HYPERLINK "https://www.youtube.com/watch?v=neBZ6huolkg" \h </w:instrText>
      </w:r>
      <w:r>
        <w:fldChar w:fldCharType="separate"/>
      </w:r>
      <w:r>
        <w:rPr>
          <w:rFonts w:ascii="inter" w:hAnsi="inter" w:eastAsia="inter" w:cs="inter"/>
          <w:color w:val="000000"/>
          <w:sz w:val="18"/>
          <w:u w:val="single"/>
        </w:rPr>
        <w:t>https://www.youtube.com/watch?v=neBZ6huolkg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10A600">
      <w:pPr>
        <w:numPr>
          <w:ilvl w:val="0"/>
          <w:numId w:val="21"/>
        </w:numPr>
        <w:spacing w:after="210" w:line="360" w:lineRule="auto"/>
      </w:pPr>
      <w:bookmarkStart w:id="145" w:name="fn50"/>
      <w:bookmarkEnd w:id="145"/>
      <w:r>
        <w:fldChar w:fldCharType="begin"/>
      </w:r>
      <w:r>
        <w:instrText xml:space="preserve"> HYPERLINK "https://www.nature.com/articles/s41598-025-32425-9" \h </w:instrText>
      </w:r>
      <w:r>
        <w:fldChar w:fldCharType="separate"/>
      </w:r>
      <w:r>
        <w:rPr>
          <w:rFonts w:ascii="inter" w:hAnsi="inter" w:eastAsia="inter" w:cs="inter"/>
          <w:color w:val="000000"/>
          <w:sz w:val="18"/>
          <w:u w:val="single"/>
        </w:rPr>
        <w:t>https://www.nature.com/articles/s41598-025-32425-9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B15339">
      <w:pPr>
        <w:numPr>
          <w:ilvl w:val="0"/>
          <w:numId w:val="21"/>
        </w:numPr>
        <w:spacing w:after="210" w:line="360" w:lineRule="auto"/>
      </w:pPr>
      <w:bookmarkStart w:id="146" w:name="fn51"/>
      <w:bookmarkEnd w:id="146"/>
      <w:r>
        <w:fldChar w:fldCharType="begin"/>
      </w:r>
      <w:r>
        <w:instrText xml:space="preserve"> HYPERLINK "https://www.veroke.com/insights/how-top-ai-multi-object-trackers-perform-in-real-world-scenarios/" \h </w:instrText>
      </w:r>
      <w:r>
        <w:fldChar w:fldCharType="separate"/>
      </w:r>
      <w:r>
        <w:rPr>
          <w:rFonts w:ascii="inter" w:hAnsi="inter" w:eastAsia="inter" w:cs="inter"/>
          <w:color w:val="000000"/>
          <w:sz w:val="18"/>
          <w:u w:val="single"/>
        </w:rPr>
        <w:t>https://www.veroke.com/insights/how-top-ai-multi-object-trackers-perform-in-real-world-scenarios/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C3BC48">
      <w:pPr>
        <w:numPr>
          <w:ilvl w:val="0"/>
          <w:numId w:val="21"/>
        </w:numPr>
        <w:spacing w:after="210" w:line="360" w:lineRule="auto"/>
      </w:pPr>
      <w:bookmarkStart w:id="147" w:name="fn52"/>
      <w:bookmarkEnd w:id="147"/>
      <w:r>
        <w:fldChar w:fldCharType="begin"/>
      </w:r>
      <w:r>
        <w:instrText xml:space="preserve"> HYPERLINK "https://www.sciencedirect.com/science/article/abs/pii/S1077314224000389" \h </w:instrText>
      </w:r>
      <w:r>
        <w:fldChar w:fldCharType="separate"/>
      </w:r>
      <w:r>
        <w:rPr>
          <w:rFonts w:ascii="inter" w:hAnsi="inter" w:eastAsia="inter" w:cs="inter"/>
          <w:color w:val="000000"/>
          <w:sz w:val="18"/>
          <w:u w:val="single"/>
        </w:rPr>
        <w:t>https://www.sciencedirect.com/science/article/abs/pii/S1077314224000389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ECFCE9">
      <w:pPr>
        <w:numPr>
          <w:ilvl w:val="0"/>
          <w:numId w:val="21"/>
        </w:numPr>
        <w:spacing w:after="210" w:line="360" w:lineRule="auto"/>
      </w:pPr>
      <w:bookmarkStart w:id="148" w:name="fn53"/>
      <w:bookmarkEnd w:id="148"/>
      <w:r>
        <w:fldChar w:fldCharType="begin"/>
      </w:r>
      <w:r>
        <w:instrText xml:space="preserve"> HYPERLINK "https://docs.ultralytics.com/modes/track/" \h </w:instrText>
      </w:r>
      <w:r>
        <w:fldChar w:fldCharType="separate"/>
      </w:r>
      <w:r>
        <w:rPr>
          <w:rFonts w:ascii="inter" w:hAnsi="inter" w:eastAsia="inter" w:cs="inter"/>
          <w:color w:val="000000"/>
          <w:sz w:val="18"/>
          <w:u w:val="single"/>
        </w:rPr>
        <w:t>https://docs.ultralytics.com/modes/track/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0B8851">
      <w:pPr>
        <w:numPr>
          <w:ilvl w:val="0"/>
          <w:numId w:val="21"/>
        </w:numPr>
        <w:spacing w:after="210" w:line="360" w:lineRule="auto"/>
      </w:pPr>
      <w:bookmarkStart w:id="149" w:name="fn54"/>
      <w:bookmarkEnd w:id="149"/>
      <w:r>
        <w:fldChar w:fldCharType="begin"/>
      </w:r>
      <w:r>
        <w:instrText xml:space="preserve"> HYPERLINK "https://pmc.ncbi.nlm.nih.gov/articles/PMC10141924/" \h </w:instrText>
      </w:r>
      <w:r>
        <w:fldChar w:fldCharType="separate"/>
      </w:r>
      <w:r>
        <w:rPr>
          <w:rFonts w:ascii="inter" w:hAnsi="inter" w:eastAsia="inter" w:cs="inter"/>
          <w:color w:val="000000"/>
          <w:sz w:val="18"/>
          <w:u w:val="single"/>
        </w:rPr>
        <w:t>https://pmc.ncbi.nlm.nih.gov/articles/PMC10141924/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4AF068">
      <w:pPr>
        <w:numPr>
          <w:ilvl w:val="0"/>
          <w:numId w:val="21"/>
        </w:numPr>
        <w:spacing w:after="210" w:line="360" w:lineRule="auto"/>
      </w:pPr>
      <w:bookmarkStart w:id="150" w:name="fn55"/>
      <w:bookmarkEnd w:id="150"/>
      <w:r>
        <w:fldChar w:fldCharType="begin"/>
      </w:r>
      <w:r>
        <w:instrText xml:space="preserve"> HYPERLINK "https://proceedings.iclr.cc/paper_files/paper/2025/file/8428da31da191712130ce8cce265691a-Paper-Conference.pdf" \h </w:instrText>
      </w:r>
      <w:r>
        <w:fldChar w:fldCharType="separate"/>
      </w:r>
      <w:r>
        <w:rPr>
          <w:rFonts w:ascii="inter" w:hAnsi="inter" w:eastAsia="inter" w:cs="inter"/>
          <w:color w:val="000000"/>
          <w:sz w:val="18"/>
          <w:u w:val="single"/>
        </w:rPr>
        <w:t>https://proceedings.iclr.cc/paper_files/paper/2025/file/8428da31da191712130ce8cce265691a-Paper-Conference.pdf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AA6A4A">
      <w:pPr>
        <w:numPr>
          <w:ilvl w:val="0"/>
          <w:numId w:val="21"/>
        </w:numPr>
        <w:spacing w:after="210" w:line="360" w:lineRule="auto"/>
      </w:pPr>
      <w:bookmarkStart w:id="151" w:name="fn56"/>
      <w:bookmarkEnd w:id="151"/>
      <w:r>
        <w:fldChar w:fldCharType="begin"/>
      </w:r>
      <w:r>
        <w:instrText xml:space="preserve"> HYPERLINK "https://www.youtube.com/watch?v=txW0CQe_pw0" \h </w:instrText>
      </w:r>
      <w:r>
        <w:fldChar w:fldCharType="separate"/>
      </w:r>
      <w:r>
        <w:rPr>
          <w:rFonts w:ascii="inter" w:hAnsi="inter" w:eastAsia="inter" w:cs="inter"/>
          <w:color w:val="000000"/>
          <w:sz w:val="18"/>
          <w:u w:val="single"/>
        </w:rPr>
        <w:t>https://www.youtube.com/watch?v=txW0CQe_pw0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E5FF98">
      <w:pPr>
        <w:numPr>
          <w:ilvl w:val="0"/>
          <w:numId w:val="21"/>
        </w:numPr>
        <w:spacing w:after="210" w:line="360" w:lineRule="auto"/>
      </w:pPr>
      <w:bookmarkStart w:id="152" w:name="fn57"/>
      <w:bookmarkEnd w:id="152"/>
      <w:r>
        <w:fldChar w:fldCharType="begin"/>
      </w:r>
      <w:r>
        <w:instrText xml:space="preserve"> HYPERLINK "https://www.labellerr.com/blog/deepsort-real-time-object-tracking-guide/" \h </w:instrText>
      </w:r>
      <w:r>
        <w:fldChar w:fldCharType="separate"/>
      </w:r>
      <w:r>
        <w:rPr>
          <w:rFonts w:ascii="inter" w:hAnsi="inter" w:eastAsia="inter" w:cs="inter"/>
          <w:color w:val="000000"/>
          <w:sz w:val="18"/>
          <w:u w:val="single"/>
        </w:rPr>
        <w:t>https://www.labellerr.com/blog/deepsort-real-time-object-tracking-guide/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561DF2">
      <w:pPr>
        <w:numPr>
          <w:ilvl w:val="0"/>
          <w:numId w:val="21"/>
        </w:numPr>
        <w:spacing w:after="210" w:line="360" w:lineRule="auto"/>
      </w:pPr>
      <w:bookmarkStart w:id="153" w:name="fn58"/>
      <w:bookmarkEnd w:id="153"/>
      <w:r>
        <w:fldChar w:fldCharType="begin"/>
      </w:r>
      <w:r>
        <w:instrText xml:space="preserve"> HYPERLINK "https://github.com/MichlF/sports_object_detection" \h </w:instrText>
      </w:r>
      <w:r>
        <w:fldChar w:fldCharType="separate"/>
      </w:r>
      <w:r>
        <w:rPr>
          <w:rFonts w:ascii="inter" w:hAnsi="inter" w:eastAsia="inter" w:cs="inter"/>
          <w:color w:val="000000"/>
          <w:sz w:val="18"/>
          <w:u w:val="single"/>
        </w:rPr>
        <w:t>https://github.com/MichlF/sports_object_detection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E36736">
      <w:pPr>
        <w:numPr>
          <w:ilvl w:val="0"/>
          <w:numId w:val="21"/>
        </w:numPr>
        <w:spacing w:after="210" w:line="360" w:lineRule="auto"/>
      </w:pPr>
      <w:bookmarkStart w:id="154" w:name="fn59"/>
      <w:bookmarkEnd w:id="154"/>
      <w:r>
        <w:fldChar w:fldCharType="begin"/>
      </w:r>
      <w:r>
        <w:instrText xml:space="preserve"> HYPERLINK "https://ieeexplore.ieee.org/document/11126500/" \h </w:instrText>
      </w:r>
      <w:r>
        <w:fldChar w:fldCharType="separate"/>
      </w:r>
      <w:r>
        <w:rPr>
          <w:rFonts w:ascii="inter" w:hAnsi="inter" w:eastAsia="inter" w:cs="inter"/>
          <w:color w:val="000000"/>
          <w:sz w:val="18"/>
          <w:u w:val="single"/>
        </w:rPr>
        <w:t>https://ieeexplore.ieee.org/document/11126500/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2A10ED">
      <w:pPr>
        <w:numPr>
          <w:ilvl w:val="0"/>
          <w:numId w:val="21"/>
        </w:numPr>
        <w:spacing w:after="210" w:line="360" w:lineRule="auto"/>
      </w:pPr>
      <w:bookmarkStart w:id="155" w:name="fn60"/>
      <w:bookmarkEnd w:id="155"/>
      <w:r>
        <w:fldChar w:fldCharType="begin"/>
      </w:r>
      <w:r>
        <w:instrText xml:space="preserve"> HYPERLINK "https://arxiv.org/html/2505.03991v3" \h </w:instrText>
      </w:r>
      <w:r>
        <w:fldChar w:fldCharType="separate"/>
      </w:r>
      <w:r>
        <w:rPr>
          <w:rFonts w:ascii="inter" w:hAnsi="inter" w:eastAsia="inter" w:cs="inter"/>
          <w:color w:val="000000"/>
          <w:sz w:val="18"/>
          <w:u w:val="single"/>
        </w:rPr>
        <w:t>https://arxiv.org/html/2505.03991v3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2275CA">
      <w:pPr>
        <w:numPr>
          <w:ilvl w:val="0"/>
          <w:numId w:val="21"/>
        </w:numPr>
        <w:spacing w:after="210" w:line="360" w:lineRule="auto"/>
      </w:pPr>
      <w:bookmarkStart w:id="156" w:name="fn61"/>
      <w:bookmarkEnd w:id="156"/>
      <w:r>
        <w:fldChar w:fldCharType="begin"/>
      </w:r>
      <w:r>
        <w:instrText xml:space="preserve"> HYPERLINK "https://pmc.ncbi.nlm.nih.gov/articles/PMC12696263/" \h </w:instrText>
      </w:r>
      <w:r>
        <w:fldChar w:fldCharType="separate"/>
      </w:r>
      <w:r>
        <w:rPr>
          <w:rFonts w:ascii="inter" w:hAnsi="inter" w:eastAsia="inter" w:cs="inter"/>
          <w:color w:val="000000"/>
          <w:sz w:val="18"/>
          <w:u w:val="single"/>
        </w:rPr>
        <w:t>https://pmc.ncbi.nlm.nih.gov/articles/PMC12696263/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84A3FB">
      <w:pPr>
        <w:numPr>
          <w:ilvl w:val="0"/>
          <w:numId w:val="21"/>
        </w:numPr>
        <w:spacing w:after="210" w:line="360" w:lineRule="auto"/>
      </w:pPr>
      <w:bookmarkStart w:id="157" w:name="fn62"/>
      <w:bookmarkEnd w:id="157"/>
      <w:r>
        <w:fldChar w:fldCharType="begin"/>
      </w:r>
      <w:r>
        <w:instrText xml:space="preserve"> HYPERLINK "http://dahua.site/publications/dhl18_stgcn.pdf" \h </w:instrText>
      </w:r>
      <w:r>
        <w:fldChar w:fldCharType="separate"/>
      </w:r>
      <w:r>
        <w:rPr>
          <w:rFonts w:ascii="inter" w:hAnsi="inter" w:eastAsia="inter" w:cs="inter"/>
          <w:color w:val="000000"/>
          <w:sz w:val="18"/>
          <w:u w:val="single"/>
        </w:rPr>
        <w:t>http://dahua.site/publications/dhl18_stgcn.pdf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BF8987">
      <w:pPr>
        <w:numPr>
          <w:ilvl w:val="0"/>
          <w:numId w:val="21"/>
        </w:numPr>
        <w:spacing w:after="210" w:line="360" w:lineRule="auto"/>
      </w:pPr>
      <w:bookmarkStart w:id="158" w:name="fn63"/>
      <w:bookmarkEnd w:id="158"/>
      <w:r>
        <w:fldChar w:fldCharType="begin"/>
      </w:r>
      <w:r>
        <w:instrText xml:space="preserve"> HYPERLINK "https://www.sciencedirect.com/science/article/pii/S2667305325000651" \h </w:instrText>
      </w:r>
      <w:r>
        <w:fldChar w:fldCharType="separate"/>
      </w:r>
      <w:r>
        <w:rPr>
          <w:rFonts w:ascii="inter" w:hAnsi="inter" w:eastAsia="inter" w:cs="inter"/>
          <w:color w:val="000000"/>
          <w:sz w:val="18"/>
          <w:u w:val="single"/>
        </w:rPr>
        <w:t>https://www.sciencedirect.com/science/article/pii/S2667305325000651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0C4C40">
      <w:pPr>
        <w:numPr>
          <w:ilvl w:val="0"/>
          <w:numId w:val="21"/>
        </w:numPr>
        <w:spacing w:after="210" w:line="360" w:lineRule="auto"/>
      </w:pPr>
      <w:bookmarkStart w:id="159" w:name="fn64"/>
      <w:bookmarkEnd w:id="159"/>
      <w:r>
        <w:fldChar w:fldCharType="begin"/>
      </w:r>
      <w:r>
        <w:instrText xml:space="preserve"> HYPERLINK "https://www.sciencedirect.com/science/article/pii/S1110016825005587" \h </w:instrText>
      </w:r>
      <w:r>
        <w:fldChar w:fldCharType="separate"/>
      </w:r>
      <w:r>
        <w:rPr>
          <w:rFonts w:ascii="inter" w:hAnsi="inter" w:eastAsia="inter" w:cs="inter"/>
          <w:color w:val="000000"/>
          <w:sz w:val="18"/>
          <w:u w:val="single"/>
        </w:rPr>
        <w:t>https://www.sciencedirect.com/science/article/pii/S1110016825005587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ED0C9B">
      <w:pPr>
        <w:numPr>
          <w:ilvl w:val="0"/>
          <w:numId w:val="21"/>
        </w:numPr>
        <w:spacing w:after="210" w:line="360" w:lineRule="auto"/>
      </w:pPr>
      <w:bookmarkStart w:id="160" w:name="fn65"/>
      <w:bookmarkEnd w:id="160"/>
      <w:r>
        <w:fldChar w:fldCharType="begin"/>
      </w:r>
      <w:r>
        <w:instrText xml:space="preserve"> HYPERLINK "https://ieeexplore.ieee.org/iel8/6287639/10820123/11215760.pdf" \h </w:instrText>
      </w:r>
      <w:r>
        <w:fldChar w:fldCharType="separate"/>
      </w:r>
      <w:r>
        <w:rPr>
          <w:rFonts w:ascii="inter" w:hAnsi="inter" w:eastAsia="inter" w:cs="inter"/>
          <w:color w:val="000000"/>
          <w:sz w:val="18"/>
          <w:u w:val="single"/>
        </w:rPr>
        <w:t>https://ieeexplore.ieee.org/iel8/6287639/10820123/11215760.pdf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A3B63D">
      <w:pPr>
        <w:numPr>
          <w:ilvl w:val="0"/>
          <w:numId w:val="21"/>
        </w:numPr>
        <w:spacing w:after="210" w:line="360" w:lineRule="auto"/>
      </w:pPr>
      <w:bookmarkStart w:id="161" w:name="fn66"/>
      <w:bookmarkEnd w:id="161"/>
      <w:r>
        <w:fldChar w:fldCharType="begin"/>
      </w:r>
      <w:r>
        <w:instrText xml:space="preserve"> HYPERLINK "https://dl.acm.org/doi/10.1145/3766918.3766971" \h </w:instrText>
      </w:r>
      <w:r>
        <w:fldChar w:fldCharType="separate"/>
      </w:r>
      <w:r>
        <w:rPr>
          <w:rFonts w:ascii="inter" w:hAnsi="inter" w:eastAsia="inter" w:cs="inter"/>
          <w:color w:val="000000"/>
          <w:sz w:val="18"/>
          <w:u w:val="single"/>
        </w:rPr>
        <w:t>https://dl.acm.org/doi/10.1145/3766918.3766971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AB493C">
      <w:pPr>
        <w:numPr>
          <w:ilvl w:val="0"/>
          <w:numId w:val="21"/>
        </w:numPr>
        <w:spacing w:after="210" w:line="360" w:lineRule="auto"/>
      </w:pPr>
      <w:bookmarkStart w:id="162" w:name="fn67"/>
      <w:bookmarkEnd w:id="162"/>
      <w:r>
        <w:fldChar w:fldCharType="begin"/>
      </w:r>
      <w:r>
        <w:instrText xml:space="preserve"> HYPERLINK "https://github.com/yysijie/st-gcn" \h </w:instrText>
      </w:r>
      <w:r>
        <w:fldChar w:fldCharType="separate"/>
      </w:r>
      <w:r>
        <w:rPr>
          <w:rFonts w:ascii="inter" w:hAnsi="inter" w:eastAsia="inter" w:cs="inter"/>
          <w:color w:val="000000"/>
          <w:sz w:val="18"/>
          <w:u w:val="single"/>
        </w:rPr>
        <w:t>https://github.com/yysijie/st-gcn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32CF79">
      <w:pPr>
        <w:numPr>
          <w:ilvl w:val="0"/>
          <w:numId w:val="21"/>
        </w:numPr>
        <w:spacing w:after="210" w:line="360" w:lineRule="auto"/>
      </w:pPr>
      <w:bookmarkStart w:id="163" w:name="fn68"/>
      <w:bookmarkEnd w:id="163"/>
      <w:r>
        <w:fldChar w:fldCharType="begin"/>
      </w:r>
      <w:r>
        <w:instrText xml:space="preserve"> HYPERLINK "https://openaccess.thecvf.com/content/ICCV2021/papers/Zhao_Video_Self-Stitching_Graph_Network_for_Temporal_Action_Localization_ICCV_2021_paper.pdf" \h </w:instrText>
      </w:r>
      <w:r>
        <w:fldChar w:fldCharType="separate"/>
      </w:r>
      <w:r>
        <w:rPr>
          <w:rFonts w:ascii="inter" w:hAnsi="inter" w:eastAsia="inter" w:cs="inter"/>
          <w:color w:val="000000"/>
          <w:sz w:val="18"/>
          <w:u w:val="single"/>
        </w:rPr>
        <w:t>https://openaccess.thecvf.com/content/ICCV2021/papers/Zhao_Video_Self-Stitching_Graph_Network_for_Temporal_Action_Localization_ICCV_2021_paper.pdf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0E27E5">
      <w:pPr>
        <w:numPr>
          <w:ilvl w:val="0"/>
          <w:numId w:val="21"/>
        </w:numPr>
        <w:spacing w:after="210" w:line="360" w:lineRule="auto"/>
      </w:pPr>
      <w:bookmarkStart w:id="164" w:name="fn69"/>
      <w:bookmarkEnd w:id="164"/>
      <w:r>
        <w:fldChar w:fldCharType="begin"/>
      </w:r>
      <w:r>
        <w:instrText xml:space="preserve"> HYPERLINK "https://www.nature.com/articles/s41598-025-26972-4" \h </w:instrText>
      </w:r>
      <w:r>
        <w:fldChar w:fldCharType="separate"/>
      </w:r>
      <w:r>
        <w:rPr>
          <w:rFonts w:ascii="inter" w:hAnsi="inter" w:eastAsia="inter" w:cs="inter"/>
          <w:color w:val="000000"/>
          <w:sz w:val="18"/>
          <w:u w:val="single"/>
        </w:rPr>
        <w:t>https://www.nature.com/articles/s41598-025-26972-4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E5915B">
      <w:pPr>
        <w:numPr>
          <w:ilvl w:val="0"/>
          <w:numId w:val="21"/>
        </w:numPr>
        <w:spacing w:after="210" w:line="360" w:lineRule="auto"/>
      </w:pPr>
      <w:bookmarkStart w:id="165" w:name="fn70"/>
      <w:bookmarkEnd w:id="165"/>
      <w:r>
        <w:fldChar w:fldCharType="begin"/>
      </w:r>
      <w:r>
        <w:instrText xml:space="preserve"> HYPERLINK "https://www.sciencedirect.com/org/science/article/pii/S1546221825002826" \h </w:instrText>
      </w:r>
      <w:r>
        <w:fldChar w:fldCharType="separate"/>
      </w:r>
      <w:r>
        <w:rPr>
          <w:rFonts w:ascii="inter" w:hAnsi="inter" w:eastAsia="inter" w:cs="inter"/>
          <w:color w:val="000000"/>
          <w:sz w:val="18"/>
          <w:u w:val="single"/>
        </w:rPr>
        <w:t>https://www.sciencedirect.com/org/science/article/pii/S1546221825002826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5C7413">
      <w:pPr>
        <w:numPr>
          <w:ilvl w:val="0"/>
          <w:numId w:val="21"/>
        </w:numPr>
        <w:spacing w:after="210" w:line="360" w:lineRule="auto"/>
      </w:pPr>
      <w:bookmarkStart w:id="166" w:name="fn71"/>
      <w:bookmarkEnd w:id="166"/>
      <w:r>
        <w:fldChar w:fldCharType="begin"/>
      </w:r>
      <w:r>
        <w:instrText xml:space="preserve"> HYPERLINK "https://dl.acm.org/doi/abs/10.1109/TPAMI.2023.3330794" \h </w:instrText>
      </w:r>
      <w:r>
        <w:fldChar w:fldCharType="separate"/>
      </w:r>
      <w:r>
        <w:rPr>
          <w:rFonts w:ascii="inter" w:hAnsi="inter" w:eastAsia="inter" w:cs="inter"/>
          <w:color w:val="000000"/>
          <w:sz w:val="18"/>
          <w:u w:val="single"/>
        </w:rPr>
        <w:t>https://dl.acm.org/doi/abs/10.1109/TPAMI.2023.3330794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444A3A">
      <w:pPr>
        <w:numPr>
          <w:ilvl w:val="0"/>
          <w:numId w:val="21"/>
        </w:numPr>
        <w:spacing w:after="210" w:line="360" w:lineRule="auto"/>
      </w:pPr>
      <w:bookmarkStart w:id="167" w:name="fn72"/>
      <w:bookmarkEnd w:id="167"/>
      <w:r>
        <w:fldChar w:fldCharType="begin"/>
      </w:r>
      <w:r>
        <w:instrText xml:space="preserve"> HYPERLINK "https://www.informatica.si/index.php/informatica/article/view/6759" \h </w:instrText>
      </w:r>
      <w:r>
        <w:fldChar w:fldCharType="separate"/>
      </w:r>
      <w:r>
        <w:rPr>
          <w:rFonts w:ascii="inter" w:hAnsi="inter" w:eastAsia="inter" w:cs="inter"/>
          <w:color w:val="000000"/>
          <w:sz w:val="18"/>
          <w:u w:val="single"/>
        </w:rPr>
        <w:t>https://www.informatica.si/index.php/informatica/article/view/6759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78AD23">
      <w:pPr>
        <w:numPr>
          <w:ilvl w:val="0"/>
          <w:numId w:val="21"/>
        </w:numPr>
        <w:spacing w:after="210" w:line="360" w:lineRule="auto"/>
      </w:pPr>
      <w:bookmarkStart w:id="168" w:name="fn73"/>
      <w:bookmarkEnd w:id="168"/>
      <w:r>
        <w:fldChar w:fldCharType="begin"/>
      </w:r>
      <w:r>
        <w:instrText xml:space="preserve"> HYPERLINK "https://www.aimspress.com/article/doi/10.3934/era.2024129?viewType=HTML" \h </w:instrText>
      </w:r>
      <w:r>
        <w:fldChar w:fldCharType="separate"/>
      </w:r>
      <w:r>
        <w:rPr>
          <w:rFonts w:ascii="inter" w:hAnsi="inter" w:eastAsia="inter" w:cs="inter"/>
          <w:color w:val="000000"/>
          <w:sz w:val="18"/>
          <w:u w:val="single"/>
        </w:rPr>
        <w:t>https://www.aimspress.com/article/doi/10.3934/era.2024129?viewType=HTML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DC4FF3">
      <w:pPr>
        <w:numPr>
          <w:ilvl w:val="0"/>
          <w:numId w:val="21"/>
        </w:numPr>
        <w:spacing w:after="210" w:line="360" w:lineRule="auto"/>
      </w:pPr>
      <w:bookmarkStart w:id="169" w:name="fn74"/>
      <w:bookmarkEnd w:id="169"/>
      <w:r>
        <w:fldChar w:fldCharType="begin"/>
      </w:r>
      <w:r>
        <w:instrText xml:space="preserve"> HYPERLINK "https://ceur-ws.org/Vol-3694/paper4.pdf" \h </w:instrText>
      </w:r>
      <w:r>
        <w:fldChar w:fldCharType="separate"/>
      </w:r>
      <w:r>
        <w:rPr>
          <w:rFonts w:ascii="inter" w:hAnsi="inter" w:eastAsia="inter" w:cs="inter"/>
          <w:color w:val="000000"/>
          <w:sz w:val="18"/>
          <w:u w:val="single"/>
        </w:rPr>
        <w:t>https://ceur-ws.org/Vol-3694/paper4.pdf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51832E">
      <w:pPr>
        <w:numPr>
          <w:ilvl w:val="0"/>
          <w:numId w:val="21"/>
        </w:numPr>
        <w:spacing w:after="210" w:line="360" w:lineRule="auto"/>
      </w:pPr>
      <w:bookmarkStart w:id="170" w:name="fn75"/>
      <w:bookmarkEnd w:id="170"/>
      <w:r>
        <w:fldChar w:fldCharType="begin"/>
      </w:r>
      <w:r>
        <w:instrText xml:space="preserve"> HYPERLINK "https://www.sciencedirect.com/science/article/abs/pii/S0262885624002865" \h </w:instrText>
      </w:r>
      <w:r>
        <w:fldChar w:fldCharType="separate"/>
      </w:r>
      <w:r>
        <w:rPr>
          <w:rFonts w:ascii="inter" w:hAnsi="inter" w:eastAsia="inter" w:cs="inter"/>
          <w:color w:val="000000"/>
          <w:sz w:val="18"/>
          <w:u w:val="single"/>
        </w:rPr>
        <w:t>https://www.sciencedirect.com/science/article/abs/pii/S0262885624002865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2F4EED">
      <w:pPr>
        <w:numPr>
          <w:ilvl w:val="0"/>
          <w:numId w:val="21"/>
        </w:numPr>
        <w:spacing w:after="210" w:line="360" w:lineRule="auto"/>
      </w:pPr>
      <w:bookmarkStart w:id="171" w:name="fn76"/>
      <w:bookmarkEnd w:id="171"/>
      <w:r>
        <w:fldChar w:fldCharType="begin"/>
      </w:r>
      <w:r>
        <w:instrText xml:space="preserve"> HYPERLINK "https://pmc.ncbi.nlm.nih.gov/articles/PMC6869237/" \h </w:instrText>
      </w:r>
      <w:r>
        <w:fldChar w:fldCharType="separate"/>
      </w:r>
      <w:r>
        <w:rPr>
          <w:rFonts w:ascii="inter" w:hAnsi="inter" w:eastAsia="inter" w:cs="inter"/>
          <w:color w:val="000000"/>
          <w:sz w:val="18"/>
          <w:u w:val="single"/>
        </w:rPr>
        <w:t>https://pmc.ncbi.nlm.nih.gov/articles/PMC6869237/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A104C8">
      <w:pPr>
        <w:numPr>
          <w:ilvl w:val="0"/>
          <w:numId w:val="21"/>
        </w:numPr>
        <w:spacing w:after="210" w:line="360" w:lineRule="auto"/>
      </w:pPr>
      <w:bookmarkStart w:id="172" w:name="fn77"/>
      <w:bookmarkEnd w:id="172"/>
      <w:r>
        <w:fldChar w:fldCharType="begin"/>
      </w:r>
      <w:r>
        <w:instrText xml:space="preserve"> HYPERLINK "https://www.sciencedirect.com/science/article/abs/pii/S0262885621001190" \h </w:instrText>
      </w:r>
      <w:r>
        <w:fldChar w:fldCharType="separate"/>
      </w:r>
      <w:r>
        <w:rPr>
          <w:rFonts w:ascii="inter" w:hAnsi="inter" w:eastAsia="inter" w:cs="inter"/>
          <w:color w:val="000000"/>
          <w:sz w:val="18"/>
          <w:u w:val="single"/>
        </w:rPr>
        <w:t>https://www.sciencedirect.com/science/article/abs/pii/S0262885621001190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52B81F">
      <w:pPr>
        <w:numPr>
          <w:ilvl w:val="0"/>
          <w:numId w:val="21"/>
        </w:numPr>
        <w:spacing w:after="210" w:line="360" w:lineRule="auto"/>
      </w:pPr>
      <w:bookmarkStart w:id="173" w:name="fn78"/>
      <w:bookmarkEnd w:id="173"/>
      <w:r>
        <w:fldChar w:fldCharType="begin"/>
      </w:r>
      <w:r>
        <w:instrText xml:space="preserve"> HYPERLINK "https://onlinelibrary.wiley.com/doi/10.1155/2022/3413584" \h </w:instrText>
      </w:r>
      <w:r>
        <w:fldChar w:fldCharType="separate"/>
      </w:r>
      <w:r>
        <w:rPr>
          <w:rFonts w:ascii="inter" w:hAnsi="inter" w:eastAsia="inter" w:cs="inter"/>
          <w:color w:val="000000"/>
          <w:sz w:val="18"/>
          <w:u w:val="single"/>
        </w:rPr>
        <w:t>https://onlinelibrary.wiley.com/doi/10.1155/2022/3413584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651616">
      <w:pPr>
        <w:numPr>
          <w:ilvl w:val="0"/>
          <w:numId w:val="21"/>
        </w:numPr>
        <w:spacing w:after="210" w:line="360" w:lineRule="auto"/>
      </w:pPr>
      <w:bookmarkStart w:id="174" w:name="fn79"/>
      <w:bookmarkEnd w:id="174"/>
      <w:r>
        <w:fldChar w:fldCharType="begin"/>
      </w:r>
      <w:r>
        <w:instrText xml:space="preserve"> HYPERLINK "https://arxiv.org/pdf/1703.01170.pdf" \h </w:instrText>
      </w:r>
      <w:r>
        <w:fldChar w:fldCharType="separate"/>
      </w:r>
      <w:r>
        <w:rPr>
          <w:rFonts w:ascii="inter" w:hAnsi="inter" w:eastAsia="inter" w:cs="inter"/>
          <w:color w:val="000000"/>
          <w:sz w:val="18"/>
          <w:u w:val="single"/>
        </w:rPr>
        <w:t>https://arxiv.org/pdf/1703.01170.pdf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132339">
      <w:pPr>
        <w:numPr>
          <w:ilvl w:val="0"/>
          <w:numId w:val="21"/>
        </w:numPr>
        <w:spacing w:after="210" w:line="360" w:lineRule="auto"/>
      </w:pPr>
      <w:bookmarkStart w:id="175" w:name="fn80"/>
      <w:bookmarkEnd w:id="175"/>
      <w:r>
        <w:fldChar w:fldCharType="begin"/>
      </w:r>
      <w:r>
        <w:instrText xml:space="preserve"> HYPERLINK "https://dl.acm.org/doi/10.1145/3746027.3754807" \h </w:instrText>
      </w:r>
      <w:r>
        <w:fldChar w:fldCharType="separate"/>
      </w:r>
      <w:r>
        <w:rPr>
          <w:rFonts w:ascii="inter" w:hAnsi="inter" w:eastAsia="inter" w:cs="inter"/>
          <w:color w:val="000000"/>
          <w:sz w:val="18"/>
          <w:u w:val="single"/>
        </w:rPr>
        <w:t>https://dl.acm.org/doi/10.1145/3746027.3754807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3AF1B9">
      <w:pPr>
        <w:numPr>
          <w:ilvl w:val="0"/>
          <w:numId w:val="21"/>
        </w:numPr>
        <w:spacing w:after="210" w:line="360" w:lineRule="auto"/>
      </w:pPr>
      <w:bookmarkStart w:id="176" w:name="fn81"/>
      <w:bookmarkEnd w:id="176"/>
      <w:r>
        <w:fldChar w:fldCharType="begin"/>
      </w:r>
      <w:r>
        <w:instrText xml:space="preserve"> HYPERLINK "https://ieeexplore.ieee.org/iel7/9428049/9428068/09428213.pdf" \h </w:instrText>
      </w:r>
      <w:r>
        <w:fldChar w:fldCharType="separate"/>
      </w:r>
      <w:r>
        <w:rPr>
          <w:rFonts w:ascii="inter" w:hAnsi="inter" w:eastAsia="inter" w:cs="inter"/>
          <w:color w:val="000000"/>
          <w:sz w:val="18"/>
          <w:u w:val="single"/>
        </w:rPr>
        <w:t>https://ieeexplore.ieee.org/iel7/9428049/9428068/09428213.pdf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2DA384">
      <w:pPr>
        <w:numPr>
          <w:ilvl w:val="0"/>
          <w:numId w:val="21"/>
        </w:numPr>
        <w:spacing w:after="210" w:line="360" w:lineRule="auto"/>
      </w:pPr>
      <w:bookmarkStart w:id="177" w:name="fn82"/>
      <w:bookmarkEnd w:id="177"/>
      <w:r>
        <w:fldChar w:fldCharType="begin"/>
      </w:r>
      <w:r>
        <w:instrText xml:space="preserve"> HYPERLINK "https://arxiv.org/html/2412.16454v1" \h </w:instrText>
      </w:r>
      <w:r>
        <w:fldChar w:fldCharType="separate"/>
      </w:r>
      <w:r>
        <w:rPr>
          <w:rFonts w:ascii="inter" w:hAnsi="inter" w:eastAsia="inter" w:cs="inter"/>
          <w:color w:val="000000"/>
          <w:sz w:val="18"/>
          <w:u w:val="single"/>
        </w:rPr>
        <w:t>https://arxiv.org/html/2412.16454v1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B645F0">
      <w:pPr>
        <w:numPr>
          <w:ilvl w:val="0"/>
          <w:numId w:val="21"/>
        </w:numPr>
        <w:spacing w:after="210" w:line="360" w:lineRule="auto"/>
      </w:pPr>
      <w:bookmarkStart w:id="178" w:name="fn83"/>
      <w:bookmarkEnd w:id="178"/>
      <w:r>
        <w:fldChar w:fldCharType="begin"/>
      </w:r>
      <w:r>
        <w:instrText xml:space="preserve"> HYPERLINK "https://dl.acm.org/doi/pdf/10.1145/3511808.3557820" \h </w:instrText>
      </w:r>
      <w:r>
        <w:fldChar w:fldCharType="separate"/>
      </w:r>
      <w:r>
        <w:rPr>
          <w:rFonts w:ascii="inter" w:hAnsi="inter" w:eastAsia="inter" w:cs="inter"/>
          <w:color w:val="000000"/>
          <w:sz w:val="18"/>
          <w:u w:val="single"/>
        </w:rPr>
        <w:t>https://dl.acm.org/doi/pdf/10.1145/3511808.3557820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795B45">
      <w:pPr>
        <w:numPr>
          <w:ilvl w:val="0"/>
          <w:numId w:val="21"/>
        </w:numPr>
        <w:spacing w:after="210" w:line="360" w:lineRule="auto"/>
      </w:pPr>
      <w:bookmarkStart w:id="179" w:name="fn84"/>
      <w:bookmarkEnd w:id="179"/>
      <w:r>
        <w:fldChar w:fldCharType="begin"/>
      </w:r>
      <w:r>
        <w:instrText xml:space="preserve"> HYPERLINK "https://ietresearch.onlinelibrary.wiley.com/doi/10.1049/cvi2.12253" \h </w:instrText>
      </w:r>
      <w:r>
        <w:fldChar w:fldCharType="separate"/>
      </w:r>
      <w:r>
        <w:rPr>
          <w:rFonts w:ascii="inter" w:hAnsi="inter" w:eastAsia="inter" w:cs="inter"/>
          <w:color w:val="000000"/>
          <w:sz w:val="18"/>
          <w:u w:val="single"/>
        </w:rPr>
        <w:t>https://ietresearch.onlinelibrary.wiley.com/doi/10.1049/cvi2.12253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38F716">
      <w:pPr>
        <w:numPr>
          <w:ilvl w:val="0"/>
          <w:numId w:val="21"/>
        </w:numPr>
        <w:spacing w:after="210" w:line="360" w:lineRule="auto"/>
      </w:pPr>
      <w:bookmarkStart w:id="180" w:name="fn85"/>
      <w:bookmarkEnd w:id="180"/>
      <w:r>
        <w:fldChar w:fldCharType="begin"/>
      </w:r>
      <w:r>
        <w:instrText xml:space="preserve"> HYPERLINK "https://ieeexplore.ieee.org/iel8/6287639/10820123/10830493.pdf" \h </w:instrText>
      </w:r>
      <w:r>
        <w:fldChar w:fldCharType="separate"/>
      </w:r>
      <w:r>
        <w:rPr>
          <w:rFonts w:ascii="inter" w:hAnsi="inter" w:eastAsia="inter" w:cs="inter"/>
          <w:color w:val="000000"/>
          <w:sz w:val="18"/>
          <w:u w:val="single"/>
        </w:rPr>
        <w:t>https://ieeexplore.ieee.org/iel8/6287639/10820123/10830493.pdf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579A8E">
      <w:pPr>
        <w:numPr>
          <w:ilvl w:val="0"/>
          <w:numId w:val="21"/>
        </w:numPr>
        <w:spacing w:after="210" w:line="360" w:lineRule="auto"/>
      </w:pPr>
      <w:bookmarkStart w:id="181" w:name="fn86"/>
      <w:bookmarkEnd w:id="181"/>
      <w:r>
        <w:fldChar w:fldCharType="begin"/>
      </w:r>
      <w:r>
        <w:instrText xml:space="preserve"> HYPERLINK "https://ieeexplore.ieee.org/iel8/6287639/10380310/10637388.pdf" \h </w:instrText>
      </w:r>
      <w:r>
        <w:fldChar w:fldCharType="separate"/>
      </w:r>
      <w:r>
        <w:rPr>
          <w:rFonts w:ascii="inter" w:hAnsi="inter" w:eastAsia="inter" w:cs="inter"/>
          <w:color w:val="000000"/>
          <w:sz w:val="18"/>
          <w:u w:val="single"/>
        </w:rPr>
        <w:t>https://ieeexplore.ieee.org/iel8/6287639/10380310/10637388.pdf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0E0156">
      <w:pPr>
        <w:numPr>
          <w:ilvl w:val="0"/>
          <w:numId w:val="21"/>
        </w:numPr>
        <w:spacing w:after="210" w:line="360" w:lineRule="auto"/>
      </w:pPr>
      <w:bookmarkStart w:id="182" w:name="fn87"/>
      <w:bookmarkEnd w:id="182"/>
      <w:r>
        <w:fldChar w:fldCharType="begin"/>
      </w:r>
      <w:r>
        <w:instrText xml:space="preserve"> HYPERLINK "https://arxiv.org/html/2503.10722v1" \h </w:instrText>
      </w:r>
      <w:r>
        <w:fldChar w:fldCharType="separate"/>
      </w:r>
      <w:r>
        <w:rPr>
          <w:rFonts w:ascii="inter" w:hAnsi="inter" w:eastAsia="inter" w:cs="inter"/>
          <w:color w:val="000000"/>
          <w:sz w:val="18"/>
          <w:u w:val="single"/>
        </w:rPr>
        <w:t>https://arxiv.org/html/2503.10722v1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ADB2A3">
      <w:pPr>
        <w:numPr>
          <w:ilvl w:val="0"/>
          <w:numId w:val="21"/>
        </w:numPr>
        <w:spacing w:after="210" w:line="360" w:lineRule="auto"/>
      </w:pPr>
      <w:bookmarkStart w:id="183" w:name="fn88"/>
      <w:bookmarkEnd w:id="183"/>
      <w:r>
        <w:fldChar w:fldCharType="begin"/>
      </w:r>
      <w:r>
        <w:instrText xml:space="preserve"> HYPERLINK "https://www.informatica.si/index.php/informatica/article/view/8013" \h </w:instrText>
      </w:r>
      <w:r>
        <w:fldChar w:fldCharType="separate"/>
      </w:r>
      <w:r>
        <w:rPr>
          <w:rFonts w:ascii="inter" w:hAnsi="inter" w:eastAsia="inter" w:cs="inter"/>
          <w:color w:val="000000"/>
          <w:sz w:val="18"/>
          <w:u w:val="single"/>
        </w:rPr>
        <w:t>https://www.informatica.si/index.php/informatica/article/view/8013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899476">
      <w:pPr>
        <w:numPr>
          <w:ilvl w:val="0"/>
          <w:numId w:val="21"/>
        </w:numPr>
        <w:spacing w:after="210" w:line="360" w:lineRule="auto"/>
      </w:pPr>
      <w:bookmarkStart w:id="184" w:name="fn89"/>
      <w:bookmarkEnd w:id="184"/>
      <w:r>
        <w:fldChar w:fldCharType="begin"/>
      </w:r>
      <w:r>
        <w:instrText xml:space="preserve"> HYPERLINK "https://www.frontiersin.org/journals/neurorobotics/articles/10.3389/fnbot.2022.857595/full" \h </w:instrText>
      </w:r>
      <w:r>
        <w:fldChar w:fldCharType="separate"/>
      </w:r>
      <w:r>
        <w:rPr>
          <w:rFonts w:ascii="inter" w:hAnsi="inter" w:eastAsia="inter" w:cs="inter"/>
          <w:color w:val="000000"/>
          <w:sz w:val="18"/>
          <w:u w:val="single"/>
        </w:rPr>
        <w:t>https://www.frontiersin.org/journals/neurorobotics/articles/10.3389/fnbot.2022.857595/full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F68527">
      <w:pPr>
        <w:numPr>
          <w:ilvl w:val="0"/>
          <w:numId w:val="21"/>
        </w:numPr>
        <w:spacing w:after="210" w:line="360" w:lineRule="auto"/>
      </w:pPr>
      <w:bookmarkStart w:id="185" w:name="fn90"/>
      <w:bookmarkEnd w:id="185"/>
      <w:r>
        <w:fldChar w:fldCharType="begin"/>
      </w:r>
      <w:r>
        <w:instrText xml:space="preserve"> HYPERLINK "https://onlinelibrary.wiley.com/doi/10.1155/2021/5183088" \h </w:instrText>
      </w:r>
      <w:r>
        <w:fldChar w:fldCharType="separate"/>
      </w:r>
      <w:r>
        <w:rPr>
          <w:rFonts w:ascii="inter" w:hAnsi="inter" w:eastAsia="inter" w:cs="inter"/>
          <w:color w:val="000000"/>
          <w:sz w:val="18"/>
          <w:u w:val="single"/>
        </w:rPr>
        <w:t>https://onlinelibrary.wiley.com/doi/10.1155/2021/5183088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EE5938">
      <w:pPr>
        <w:numPr>
          <w:ilvl w:val="0"/>
          <w:numId w:val="21"/>
        </w:numPr>
        <w:spacing w:after="210" w:line="360" w:lineRule="auto"/>
      </w:pPr>
      <w:bookmarkStart w:id="186" w:name="fn91"/>
      <w:bookmarkEnd w:id="186"/>
      <w:r>
        <w:fldChar w:fldCharType="begin"/>
      </w:r>
      <w:r>
        <w:instrText xml:space="preserve"> HYPERLINK "https://aclanthology.org/2020.ccl-1.83.pdf" \h </w:instrText>
      </w:r>
      <w:r>
        <w:fldChar w:fldCharType="separate"/>
      </w:r>
      <w:r>
        <w:rPr>
          <w:rFonts w:ascii="inter" w:hAnsi="inter" w:eastAsia="inter" w:cs="inter"/>
          <w:color w:val="000000"/>
          <w:sz w:val="18"/>
          <w:u w:val="single"/>
        </w:rPr>
        <w:t>https://aclanthology.org/2020.ccl-1.83.pdf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A6F8B7">
      <w:pPr>
        <w:numPr>
          <w:ilvl w:val="0"/>
          <w:numId w:val="21"/>
        </w:numPr>
        <w:spacing w:after="210" w:line="360" w:lineRule="auto"/>
      </w:pPr>
      <w:bookmarkStart w:id="187" w:name="fn92"/>
      <w:bookmarkEnd w:id="187"/>
      <w:r>
        <w:fldChar w:fldCharType="begin"/>
      </w:r>
      <w:r>
        <w:instrText xml:space="preserve"> HYPERLINK "https://mpra.ub.uni-muenchen.de/39896/1/MPRA_paper_39896.pdf" \h </w:instrText>
      </w:r>
      <w:r>
        <w:fldChar w:fldCharType="separate"/>
      </w:r>
      <w:r>
        <w:rPr>
          <w:rFonts w:ascii="inter" w:hAnsi="inter" w:eastAsia="inter" w:cs="inter"/>
          <w:color w:val="000000"/>
          <w:sz w:val="18"/>
          <w:u w:val="single"/>
        </w:rPr>
        <w:t>https://mpra.ub.uni-muenchen.de/39896/1/MPRA_paper_39896.pdf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DE1DF6">
      <w:pPr>
        <w:numPr>
          <w:ilvl w:val="0"/>
          <w:numId w:val="21"/>
        </w:numPr>
        <w:spacing w:after="210" w:line="360" w:lineRule="auto"/>
      </w:pPr>
      <w:bookmarkStart w:id="188" w:name="fn93"/>
      <w:bookmarkEnd w:id="188"/>
      <w:r>
        <w:fldChar w:fldCharType="begin"/>
      </w:r>
      <w:r>
        <w:instrText xml:space="preserve"> HYPERLINK "https://arxiv.org/pdf/1904.13085.pdf" \h </w:instrText>
      </w:r>
      <w:r>
        <w:fldChar w:fldCharType="separate"/>
      </w:r>
      <w:r>
        <w:rPr>
          <w:rFonts w:ascii="inter" w:hAnsi="inter" w:eastAsia="inter" w:cs="inter"/>
          <w:color w:val="000000"/>
          <w:sz w:val="18"/>
          <w:u w:val="single"/>
        </w:rPr>
        <w:t>https://arxiv.org/pdf/1904.13085.pdf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BA534D">
      <w:pPr>
        <w:numPr>
          <w:ilvl w:val="0"/>
          <w:numId w:val="21"/>
        </w:numPr>
        <w:spacing w:after="210" w:line="360" w:lineRule="auto"/>
      </w:pPr>
      <w:bookmarkStart w:id="189" w:name="fn94"/>
      <w:bookmarkEnd w:id="189"/>
      <w:r>
        <w:fldChar w:fldCharType="begin"/>
      </w:r>
      <w:r>
        <w:instrText xml:space="preserve"> HYPERLINK "https://dl.acm.org/doi/pdf/10.5555/3505326.3505349" \h </w:instrText>
      </w:r>
      <w:r>
        <w:fldChar w:fldCharType="separate"/>
      </w:r>
      <w:r>
        <w:rPr>
          <w:rFonts w:ascii="inter" w:hAnsi="inter" w:eastAsia="inter" w:cs="inter"/>
          <w:color w:val="000000"/>
          <w:sz w:val="18"/>
          <w:u w:val="single"/>
        </w:rPr>
        <w:t>https://dl.acm.org/doi/pdf/10.5555/3505326.3505349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386EA7">
      <w:pPr>
        <w:numPr>
          <w:ilvl w:val="0"/>
          <w:numId w:val="21"/>
        </w:numPr>
        <w:spacing w:after="210" w:line="360" w:lineRule="auto"/>
      </w:pPr>
      <w:bookmarkStart w:id="190" w:name="fn95"/>
      <w:bookmarkEnd w:id="190"/>
      <w:r>
        <w:fldChar w:fldCharType="begin"/>
      </w:r>
      <w:r>
        <w:instrText xml:space="preserve"> HYPERLINK "https://ieeexplore.ieee.org/iel7/6287639/6514899/10372211.pdf" \h </w:instrText>
      </w:r>
      <w:r>
        <w:fldChar w:fldCharType="separate"/>
      </w:r>
      <w:r>
        <w:rPr>
          <w:rFonts w:ascii="inter" w:hAnsi="inter" w:eastAsia="inter" w:cs="inter"/>
          <w:color w:val="000000"/>
          <w:sz w:val="18"/>
          <w:u w:val="single"/>
        </w:rPr>
        <w:t>https://ieeexplore.ieee.org/iel7/6287639/6514899/10372211.pdf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A9F27F">
      <w:pPr>
        <w:numPr>
          <w:ilvl w:val="0"/>
          <w:numId w:val="21"/>
        </w:numPr>
        <w:spacing w:after="210" w:line="360" w:lineRule="auto"/>
      </w:pPr>
      <w:bookmarkStart w:id="191" w:name="fn96"/>
      <w:bookmarkEnd w:id="191"/>
      <w:r>
        <w:fldChar w:fldCharType="begin"/>
      </w:r>
      <w:r>
        <w:instrText xml:space="preserve"> HYPERLINK "http://hmmlab.cn/papers/Learning%20Uncoupled-Modulation%20CVAE%20for%203D%20Action-Conditioned%20Human%20Motion%20Synthesis.pdf" \h </w:instrText>
      </w:r>
      <w:r>
        <w:fldChar w:fldCharType="separate"/>
      </w:r>
      <w:r>
        <w:rPr>
          <w:rFonts w:ascii="inter" w:hAnsi="inter" w:eastAsia="inter" w:cs="inter"/>
          <w:color w:val="000000"/>
          <w:sz w:val="18"/>
          <w:u w:val="single"/>
        </w:rPr>
        <w:t>http://hmmlab.cn/papers/Learning Uncoupled-Modulation CVAE for 3D Action-Conditioned Human Motion Synthesis.pdf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B6E5DF">
      <w:pPr>
        <w:numPr>
          <w:ilvl w:val="0"/>
          <w:numId w:val="21"/>
        </w:numPr>
        <w:spacing w:after="210" w:line="360" w:lineRule="auto"/>
      </w:pPr>
      <w:bookmarkStart w:id="192" w:name="fn97"/>
      <w:bookmarkEnd w:id="192"/>
      <w:r>
        <w:fldChar w:fldCharType="begin"/>
      </w:r>
      <w:r>
        <w:instrText xml:space="preserve"> HYPERLINK "https://pmc.ncbi.nlm.nih.gov/articles/PMC11621344/" \h </w:instrText>
      </w:r>
      <w:r>
        <w:fldChar w:fldCharType="separate"/>
      </w:r>
      <w:r>
        <w:rPr>
          <w:rFonts w:ascii="inter" w:hAnsi="inter" w:eastAsia="inter" w:cs="inter"/>
          <w:color w:val="000000"/>
          <w:sz w:val="18"/>
          <w:u w:val="single"/>
        </w:rPr>
        <w:t>https://pmc.ncbi.nlm.nih.gov/articles/PMC11621344/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1D6569">
      <w:pPr>
        <w:numPr>
          <w:ilvl w:val="0"/>
          <w:numId w:val="21"/>
        </w:numPr>
        <w:spacing w:after="210" w:line="360" w:lineRule="auto"/>
      </w:pPr>
      <w:bookmarkStart w:id="193" w:name="fn98"/>
      <w:bookmarkEnd w:id="193"/>
      <w:r>
        <w:fldChar w:fldCharType="begin"/>
      </w:r>
      <w:r>
        <w:instrText xml:space="preserve"> HYPERLINK "https://openaccess.thecvf.com/content_cvpr_2018/CameraReady/3890.pdf" \h </w:instrText>
      </w:r>
      <w:r>
        <w:fldChar w:fldCharType="separate"/>
      </w:r>
      <w:r>
        <w:rPr>
          <w:rFonts w:ascii="inter" w:hAnsi="inter" w:eastAsia="inter" w:cs="inter"/>
          <w:color w:val="000000"/>
          <w:sz w:val="18"/>
          <w:u w:val="single"/>
        </w:rPr>
        <w:t>https://openaccess.thecvf.com/content_cvpr_2018/CameraReady/3890.pdf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D5F112">
      <w:pPr>
        <w:numPr>
          <w:ilvl w:val="0"/>
          <w:numId w:val="21"/>
        </w:numPr>
        <w:spacing w:after="210" w:line="360" w:lineRule="auto"/>
      </w:pPr>
      <w:bookmarkStart w:id="194" w:name="fn99"/>
      <w:bookmarkEnd w:id="194"/>
      <w:r>
        <w:fldChar w:fldCharType="begin"/>
      </w:r>
      <w:r>
        <w:instrText xml:space="preserve"> HYPERLINK "https://www.scitepress.org/papers/2016/57114/57114.pdf" \h </w:instrText>
      </w:r>
      <w:r>
        <w:fldChar w:fldCharType="separate"/>
      </w:r>
      <w:r>
        <w:rPr>
          <w:rFonts w:ascii="inter" w:hAnsi="inter" w:eastAsia="inter" w:cs="inter"/>
          <w:color w:val="000000"/>
          <w:sz w:val="18"/>
          <w:u w:val="single"/>
        </w:rPr>
        <w:t>https://www.scitepress.org/papers/2016/57114/57114.pdf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CCB7B1">
      <w:pPr>
        <w:numPr>
          <w:ilvl w:val="0"/>
          <w:numId w:val="21"/>
        </w:numPr>
        <w:spacing w:after="210" w:line="360" w:lineRule="auto"/>
      </w:pPr>
      <w:bookmarkStart w:id="195" w:name="fn100"/>
      <w:bookmarkEnd w:id="195"/>
      <w:r>
        <w:fldChar w:fldCharType="begin"/>
      </w:r>
      <w:r>
        <w:instrText xml:space="preserve"> HYPERLINK "https://www.sciencedirect.com/science/article/abs/pii/S0031320322005106" \h </w:instrText>
      </w:r>
      <w:r>
        <w:fldChar w:fldCharType="separate"/>
      </w:r>
      <w:r>
        <w:rPr>
          <w:rFonts w:ascii="inter" w:hAnsi="inter" w:eastAsia="inter" w:cs="inter"/>
          <w:color w:val="000000"/>
          <w:sz w:val="18"/>
          <w:u w:val="single"/>
        </w:rPr>
        <w:t>https://www.sciencedirect.com/science/article/abs/pii/S0031320322005106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DB133F">
      <w:pPr>
        <w:numPr>
          <w:ilvl w:val="0"/>
          <w:numId w:val="21"/>
        </w:numPr>
        <w:spacing w:after="210" w:line="360" w:lineRule="auto"/>
      </w:pPr>
      <w:bookmarkStart w:id="196" w:name="fn101"/>
      <w:bookmarkEnd w:id="196"/>
      <w:r>
        <w:fldChar w:fldCharType="begin"/>
      </w:r>
      <w:r>
        <w:instrText xml:space="preserve"> HYPERLINK "https://drpress.org/ojs/index.php/HSET/article/view/21651" \h </w:instrText>
      </w:r>
      <w:r>
        <w:fldChar w:fldCharType="separate"/>
      </w:r>
      <w:r>
        <w:rPr>
          <w:rFonts w:ascii="inter" w:hAnsi="inter" w:eastAsia="inter" w:cs="inter"/>
          <w:color w:val="000000"/>
          <w:sz w:val="18"/>
          <w:u w:val="single"/>
        </w:rPr>
        <w:t>https://drpress.org/ojs/index.php/HSET/article/view/21651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04F201">
      <w:pPr>
        <w:numPr>
          <w:ilvl w:val="0"/>
          <w:numId w:val="21"/>
        </w:numPr>
        <w:spacing w:after="210" w:line="360" w:lineRule="auto"/>
      </w:pPr>
      <w:bookmarkStart w:id="197" w:name="fn102"/>
      <w:bookmarkEnd w:id="197"/>
      <w:r>
        <w:fldChar w:fldCharType="begin"/>
      </w:r>
      <w:r>
        <w:instrText xml:space="preserve"> HYPERLINK "https://arch.astate.edu/cgi/viewcontent.cgi?article=1294&amp;context=all-etd" \h </w:instrText>
      </w:r>
      <w:r>
        <w:fldChar w:fldCharType="separate"/>
      </w:r>
      <w:r>
        <w:rPr>
          <w:rFonts w:ascii="inter" w:hAnsi="inter" w:eastAsia="inter" w:cs="inter"/>
          <w:color w:val="000000"/>
          <w:sz w:val="18"/>
          <w:u w:val="single"/>
        </w:rPr>
        <w:t>https://arch.astate.edu/cgi/viewcontent.cgi?article=1294&amp;context=all-etd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18988D">
      <w:pPr>
        <w:numPr>
          <w:ilvl w:val="0"/>
          <w:numId w:val="21"/>
        </w:numPr>
        <w:spacing w:after="210" w:line="360" w:lineRule="auto"/>
      </w:pPr>
      <w:bookmarkStart w:id="198" w:name="fn103"/>
      <w:bookmarkEnd w:id="198"/>
      <w:r>
        <w:fldChar w:fldCharType="begin"/>
      </w:r>
      <w:r>
        <w:instrText xml:space="preserve"> HYPERLINK "https://www.scitepress.org/PublishedPapers/2023/117858/117858.pdf" \h </w:instrText>
      </w:r>
      <w:r>
        <w:fldChar w:fldCharType="separate"/>
      </w:r>
      <w:r>
        <w:rPr>
          <w:rFonts w:ascii="inter" w:hAnsi="inter" w:eastAsia="inter" w:cs="inter"/>
          <w:color w:val="000000"/>
          <w:sz w:val="18"/>
          <w:u w:val="single"/>
        </w:rPr>
        <w:t>https://www.scitepress.org/PublishedPapers/2023/117858/117858.pdf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9D8E96">
      <w:pPr>
        <w:numPr>
          <w:ilvl w:val="0"/>
          <w:numId w:val="21"/>
        </w:numPr>
        <w:spacing w:after="210" w:line="360" w:lineRule="auto"/>
      </w:pPr>
      <w:bookmarkStart w:id="199" w:name="fn104"/>
      <w:bookmarkEnd w:id="199"/>
      <w:r>
        <w:fldChar w:fldCharType="begin"/>
      </w:r>
      <w:r>
        <w:instrText xml:space="preserve"> HYPERLINK "https://alien-pros.shop/pages/blog-the-different-types-of-badminton-shots-and-when-to-use-them" \h </w:instrText>
      </w:r>
      <w:r>
        <w:fldChar w:fldCharType="separate"/>
      </w:r>
      <w:r>
        <w:rPr>
          <w:rFonts w:ascii="inter" w:hAnsi="inter" w:eastAsia="inter" w:cs="inter"/>
          <w:color w:val="000000"/>
          <w:sz w:val="18"/>
          <w:u w:val="single"/>
        </w:rPr>
        <w:t>https://alien-pros.shop/pages/blog-the-different-types-of-badminton-shots-and-when-to-use-them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C52E5E">
      <w:pPr>
        <w:numPr>
          <w:ilvl w:val="0"/>
          <w:numId w:val="21"/>
        </w:numPr>
        <w:spacing w:after="210" w:line="360" w:lineRule="auto"/>
      </w:pPr>
      <w:bookmarkStart w:id="200" w:name="fn105"/>
      <w:bookmarkEnd w:id="200"/>
      <w:r>
        <w:fldChar w:fldCharType="begin"/>
      </w:r>
      <w:r>
        <w:instrText xml:space="preserve"> HYPERLINK "https://ietresearch.onlinelibrary.wiley.com/doi/10.1049/ipr2.12838" \h </w:instrText>
      </w:r>
      <w:r>
        <w:fldChar w:fldCharType="separate"/>
      </w:r>
      <w:r>
        <w:rPr>
          <w:rFonts w:ascii="inter" w:hAnsi="inter" w:eastAsia="inter" w:cs="inter"/>
          <w:color w:val="000000"/>
          <w:sz w:val="18"/>
          <w:u w:val="single"/>
        </w:rPr>
        <w:t>https://ietresearch.onlinelibrary.wiley.com/doi/10.1049/ipr2.12838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697E9B">
      <w:pPr>
        <w:numPr>
          <w:ilvl w:val="0"/>
          <w:numId w:val="21"/>
        </w:numPr>
        <w:spacing w:after="210" w:line="360" w:lineRule="auto"/>
      </w:pPr>
      <w:bookmarkStart w:id="201" w:name="fn106"/>
      <w:bookmarkEnd w:id="201"/>
      <w:r>
        <w:fldChar w:fldCharType="begin"/>
      </w:r>
      <w:r>
        <w:instrText xml:space="preserve"> HYPERLINK "https://badminton-insight.com/the-5-types-of-smashes-in-badminton/" \h </w:instrText>
      </w:r>
      <w:r>
        <w:fldChar w:fldCharType="separate"/>
      </w:r>
      <w:r>
        <w:rPr>
          <w:rFonts w:ascii="inter" w:hAnsi="inter" w:eastAsia="inter" w:cs="inter"/>
          <w:color w:val="000000"/>
          <w:sz w:val="18"/>
          <w:u w:val="single"/>
        </w:rPr>
        <w:t>https://badminton-insight.com/the-5-types-of-smashes-in-badminton/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C45A48">
      <w:pPr>
        <w:numPr>
          <w:ilvl w:val="0"/>
          <w:numId w:val="21"/>
        </w:numPr>
        <w:spacing w:after="210" w:line="360" w:lineRule="auto"/>
      </w:pPr>
      <w:bookmarkStart w:id="202" w:name="fn107"/>
      <w:bookmarkEnd w:id="202"/>
      <w:r>
        <w:fldChar w:fldCharType="begin"/>
      </w:r>
      <w:r>
        <w:instrText xml:space="preserve"> HYPERLINK "https://github.com/ChaosAdmStudent/qualitative-badminton-player-analysis" \h </w:instrText>
      </w:r>
      <w:r>
        <w:fldChar w:fldCharType="separate"/>
      </w:r>
      <w:r>
        <w:rPr>
          <w:rFonts w:ascii="inter" w:hAnsi="inter" w:eastAsia="inter" w:cs="inter"/>
          <w:color w:val="000000"/>
          <w:sz w:val="18"/>
          <w:u w:val="single"/>
        </w:rPr>
        <w:t>https://github.com/ChaosAdmStudent/qualitative-badminton-player-analysis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A0EDA0">
      <w:pPr>
        <w:numPr>
          <w:ilvl w:val="0"/>
          <w:numId w:val="21"/>
        </w:numPr>
        <w:spacing w:after="210" w:line="360" w:lineRule="auto"/>
      </w:pPr>
      <w:bookmarkStart w:id="203" w:name="fn108"/>
      <w:bookmarkEnd w:id="203"/>
      <w:r>
        <w:fldChar w:fldCharType="begin"/>
      </w:r>
      <w:r>
        <w:instrText xml:space="preserve"> HYPERLINK "https://www.sciencedirect.com/science/article/pii/S2405844024148967" \h </w:instrText>
      </w:r>
      <w:r>
        <w:fldChar w:fldCharType="separate"/>
      </w:r>
      <w:r>
        <w:rPr>
          <w:rFonts w:ascii="inter" w:hAnsi="inter" w:eastAsia="inter" w:cs="inter"/>
          <w:color w:val="000000"/>
          <w:sz w:val="18"/>
          <w:u w:val="single"/>
        </w:rPr>
        <w:t>https://www.sciencedirect.com/science/article/pii/S2405844024148967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7D15C2">
      <w:pPr>
        <w:numPr>
          <w:ilvl w:val="0"/>
          <w:numId w:val="21"/>
        </w:numPr>
        <w:spacing w:after="210" w:line="360" w:lineRule="auto"/>
      </w:pPr>
      <w:bookmarkStart w:id="204" w:name="fn109"/>
      <w:bookmarkEnd w:id="204"/>
      <w:r>
        <w:fldChar w:fldCharType="begin"/>
      </w:r>
      <w:r>
        <w:instrText xml:space="preserve"> HYPERLINK "https://spyn.co/blog/basic-badminton-shots/" \h </w:instrText>
      </w:r>
      <w:r>
        <w:fldChar w:fldCharType="separate"/>
      </w:r>
      <w:r>
        <w:rPr>
          <w:rFonts w:ascii="inter" w:hAnsi="inter" w:eastAsia="inter" w:cs="inter"/>
          <w:color w:val="000000"/>
          <w:sz w:val="18"/>
          <w:u w:val="single"/>
        </w:rPr>
        <w:t>https://spyn.co/blog/basic-badminton-shots/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791F47">
      <w:pPr>
        <w:numPr>
          <w:ilvl w:val="0"/>
          <w:numId w:val="21"/>
        </w:numPr>
        <w:spacing w:after="210" w:line="360" w:lineRule="auto"/>
      </w:pPr>
      <w:bookmarkStart w:id="205" w:name="fn110"/>
      <w:bookmarkEnd w:id="205"/>
      <w:r>
        <w:fldChar w:fldCharType="begin"/>
      </w:r>
      <w:r>
        <w:instrText xml:space="preserve"> HYPERLINK "https://arxiv.org/html/2508.07554v1" \h </w:instrText>
      </w:r>
      <w:r>
        <w:fldChar w:fldCharType="separate"/>
      </w:r>
      <w:r>
        <w:rPr>
          <w:rFonts w:ascii="inter" w:hAnsi="inter" w:eastAsia="inter" w:cs="inter"/>
          <w:color w:val="000000"/>
          <w:sz w:val="18"/>
          <w:u w:val="single"/>
        </w:rPr>
        <w:t>https://arxiv.org/html/2508.07554v1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0F2486">
      <w:pPr>
        <w:numPr>
          <w:ilvl w:val="0"/>
          <w:numId w:val="21"/>
        </w:numPr>
        <w:spacing w:after="210" w:line="360" w:lineRule="auto"/>
      </w:pPr>
      <w:bookmarkStart w:id="206" w:name="fn111"/>
      <w:bookmarkEnd w:id="206"/>
      <w:r>
        <w:fldChar w:fldCharType="begin"/>
      </w:r>
      <w:r>
        <w:instrText xml:space="preserve"> HYPERLINK "https://arxiv.org/html/2306.10293" \h </w:instrText>
      </w:r>
      <w:r>
        <w:fldChar w:fldCharType="separate"/>
      </w:r>
      <w:r>
        <w:rPr>
          <w:rFonts w:ascii="inter" w:hAnsi="inter" w:eastAsia="inter" w:cs="inter"/>
          <w:color w:val="000000"/>
          <w:sz w:val="18"/>
          <w:u w:val="single"/>
        </w:rPr>
        <w:t>https://arxiv.org/html/2306.10293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E7F99A">
      <w:pPr>
        <w:numPr>
          <w:ilvl w:val="0"/>
          <w:numId w:val="21"/>
        </w:numPr>
        <w:spacing w:after="210" w:line="360" w:lineRule="auto"/>
      </w:pPr>
      <w:bookmarkStart w:id="207" w:name="fn112"/>
      <w:bookmarkEnd w:id="207"/>
      <w:r>
        <w:fldChar w:fldCharType="begin"/>
      </w:r>
      <w:r>
        <w:instrText xml:space="preserve"> HYPERLINK "https://www.youtube.com/watch?v=cVpHq3pE9FA" \h </w:instrText>
      </w:r>
      <w:r>
        <w:fldChar w:fldCharType="separate"/>
      </w:r>
      <w:r>
        <w:rPr>
          <w:rFonts w:ascii="inter" w:hAnsi="inter" w:eastAsia="inter" w:cs="inter"/>
          <w:color w:val="000000"/>
          <w:sz w:val="18"/>
          <w:u w:val="single"/>
        </w:rPr>
        <w:t>https://www.youtube.com/watch?v=cVpHq3pE9FA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AACEF5">
      <w:pPr>
        <w:numPr>
          <w:ilvl w:val="0"/>
          <w:numId w:val="21"/>
        </w:numPr>
        <w:spacing w:after="210" w:line="360" w:lineRule="auto"/>
      </w:pPr>
      <w:bookmarkStart w:id="208" w:name="fn113"/>
      <w:bookmarkEnd w:id="208"/>
      <w:r>
        <w:fldChar w:fldCharType="begin"/>
      </w:r>
      <w:r>
        <w:instrText xml:space="preserve"> HYPERLINK "https://dl.acm.org/doi/10.1145/3728423.3759409" \h </w:instrText>
      </w:r>
      <w:r>
        <w:fldChar w:fldCharType="separate"/>
      </w:r>
      <w:r>
        <w:rPr>
          <w:rFonts w:ascii="inter" w:hAnsi="inter" w:eastAsia="inter" w:cs="inter"/>
          <w:color w:val="000000"/>
          <w:sz w:val="18"/>
          <w:u w:val="single"/>
        </w:rPr>
        <w:t>https://dl.acm.org/doi/10.1145/3728423.3759409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2C675F">
      <w:pPr>
        <w:numPr>
          <w:ilvl w:val="0"/>
          <w:numId w:val="21"/>
        </w:numPr>
        <w:spacing w:after="210" w:line="360" w:lineRule="auto"/>
      </w:pPr>
      <w:bookmarkStart w:id="209" w:name="fn114"/>
      <w:bookmarkEnd w:id="209"/>
      <w:r>
        <w:fldChar w:fldCharType="begin"/>
      </w:r>
      <w:r>
        <w:instrText xml:space="preserve"> HYPERLINK "https://joiv.org/index.php/joiv/article/viewFile/2132/1043" \h </w:instrText>
      </w:r>
      <w:r>
        <w:fldChar w:fldCharType="separate"/>
      </w:r>
      <w:r>
        <w:rPr>
          <w:rFonts w:ascii="inter" w:hAnsi="inter" w:eastAsia="inter" w:cs="inter"/>
          <w:color w:val="000000"/>
          <w:sz w:val="18"/>
          <w:u w:val="single"/>
        </w:rPr>
        <w:t>https://joiv.org/index.php/joiv/article/viewFile/2132/1043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E4840F">
      <w:pPr>
        <w:numPr>
          <w:ilvl w:val="0"/>
          <w:numId w:val="21"/>
        </w:numPr>
        <w:spacing w:after="210" w:line="360" w:lineRule="auto"/>
      </w:pPr>
      <w:bookmarkStart w:id="210" w:name="fn115"/>
      <w:bookmarkEnd w:id="210"/>
      <w:r>
        <w:fldChar w:fldCharType="begin"/>
      </w:r>
      <w:r>
        <w:instrText xml:space="preserve"> HYPERLINK "https://www.activesgcircle.gov.sg/learn/badminton/the-different-types-of-badminton-shots-and-when-to-use-them" \h </w:instrText>
      </w:r>
      <w:r>
        <w:fldChar w:fldCharType="separate"/>
      </w:r>
      <w:r>
        <w:rPr>
          <w:rFonts w:ascii="inter" w:hAnsi="inter" w:eastAsia="inter" w:cs="inter"/>
          <w:color w:val="000000"/>
          <w:sz w:val="18"/>
          <w:u w:val="single"/>
        </w:rPr>
        <w:t>https://www.activesgcircle.gov.sg/learn/badminton/the-different-types-of-badminton-shots-and-when-to-use-them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81EBDB">
      <w:pPr>
        <w:numPr>
          <w:ilvl w:val="0"/>
          <w:numId w:val="21"/>
        </w:numPr>
        <w:spacing w:after="210" w:line="360" w:lineRule="auto"/>
      </w:pPr>
      <w:bookmarkStart w:id="211" w:name="fn116"/>
      <w:bookmarkEnd w:id="211"/>
      <w:r>
        <w:fldChar w:fldCharType="begin"/>
      </w:r>
      <w:r>
        <w:instrText xml:space="preserve"> HYPERLINK "https://colab.ws/articles/10.1109%2Fbigdata62323.2024.10825009" \h </w:instrText>
      </w:r>
      <w:r>
        <w:fldChar w:fldCharType="separate"/>
      </w:r>
      <w:r>
        <w:rPr>
          <w:rFonts w:ascii="inter" w:hAnsi="inter" w:eastAsia="inter" w:cs="inter"/>
          <w:color w:val="000000"/>
          <w:sz w:val="18"/>
          <w:u w:val="single"/>
        </w:rPr>
        <w:t>https://colab.ws/articles/10.1109%2Fbigdata62323.2024.10825009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5BE424D">
      <w:pPr>
        <w:numPr>
          <w:ilvl w:val="0"/>
          <w:numId w:val="21"/>
        </w:numPr>
        <w:spacing w:after="210" w:line="360" w:lineRule="auto"/>
      </w:pPr>
      <w:bookmarkStart w:id="212" w:name="fn117"/>
      <w:bookmarkEnd w:id="212"/>
      <w:r>
        <w:fldChar w:fldCharType="begin"/>
      </w:r>
      <w:r>
        <w:instrText xml:space="preserve"> HYPERLINK "https://norma.ncirl.ie/6618/1/akshaymenon.pdf" \h </w:instrText>
      </w:r>
      <w:r>
        <w:fldChar w:fldCharType="separate"/>
      </w:r>
      <w:r>
        <w:rPr>
          <w:rFonts w:ascii="inter" w:hAnsi="inter" w:eastAsia="inter" w:cs="inter"/>
          <w:color w:val="000000"/>
          <w:sz w:val="18"/>
          <w:u w:val="single"/>
        </w:rPr>
        <w:t>https://norma.ncirl.ie/6618/1/akshaymenon.pdf</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ibm plex mono">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decimal"/>
      <w:lvlText w:val="%1."/>
      <w:lvlJc w:val="left"/>
      <w:pPr>
        <w:tabs>
          <w:tab w:val="left" w:pos="900"/>
        </w:tabs>
        <w:ind w:left="540" w:hanging="360"/>
      </w:pPr>
    </w:lvl>
  </w:abstractNum>
  <w:abstractNum w:abstractNumId="2">
    <w:nsid w:val="B5E306ED"/>
    <w:multiLevelType w:val="singleLevel"/>
    <w:tmpl w:val="B5E306ED"/>
    <w:lvl w:ilvl="0" w:tentative="0">
      <w:start w:val="1"/>
      <w:numFmt w:val="decimal"/>
      <w:lvlText w:val="%1."/>
      <w:lvlJc w:val="left"/>
      <w:pPr>
        <w:tabs>
          <w:tab w:val="left" w:pos="900"/>
        </w:tabs>
        <w:ind w:left="540" w:hanging="360"/>
      </w:pPr>
    </w:lvl>
  </w:abstractNum>
  <w:abstractNum w:abstractNumId="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4">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6">
    <w:nsid w:val="D7F9FE59"/>
    <w:multiLevelType w:val="singleLevel"/>
    <w:tmpl w:val="D7F9FE59"/>
    <w:lvl w:ilvl="0" w:tentative="0">
      <w:start w:val="1"/>
      <w:numFmt w:val="decimal"/>
      <w:lvlText w:val="%1."/>
      <w:lvlJc w:val="left"/>
      <w:pPr>
        <w:tabs>
          <w:tab w:val="left" w:pos="900"/>
        </w:tabs>
        <w:ind w:left="540" w:hanging="360"/>
      </w:pPr>
    </w:lvl>
  </w:abstractNum>
  <w:abstractNum w:abstractNumId="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8">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9">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0">
    <w:nsid w:val="0248C179"/>
    <w:multiLevelType w:val="singleLevel"/>
    <w:tmpl w:val="0248C179"/>
    <w:lvl w:ilvl="0" w:tentative="0">
      <w:start w:val="1"/>
      <w:numFmt w:val="decimal"/>
      <w:lvlText w:val="%1."/>
      <w:lvlJc w:val="left"/>
      <w:pPr>
        <w:tabs>
          <w:tab w:val="left" w:pos="900"/>
        </w:tabs>
        <w:ind w:left="540" w:hanging="360"/>
      </w:pPr>
    </w:lvl>
  </w:abstractNum>
  <w:abstractNum w:abstractNumId="11">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2">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3">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4">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5">
    <w:nsid w:val="4C1BAE26"/>
    <w:multiLevelType w:val="singleLevel"/>
    <w:tmpl w:val="4C1BAE26"/>
    <w:lvl w:ilvl="0" w:tentative="0">
      <w:start w:val="1"/>
      <w:numFmt w:val="decimal"/>
      <w:lvlText w:val="%1."/>
      <w:lvlJc w:val="left"/>
      <w:pPr>
        <w:tabs>
          <w:tab w:val="left" w:pos="900"/>
        </w:tabs>
        <w:ind w:left="540" w:hanging="360"/>
      </w:pPr>
    </w:lvl>
  </w:abstractNum>
  <w:abstractNum w:abstractNumId="16">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7">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18">
    <w:nsid w:val="5A241D34"/>
    <w:multiLevelType w:val="singleLevel"/>
    <w:tmpl w:val="5A241D34"/>
    <w:lvl w:ilvl="0" w:tentative="0">
      <w:start w:val="1"/>
      <w:numFmt w:val="decimal"/>
      <w:lvlText w:val="%1."/>
      <w:lvlJc w:val="left"/>
      <w:pPr>
        <w:tabs>
          <w:tab w:val="left" w:pos="900"/>
        </w:tabs>
        <w:ind w:left="540" w:hanging="360"/>
      </w:pPr>
    </w:lvl>
  </w:abstractNum>
  <w:abstractNum w:abstractNumId="19">
    <w:nsid w:val="60382F6E"/>
    <w:multiLevelType w:val="singleLevel"/>
    <w:tmpl w:val="60382F6E"/>
    <w:lvl w:ilvl="0" w:tentative="0">
      <w:start w:val="1"/>
      <w:numFmt w:val="decimal"/>
      <w:lvlText w:val="%1."/>
      <w:lvlJc w:val="left"/>
      <w:pPr>
        <w:tabs>
          <w:tab w:val="left" w:pos="900"/>
        </w:tabs>
        <w:ind w:left="540" w:hanging="360"/>
      </w:pPr>
    </w:lvl>
  </w:abstractNum>
  <w:abstractNum w:abstractNumId="20">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3785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2349</Words>
  <Characters>17684</Characters>
  <TotalTime>0</TotalTime>
  <ScaleCrop>false</ScaleCrop>
  <LinksUpToDate>false</LinksUpToDate>
  <CharactersWithSpaces>19911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2025-12-31T03:53:00Z</dcterms:created>
  <dc:creator>html-to-docx</dc:creator>
  <cp:keywords>html-to-docx</cp:keywords>
  <cp:lastModifiedBy>dyx</cp:lastModifiedBy>
  <dcterms:modified xsi:type="dcterms:W3CDTF">2026-01-04T18:38:50Z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7EDC682ABAE14406A3C9422E60193D6C_12</vt:lpwstr>
  </property>
</Properties>
</file>