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Case Studies on AI-Generated Content (AIGC) Application in K-12 Education: A Comprehensive Analysis and Implementation Framework</w:t>
      </w:r>
    </w:p>
    <w:p>
      <w:pPr>
        <w:pStyle w:val="Heading2"/>
      </w:pPr>
      <w:r>
        <w:t>Executive Summary</w:t>
      </w:r>
    </w:p>
    <w:p>
      <w:r>
        <w:t>This report synthesizes global case studies and empirical research on the practical application of AI-Generated Content (AIGC) in primary and secondary school classrooms. Drawing from systematic reviews of 30 peer-reviewed studies conducted between 2023-2025, with geographic representation spanning Asia, North America, and Europe, this analysis categorizes AIGC applications into six principal domains: content generation and curriculum design, personalized learning and adaptive feedback systems, formative assessment mechanisms, subject-specific implementations, interactive learning activities, and visual/multimodal content creation. The report documents significant positive learning outcomes—including enhanced critical thinking, improved student engagement, increased higher-order thinking capabilities, and measurable academic performance improvements—while identifying critical implementation barriers centered on teacher preparedness, infrastructure limitations, and ethical considerations. Actionable recommendations for educators and school leaders address professional development strategies, implementation frameworks grounded in learning theory, and evidence-based practices for responsible AIGC integration that complements rather than displaces teacher expertise.</w:t>
      </w:r>
    </w:p>
    <w:p>
      <w:r>
        <w:t>---</w:t>
      </w:r>
    </w:p>
    <w:p>
      <w:pPr>
        <w:pStyle w:val="Heading2"/>
      </w:pPr>
      <w:r>
        <w:t>Part One: Global Landscape of AIGC Implementation in K-12 Education</w:t>
      </w:r>
    </w:p>
    <w:p>
      <w:pPr>
        <w:pStyle w:val="Heading3"/>
      </w:pPr>
      <w:r>
        <w:t>Geographic Distribution and Research Characteristics</w:t>
      </w:r>
    </w:p>
    <w:p>
      <w:r>
        <w:t>Contemporary AIGC research in K-12 education exhibits uneven global distribution, with concentration in Asia-Pacific and Western developed nations. Systematic analysis of 30 empirical studies conducted between 2023 and 2025 reveals the following geographic patterns: Taiwan and China lead with four studies each, followed by the United States and Germany with three studies each. Korea, Australia, and Uruguay each contributed two studies, while Colombia and several European nations are represented with single contributions. Notably absent from current peer-reviewed AIGC implementation research are studies from the African continent, the Middle East, and most of South America, indicating significant geographic gaps in our understanding of AIGC adoption across diverse educational contexts and economic conditions.</w:t>
      </w:r>
    </w:p>
    <w:p>
      <w:r>
        <w:t>Educational level representation shows concentration at the secondary level. High school students and pre-service teachers dominate the research landscape, middle school contexts have moderate representation, while elementary, primary, and vocational education remain underrepresented. Early childhood education (ECE)—children under age 5—appears entirely absent from empirical implementation studies, despite preliminary exploration of ChatGPT in ECE settings by researchers examining teacher perceptions. This skew toward secondary and teacher education suggests both the perceived appropriateness of AIGC for older learners and the current maturity of research in secondary contexts.</w:t>
      </w:r>
    </w:p>
    <w:p>
      <w:r>
        <w:t>Publication patterns show exponential growth: five studies were published in 2023, nineteen in 2024, and six additional studies emerged by February 2025, indicating rapidly accelerating scholarly attention to practical AIGC implementation. Most publications (87%) appear in peer-reviewed educational technology journals, with outlets including Computers &amp; Education: Artificial Intelligence, Education and Information Technologies, Contemporary Educational Technology, and IEEE Transactions on Learning Technologies, demonstrating legitimization of AIGC research within academic discourse.</w:t>
      </w:r>
    </w:p>
    <w:p>
      <w:pPr>
        <w:pStyle w:val="Heading3"/>
      </w:pPr>
      <w:r>
        <w:t>Technological Landscape</w:t>
      </w:r>
    </w:p>
    <w:p>
      <w:r>
        <w:t>ChatGPT dominates empirical implementation research, appearing in 21 of 30 analyzed studies (70%), often as the primary or exclusive AIGC tool. This concentration reflects both ChatGPT's accessibility via freemium models, widespread awareness, and ease of implementation without requiring technical expertise. However, emerging research increasingly incorporates complementary tools: Copilot, DALL-E, Midjourney for visual generation, ERNIE Bot, Deepseek, Doubao AI, and specialized educational platforms like Youdao Writing for assessment. The evolution toward multimodal AIGC systems—leveraging OpenAI's GPT-4 and DALL-E 3 in integrated fashion—suggests future implementations will span text, image, audio, and video generation modalities.</w:t>
      </w:r>
    </w:p>
    <w:p>
      <w:r>
        <w:t>---</w:t>
      </w:r>
    </w:p>
    <w:p>
      <w:pPr>
        <w:pStyle w:val="Heading2"/>
      </w:pPr>
      <w:r>
        <w:t>Part Two: Categorical Framework of AIGC Applications</w:t>
      </w:r>
    </w:p>
    <w:p>
      <w:r>
        <w:t>Empirical case studies across global contexts reveal AIGC applications clustering into six distinct yet overlapping categories, each addressing specific pedagogical functions and learning objectives.</w:t>
      </w:r>
    </w:p>
    <w:p>
      <w:pPr>
        <w:pStyle w:val="Heading3"/>
      </w:pPr>
      <w:r>
        <w:t>Category 1: Content Generation and Curriculum Design</w:t>
      </w:r>
    </w:p>
    <w:p>
      <w:r>
        <w:t>AIGC demonstrates substantial capacity to generate, adapt, and structure educational content. Research documenting practical implementation shows multiple application pathways:</w:t>
      </w:r>
    </w:p>
    <w:p>
      <w:r>
        <w:rPr>
          <w:b/>
        </w:rPr>
        <w:t>Curriculum and Lesson Planning Support</w:t>
      </w:r>
      <w:r>
        <w:t>: Teachers utilize ChatGPT to generate comprehensive curriculum frameworks, differentiated lesson plans for diverse learner levels, and reading passages adapted to specific difficulty levels and cultural contexts. A bilingual curriculum design case study in primary education demonstrated that ChatGPT-generated curriculum helped educators formulate integrated content, automatically generate aligned classroom activities, and establish assessment rubrics, ultimately enhancing student engagement and learning self-efficacy. This application particularly benefits teachers in resource-constrained settings lacking access to comprehensive curriculum databases.</w:t>
      </w:r>
    </w:p>
    <w:p>
      <w:r>
        <w:rPr>
          <w:b/>
        </w:rPr>
        <w:t>Visual Content Generation</w:t>
      </w:r>
      <w:r>
        <w:t>: AIGC tools like Midjourney enable transformation of textual concepts into visual representations, addressing documented learning disparities for visual learners. In a Chinese high school English classroom implementing deep learning theory, teachers used Midjourney-generated images to present key concepts from reading materials, transforming abstract ideas (robots, artificial intelligence) into concrete visual anchors that enhanced student attention and fostered initial conceptual engagement. This approach proved particularly effective in lead-in sessions designed to activate prior knowledge and create emotional investment in learning topics.</w:t>
      </w:r>
    </w:p>
    <w:p>
      <w:r>
        <w:rPr>
          <w:b/>
        </w:rPr>
        <w:t>Structured Knowledge Representation</w:t>
      </w:r>
      <w:r>
        <w:t>: AI tools (ERNIE Bot, ChatGPT) convert unstructured text into hierarchical mind maps visualizing textual structure, logical relationships, and conceptual dependencies. In a documented case study, mind maps automatically generated from reading materials facilitated students' comprehension of complex narrative structures, enabling systematic organization of information while reducing cognitive load. Teachers reported that AI-generated mind maps accelerated the transition from surface reading comprehension to deeper understanding of textual organization and authorial intent.</w:t>
      </w:r>
    </w:p>
    <w:p>
      <w:r>
        <w:rPr>
          <w:b/>
        </w:rPr>
        <w:t>Adaptive Content Difficulty</w:t>
      </w:r>
      <w:r>
        <w:t>: AI systems analyze student responses and automatically adjust content complexity, vocabulary density, and scaffolding intensity. Platforms like ALEKS map knowledge spaces—identifying what students know, don't know, and are ready to learn—creating dynamic, individualized learning progressions. DreamBox Learning exemplifies this approach in K-8 mathematics, continuously monitoring student interactions and adjusting lesson difficulty in real-time to maintain optimal challenge levels between frustration and boredom.</w:t>
      </w:r>
    </w:p>
    <w:p>
      <w:pPr>
        <w:pStyle w:val="Heading3"/>
      </w:pPr>
      <w:r>
        <w:t>Category 2: Personalized Learning and Adaptive Feedback Systems</w:t>
      </w:r>
    </w:p>
    <w:p>
      <w:r>
        <w:t>Personalized learning—customizing instructional content, pacing, and presentation methods to individual student needs—represents a foundational AIGC application with documented effectiveness. Intelligent Tutoring Systems (ITS) and adaptive learning platforms constitute the technological manifestation of personalization, providing three core functions: continuous assessment of learner knowledge state, dynamic adjustment of instructional difficulty and sequencing, and immediate feedback facilitating metacognitive development.</w:t>
      </w:r>
    </w:p>
    <w:p>
      <w:r>
        <w:rPr>
          <w:b/>
        </w:rPr>
        <w:t>Mechanism of Personalization</w:t>
      </w:r>
      <w:r>
        <w:t>: Adaptive systems employ learner models—computational representations of individual student knowledge, misconceptions, learning preferences, and performance patterns. By analyzing interaction data (response accuracy, time-on-task, help-seeking frequency), systems identify specific knowledge gaps and learning obstacles. For example, if a student demonstrates mastery of foundational concepts while struggling with application tasks, the system increases problem difficulty while maintaining conceptual support. Conversely, students progressing rapidly receive accelerated content sequencing, eliminating redundancy while presenting novel challenges that maintain engagement.</w:t>
      </w:r>
    </w:p>
    <w:p>
      <w:r>
        <w:rPr>
          <w:b/>
        </w:rPr>
        <w:t>Learning Outcome Improvements</w:t>
      </w:r>
      <w:r>
        <w:t>: Documented case studies demonstrate personalized learning increases time-on-task, reduces student frustration through appropriate challenge calibration, and improves retention through spaced repetition optimized to individual forgetting curves. A study implementing adaptive feedback systems found that instance-level feedback—identifying specific learning obstacles rather than global performance judgments—enabled teachers to implement timely, targeted interventions improving academic performance and student motivation.</w:t>
      </w:r>
    </w:p>
    <w:p>
      <w:r>
        <w:rPr>
          <w:b/>
        </w:rPr>
        <w:t>Self-Regulated Learning Development</w:t>
      </w:r>
      <w:r>
        <w:t>: Research indicates intelligent tutoring systems foster metacognitive development through explicit scaffolding. By modeling questioning strategies, explaining underlying principles rather than merely confirming correctness, and prompting students to articulate problem-solving approaches, tutoring systems support students in internalizing self-regulated learning processes. Students develop capacity to monitor their own comprehension, identify knowledge gaps, and seek appropriate help—skills transferable beyond system use.</w:t>
      </w:r>
    </w:p>
    <w:p>
      <w:r>
        <w:rPr>
          <w:b/>
        </w:rPr>
        <w:t>Engagement Through Optimal Challenge</w:t>
      </w:r>
      <w:r>
        <w:t>: Adaptive systems maintain engagement through psychological flow—the state of deep absorption occurring when challenge level matches skill level. By dynamically maintaining this equilibrium, adaptive systems reduce both frustration-driven disengagement and boredom-driven withdrawal. Implementations like Century Tech (adopted by hundreds of UK schools) demonstrate improved student outcomes through engagement maintenance, while MwalimuPlus in Kenya provides personalized instruction while maintaining human-centered educational philosophy.</w:t>
      </w:r>
    </w:p>
    <w:p>
      <w:pPr>
        <w:pStyle w:val="Heading3"/>
      </w:pPr>
      <w:r>
        <w:t>Category 3: Formative Assessment and Real-Time Feedback</w:t>
      </w:r>
    </w:p>
    <w:p>
      <w:r>
        <w:t>Formative assessment—ongoing evaluation providing learners with actionable feedback—constitutes a critical lever for learning improvement. AIGC enables rapid, personalized feedback generation addressing documented bottlenecks in traditional assessment: teachers' limited capacity to provide timely feedback across large classes, generic feedback lacking specificity to individual misconceptions, and assessment time consuming resources otherwise devoted to instruction.</w:t>
      </w:r>
    </w:p>
    <w:p>
      <w:r>
        <w:rPr>
          <w:b/>
        </w:rPr>
        <w:t>Writing Assessment and Revision Cycles</w:t>
      </w:r>
      <w:r>
        <w:t>: A documented case study in high school English composition found that AI-generated feedback on student writing significantly increased revision cycles and student engagement. Rather than submitting assignments once for summative grades, students could submit drafts multiple times, receiving immediate AI feedback identifying specific strengths and targeted improvement suggestions. This iterative process shifted assessment from evaluative to developmental, with students experiencing multiple revision opportunities and witnessing progressive improvement—a powerful motivator for continued effort.</w:t>
      </w:r>
    </w:p>
    <w:p>
      <w:r>
        <w:rPr>
          <w:b/>
        </w:rPr>
        <w:t>Mathematics Assessment Design</w:t>
      </w:r>
      <w:r>
        <w:t>: Teachers co-design assessments with AI tools, generating varied question types aligned with learning objectives while automatically identifying common student misconceptions embedded in distractor options. This approach both reduces teacher preparation time and increases assessment validity through systematic variation in problem presentation formats.</w:t>
      </w:r>
    </w:p>
    <w:p>
      <w:r>
        <w:rPr>
          <w:b/>
        </w:rPr>
        <w:t>Science Inquiry Support</w:t>
      </w:r>
      <w:r>
        <w:t>: Students engage AIGC as a thinking partner during scientific investigations, with AI prompting hypothesis refinement, suggesting alternative experimental approaches, and providing iterative feedback on reasoning quality. This interactive feedback promotes deeper engagement with scientific practice than traditional assessment endpoints.</w:t>
      </w:r>
    </w:p>
    <w:p>
      <w:r>
        <w:rPr>
          <w:b/>
        </w:rPr>
        <w:t>Dialogic Interaction Advantage</w:t>
      </w:r>
      <w:r>
        <w:t>: Unlike static feedback, AIGC chatbots enable dialogue—students can query AI for clarification, request alternative explanations, ask for worked examples, and explore additional applications of principles. This dialogic interaction fosters self-regulation, as students internalize the questioning strategies modeled by the AI system. Research documents that dialogic interaction significantly enhances learning outcomes compared to static feedback alone.</w:t>
      </w:r>
    </w:p>
    <w:p>
      <w:r>
        <w:rPr>
          <w:b/>
        </w:rPr>
        <w:t>Teacher Review Remains Essential</w:t>
      </w:r>
      <w:r>
        <w:t>: Critical findings across studies emphasize that AI-generated feedback functions optimally when teachers review and contextualize AI suggestions, adapting them to class-specific knowledge of individual students' backgrounds, learning histories, and cultural contexts. AI serves as preliminary feedback provider that teachers refine and personalize, not as autonomous assessor.</w:t>
      </w:r>
    </w:p>
    <w:p>
      <w:pPr>
        <w:pStyle w:val="Heading3"/>
      </w:pPr>
      <w:r>
        <w:t>Category 4: Subject-Specific Implementations</w:t>
      </w:r>
    </w:p>
    <w:p>
      <w:r>
        <w:t>AIGC applications demonstrate notable variation in effectiveness and implementation appropriateness across subject domains, with empirical evidence varying substantially.</w:t>
      </w:r>
    </w:p>
    <w:p>
      <w:r>
        <w:rPr>
          <w:b/>
        </w:rPr>
        <w:t>Mathematics (Most Researched Domain)</w:t>
      </w:r>
    </w:p>
    <w:p>
      <w:r>
        <w:t>Mathematics constitutes the most thoroughly researched subject domain in K-12 AIGC implementation, appearing in five of thirty analyzed studies. Applications leverage AIGC's capacity for algorithmic problem generation, step-by-step solution guidance, and targeted intervention identification. Adaptive systems like ALEKS and DreamBox Learning employ knowledge space theory to map mathematical concepts as interconnected nodes, identifying prerequisites and identifying optimal sequencing. Students progressing through geometry, for example, receive prerequisite reviews in algebra only if assessment indicates gaps, while students demonstrating mastery advance directly to more complex applications. Research demonstrates improved pass rates, higher retention in subsequent mathematics courses, and reduced mathematics anxiety through adaptive personalization.</w:t>
      </w:r>
    </w:p>
    <w:p>
      <w:r>
        <w:rPr>
          <w:b/>
        </w:rPr>
        <w:t>Physics (Four Studies)</w:t>
      </w:r>
    </w:p>
    <w:p>
      <w:r>
        <w:t>Physics education benefits from AIGC's capacity to analyze experimental data, suggest alternative experimental approaches, and explain abstract physical principles through concrete applications. A documented implementation had high school physics students use ChatGPT to analyze experimental data from lab investigations, with students describing the AI as a "thinking partner" that helped them move from data collection to interpretation and principle identification. Another study examined ChatGPT's role in physics education through pilot activities, documenting its potential while identifying challenges related to occasional inaccuracies requiring teacher verification.</w:t>
      </w:r>
    </w:p>
    <w:p>
      <w:r>
        <w:rPr>
          <w:b/>
        </w:rPr>
        <w:t>Programming/Computer Science (Three Studies)</w:t>
      </w:r>
    </w:p>
    <w:p>
      <w:r>
        <w:t>ChatGPT demonstrates substantial utility in programming instruction through code explanation, debugging suggestions, and interactive problem-solving. Students reported finding AI explanations of programming concepts more accessible than traditional textbooks, and AI's willingness to provide alternative explanations without judgment reduced help-seeking anxiety. However, concerns emerge regarding students potentially developing dependency on AI for code generation rather than developing independent problem-solving capabilities—an issue addressed through instructional design emphasizing understanding before implementation.</w:t>
      </w:r>
    </w:p>
    <w:p>
      <w:r>
        <w:rPr>
          <w:b/>
        </w:rPr>
        <w:t>Language Arts and English (Multiple Applications)</w:t>
      </w:r>
    </w:p>
    <w:p>
      <w:r>
        <w:t>English language instruction shows multiple AIGC application pathways. A documented case study in Chinese high school English reading implemented an AI-driven deep learning model integrating visual aids, question chains, mind map generation, comparative analysis, group discussions with AI dialogue partners, and AI-assisted writing assessment. The systematic approach generated significant improvements across multiple dimensions: language proficiency, cognitive development, collaboration, classroom engagement, and creative expression. Students reported that AI dialogue partners helped them "think from multiple perspectives" and reconsider character interpretations, demonstrating that AIGC can facilitate critical thinking and perspective-taking.</w:t>
      </w:r>
    </w:p>
    <w:p>
      <w:r>
        <w:rPr>
          <w:b/>
        </w:rPr>
        <w:t>Underrepresented Domains</w:t>
      </w:r>
    </w:p>
    <w:p>
      <w:r>
        <w:t>Non-STEM subjects including history, social sciences, and arts demonstrate emerging but limited empirical documentation. Conceptual papers discuss GenAI potential in these domains but lack detailed reports of classroom implementation and learning outcome measurement. This represents a critical research gap, as assessment of AIGC effectiveness across the full curriculum spectrum remains incomplete.</w:t>
      </w:r>
    </w:p>
    <w:p>
      <w:pPr>
        <w:pStyle w:val="Heading3"/>
      </w:pPr>
      <w:r>
        <w:t>Category 5: Interactive Learning Activities and Collaborative Learning Structures</w:t>
      </w:r>
    </w:p>
    <w:p>
      <w:r>
        <w:t>AIGC functioning within collaborative learning contexts demonstrates particular effectiveness, with research identifying specific activity types and collaborative structures that optimize outcomes.</w:t>
      </w:r>
    </w:p>
    <w:p>
      <w:r>
        <w:rPr>
          <w:b/>
        </w:rPr>
        <w:t>Group-Based Problem Solving</w:t>
      </w:r>
      <w:r>
        <w:t>: A year-long classroom implementation study found that coding learning activities—structured around collaborative problem-solving with AI assistance—generated more positive student perceptions compared to conceptual discussion activities. Students perceived coding activities as offering "more tangible and structured learning opportunities" with clearer success criteria. Group discussions analyzing experimental data or interpreting complex texts showed improvement in perceptions over time, suggesting that self-exploration and peer interaction amplify AIGC benefits beyond individual human-AI dialogue.</w:t>
      </w:r>
    </w:p>
    <w:p>
      <w:r>
        <w:rPr>
          <w:b/>
        </w:rPr>
        <w:t>Peer Learning and Scaffolding</w:t>
      </w:r>
      <w:r>
        <w:t>: When structured around AIGC-assisted problem-solving, peer learning intensifies. Students collaboratively explore AI suggestions, discuss different interpretations, and collectively evaluate AI-generated solutions against criteria. This peer dialogue enhances critical evaluation—students develop capacity to assess AI output reliability, identify limitations, and synthesize multiple perspectives.</w:t>
      </w:r>
    </w:p>
    <w:p>
      <w:r>
        <w:rPr>
          <w:b/>
        </w:rPr>
        <w:t>Student-Generated Case Studies</w:t>
      </w:r>
      <w:r>
        <w:t>: A documented implementation had students develop case studies as asynchronous online discussion activities, with student-generated cases analyzed by peers. This activity structure—combining student creativity with peer evaluation—promoted deeper learning than discussion of instructor-provided cases, suggesting AIGC can facilitate student content creation and cooperative learning.</w:t>
      </w:r>
    </w:p>
    <w:p>
      <w:r>
        <w:rPr>
          <w:b/>
        </w:rPr>
        <w:t>Competition and Reflection</w:t>
      </w:r>
      <w:r>
        <w:t>: Creative activity structures emerge from documented implementations. One approach involved students retelling a narrative independently while an AI group presented AI-generated retellings, with class comparison and discussion of similarities, differences, and qualitative distinctions between human and AI expression. This activity simultaneously fosters appreciation for human creativity, develops critical evaluation capacity, and provides insight into AI capabilities and limitations.</w:t>
      </w:r>
    </w:p>
    <w:p>
      <w:pPr>
        <w:pStyle w:val="Heading3"/>
      </w:pPr>
      <w:r>
        <w:t>Category 6: Visual and Multimodal Content Creation</w:t>
      </w:r>
    </w:p>
    <w:p>
      <w:r>
        <w:t>Multimodal AIGC—systems generating text, images, audio, and video in integrated fashion—addresses documented learning disparities affecting students with visual, auditory, or kinesthetic preferences.</w:t>
      </w:r>
    </w:p>
    <w:p>
      <w:r>
        <w:rPr>
          <w:b/>
        </w:rPr>
        <w:t>Accessibility Through Translation and Subtitles</w:t>
      </w:r>
      <w:r>
        <w:t>: A case study from Harris Federation illustrates multimodal applications addressing language diversity. When serving multilingual student populations, schools deployed ChatGPT for text adaptation across age groups and Microsoft Live for real-time translation with automatic subtitle generation in students' native languages displayed on individual devices. This application directly addresses equity challenges, making content accessible to students still developing English proficiency while reducing cognitive load of language decoding.</w:t>
      </w:r>
    </w:p>
    <w:p>
      <w:r>
        <w:rPr>
          <w:b/>
        </w:rPr>
        <w:t>Visual Representation of Abstract Concepts</w:t>
      </w:r>
      <w:r>
        <w:t>: Image generation tools like Midjourney transform abstract textual descriptions into concrete visual representations. In science education, students can prompt AIGC image generators to create visualizations of microscopic structures, molecular processes, or space phenomena beyond human visual capacity—making theoretical knowledge more tangible and memorable.</w:t>
      </w:r>
    </w:p>
    <w:p>
      <w:r>
        <w:t>---</w:t>
      </w:r>
    </w:p>
    <w:p>
      <w:pPr>
        <w:pStyle w:val="Heading2"/>
      </w:pPr>
      <w:r>
        <w:t>Part Three: Implementation Frameworks and Pedagogical Foundations</w:t>
      </w:r>
    </w:p>
    <w:p>
      <w:pPr>
        <w:pStyle w:val="Heading3"/>
      </w:pPr>
      <w:r>
        <w:t>Theoretical Frameworks Guiding Effective AIGC Integration</w:t>
      </w:r>
    </w:p>
    <w:p>
      <w:r>
        <w:t>Successful AIGC implementation consistently grounded in explicit learning theory rather than technology for technology's sake. The most thoroughly documented case study—Chinese high school English reading instruction—explicitly grounded implementation in deep learning theory, demonstrating how theoretical foundations inform pedagogical decisions and activity sequencing.</w:t>
      </w:r>
    </w:p>
    <w:p>
      <w:r>
        <w:rPr>
          <w:b/>
        </w:rPr>
        <w:t>Deep Learning Theory Framework</w:t>
      </w:r>
    </w:p>
    <w:p>
      <w:r>
        <w:t>Deep learning emphasizes comprehension, knowledge transfer, and creative application rather than surface memorization. The framework identified by educational researchers identifies six core characteristics guiding instructional design:</w:t>
      </w:r>
    </w:p>
    <w:p>
      <w:pPr>
        <w:pStyle w:val="ListNumber"/>
      </w:pPr>
      <w:r>
        <w:rPr>
          <w:b/>
        </w:rPr>
        <w:t>Critical Understanding</w:t>
      </w:r>
      <w:r>
        <w:t>: Encouraging students to examine content from multiple perspectives, question underlying assumptions, and develop nuanced interpretations rather than accepting single authoritative readings</w:t>
      </w:r>
    </w:p>
    <w:p>
      <w:pPr>
        <w:pStyle w:val="ListNumber"/>
      </w:pPr>
      <w:r>
        <w:rPr>
          <w:b/>
        </w:rPr>
        <w:t>Information Integration</w:t>
      </w:r>
      <w:r>
        <w:t>: Helping students synthesize information from multiple sources, identify patterns and connections, and construct coherent conceptual schemas</w:t>
      </w:r>
    </w:p>
    <w:p>
      <w:pPr>
        <w:pStyle w:val="ListNumber"/>
      </w:pPr>
      <w:r>
        <w:rPr>
          <w:b/>
        </w:rPr>
        <w:t>Knowledge Construction</w:t>
      </w:r>
      <w:r>
        <w:t>: Positioning learners as active agents building personal knowledge systems through engagement with content rather than passive receivers of transmitted information</w:t>
      </w:r>
    </w:p>
    <w:p>
      <w:pPr>
        <w:pStyle w:val="ListNumber"/>
      </w:pPr>
      <w:r>
        <w:rPr>
          <w:b/>
        </w:rPr>
        <w:t>Transfer and Application</w:t>
      </w:r>
      <w:r>
        <w:t>: Designing learning experiences enabling students to apply acquired knowledge to novel contexts and real-world problems</w:t>
      </w:r>
    </w:p>
    <w:p>
      <w:pPr>
        <w:pStyle w:val="ListNumber"/>
      </w:pPr>
      <w:r>
        <w:rPr>
          <w:b/>
        </w:rPr>
        <w:t>Problem-Solving</w:t>
      </w:r>
      <w:r>
        <w:t>: Engaging students in authentic, complex problem-solving requiring integration of multiple knowledge sources and perspectives</w:t>
      </w:r>
    </w:p>
    <w:p>
      <w:pPr>
        <w:pStyle w:val="ListNumber"/>
      </w:pPr>
      <w:r>
        <w:rPr>
          <w:b/>
        </w:rPr>
        <w:t>Internalization and Communication</w:t>
      </w:r>
      <w:r>
        <w:t>: Developing capacity to articulate understanding, explain reasoning, and communicate complex ideas to varied audiences</w:t>
      </w:r>
    </w:p>
    <w:p>
      <w:r>
        <w:t>AIGC supports each characteristic: visual generation enhances critical understanding, mind maps facilitate information integration, AI dialogue partners develop knowledge construction, adaptive systems enable transfer through varied contexts, AI tutors scaffold complex problem-solving, and writing feedback tools develop communication capacity.</w:t>
      </w:r>
    </w:p>
    <w:p>
      <w:r>
        <w:rPr>
          <w:b/>
        </w:rPr>
        <w:t>Unit-Based Instruction</w:t>
      </w:r>
    </w:p>
    <w:p>
      <w:r>
        <w:t>Deep learning theory advocates unit-based instruction—organizing learning around coherent thematic units rather than fragmented individual lessons. A documented English language implementation restructured the "Science Fiction" unit into an integrated framework encompassing literature analysis, character development, thematic interpretation, cultural significance, and writing applications. This structure prevented fragmented learning, enabled connection of ideas across lessons, and supported knowledge transfer. AIGC tools generated mind maps, comparative analysis charts, and dialogue prompts facilitating unit coherence.</w:t>
      </w:r>
    </w:p>
    <w:p>
      <w:pPr>
        <w:pStyle w:val="Heading3"/>
      </w:pPr>
      <w:r>
        <w:t>Practical Implementation Models: Case Study Analysis</w:t>
      </w:r>
    </w:p>
    <w:p>
      <w:r>
        <w:rPr>
          <w:b/>
        </w:rPr>
        <w:t>Case Study 1: Chinese High School English Reading</w:t>
      </w:r>
    </w:p>
    <w:p>
      <w:r>
        <w:t>Context: 11th-grade classroom, 16 students, Beijing foreign language school, moderate English proficiency level</w:t>
      </w:r>
    </w:p>
    <w:p>
      <w:r>
        <w:t>Pedagogical Approach: Deep learning theory with unit-based instruction on science fiction unit ("Satisfaction Guaranteed" short story)</w:t>
      </w:r>
    </w:p>
    <w:p>
      <w:r>
        <w:t>AIGC Tools Deployed:</w:t>
      </w:r>
    </w:p>
    <w:p>
      <w:pPr>
        <w:pStyle w:val="ListBullet"/>
      </w:pPr>
      <w:r>
        <w:t>Midjourney for visual concept generation (robots, AI concepts)</w:t>
      </w:r>
    </w:p>
    <w:p>
      <w:pPr>
        <w:pStyle w:val="ListBullet"/>
      </w:pPr>
      <w:r>
        <w:t>ChatGPT, ERNIE Bot for mind map generation from texts</w:t>
      </w:r>
    </w:p>
    <w:p>
      <w:pPr>
        <w:pStyle w:val="ListBullet"/>
      </w:pPr>
      <w:r>
        <w:t>ChatGPT/Deepseek/Doubao AI for dialogue-based comprehension support</w:t>
      </w:r>
    </w:p>
    <w:p>
      <w:pPr>
        <w:pStyle w:val="ListBullet"/>
      </w:pPr>
      <w:r>
        <w:t>Youdao Writing for automated essay feedback and assessment</w:t>
      </w:r>
    </w:p>
    <w:p>
      <w:r>
        <w:t>Instructional Sequence:</w:t>
      </w:r>
    </w:p>
    <w:p>
      <w:r>
        <w:rPr>
          <w:i/>
        </w:rPr>
        <w:t>Session 1: Lead-In (Engagement and Prior Knowledge Activation)</w:t>
      </w:r>
    </w:p>
    <w:p>
      <w:pPr>
        <w:pStyle w:val="ListBullet"/>
      </w:pPr>
      <w:r>
        <w:t>Teacher displayed AI-generated images of robots and AI concepts via Midjourney</w:t>
      </w:r>
    </w:p>
    <w:p>
      <w:pPr>
        <w:pStyle w:val="ListBullet"/>
      </w:pPr>
      <w:r>
        <w:t>Guided questions activated prior knowledge: "What can you see in these pictures?" → "What are robots used for?" → "Can robots help with household tasks?"</w:t>
      </w:r>
    </w:p>
    <w:p>
      <w:pPr>
        <w:pStyle w:val="ListBullet"/>
      </w:pPr>
      <w:r>
        <w:t>Visual representations transformed abstract concepts into concrete anchors, enhancing student attention and emotional engagement</w:t>
      </w:r>
    </w:p>
    <w:p>
      <w:r>
        <w:rPr>
          <w:i/>
        </w:rPr>
        <w:t>Session 2: Knowledge Acquisition (Comprehension and Structure Building)</w:t>
      </w:r>
    </w:p>
    <w:p>
      <w:pPr>
        <w:pStyle w:val="ListBullet"/>
      </w:pPr>
      <w:r>
        <w:t>Teacher-led guided reading with question progression:</w:t>
      </w:r>
    </w:p>
    <w:p>
      <w:pPr>
        <w:pStyle w:val="ListBullet"/>
      </w:pPr>
      <w:r>
        <w:t>Q1-Q3: Basic comprehension (characters, relationships, plot)</w:t>
      </w:r>
    </w:p>
    <w:p>
      <w:pPr>
        <w:pStyle w:val="ListBullet"/>
      </w:pPr>
      <w:r>
        <w:t>Q4-Q6: Character analysis and motivation understanding</w:t>
      </w:r>
    </w:p>
    <w:p>
      <w:pPr>
        <w:pStyle w:val="ListBullet"/>
      </w:pPr>
      <w:r>
        <w:t>AI-generated mind maps from text visualized narrative structure and conceptual relationships</w:t>
      </w:r>
    </w:p>
    <w:p>
      <w:pPr>
        <w:pStyle w:val="ListBullet"/>
      </w:pPr>
      <w:r>
        <w:t>AI tools provided alternative explanations when student comprehension remained incomplete</w:t>
      </w:r>
    </w:p>
    <w:p>
      <w:pPr>
        <w:pStyle w:val="ListBullet"/>
      </w:pPr>
      <w:r>
        <w:t>Systematic question progression moved from literal understanding to causal interpretation</w:t>
      </w:r>
    </w:p>
    <w:p>
      <w:r>
        <w:rPr>
          <w:i/>
        </w:rPr>
        <w:t>Session 3: Comprehension and Internalization (Deep Analysis and Meaning Making)</w:t>
      </w:r>
    </w:p>
    <w:p>
      <w:pPr>
        <w:pStyle w:val="ListBullet"/>
      </w:pPr>
      <w:r>
        <w:t>Comparative analysis charts (AI-assisted) compared robots versus humans across dimensions: appearance, emotional capacity, social roles</w:t>
      </w:r>
    </w:p>
    <w:p>
      <w:pPr>
        <w:pStyle w:val="ListBullet"/>
      </w:pPr>
      <w:r>
        <w:t>Guided questions prompted reflection on fundamental human-AI distinctions</w:t>
      </w:r>
    </w:p>
    <w:p>
      <w:pPr>
        <w:pStyle w:val="ListBullet"/>
      </w:pPr>
      <w:r>
        <w:t>Students articulated personal insights about technology, humanity, and social relationships</w:t>
      </w:r>
    </w:p>
    <w:p>
      <w:pPr>
        <w:pStyle w:val="ListBullet"/>
      </w:pPr>
      <w:r>
        <w:t>Reflecting on narrative meaning, students connected textual analysis to broader questions about human-AI futures</w:t>
      </w:r>
    </w:p>
    <w:p>
      <w:r>
        <w:rPr>
          <w:i/>
        </w:rPr>
        <w:t>Session 4: Deep Learning and Critical Analysis (Collaborative Exploration)</w:t>
      </w:r>
    </w:p>
    <w:p>
      <w:pPr>
        <w:pStyle w:val="ListBullet"/>
      </w:pPr>
      <w:r>
        <w:t>Small group discussions with assigned roles (leader, summarizer, reporter, timekeeper)</w:t>
      </w:r>
    </w:p>
    <w:p>
      <w:pPr>
        <w:pStyle w:val="ListBullet"/>
      </w:pPr>
      <w:r>
        <w:t>AI dialogue partners presented alternative interpretations: "Can robots understand emotions?" "What lessons about technology emerge from this story?"</w:t>
      </w:r>
    </w:p>
    <w:p>
      <w:pPr>
        <w:pStyle w:val="ListBullet"/>
      </w:pPr>
      <w:r>
        <w:t>Generative AI provided diverse perspectives beyond typical student interpretations, expanding consideration of multiple viewpoints</w:t>
      </w:r>
    </w:p>
    <w:p>
      <w:pPr>
        <w:pStyle w:val="ListBullet"/>
      </w:pPr>
      <w:r>
        <w:t>Group collaboration enhanced critical evaluation and perspective-taking</w:t>
      </w:r>
    </w:p>
    <w:p>
      <w:r>
        <w:rPr>
          <w:i/>
        </w:rPr>
        <w:t>Session 5: Summary and Creative Application</w:t>
      </w:r>
    </w:p>
    <w:p>
      <w:pPr>
        <w:pStyle w:val="ListBullet"/>
      </w:pPr>
      <w:r>
        <w:t>Student-generated retellings compared with AI-generated summaries</w:t>
      </w:r>
    </w:p>
    <w:p>
      <w:pPr>
        <w:pStyle w:val="ListBullet"/>
      </w:pPr>
      <w:r>
        <w:t>Competitive and comparative activity highlighted distinctions between human narrative expression and AI generation</w:t>
      </w:r>
    </w:p>
    <w:p>
      <w:pPr>
        <w:pStyle w:val="ListBullet"/>
      </w:pPr>
      <w:r>
        <w:t>Writing assignments extended narrative analysis: students creatively developed story conclusions</w:t>
      </w:r>
    </w:p>
    <w:p>
      <w:pPr>
        <w:pStyle w:val="ListBullet"/>
      </w:pPr>
      <w:r>
        <w:t>AI feedback tools provided automated assessment with specific improvement suggestions</w:t>
      </w:r>
    </w:p>
    <w:p>
      <w:pPr>
        <w:pStyle w:val="ListBullet"/>
      </w:pPr>
      <w:r>
        <w:t>Student revisions based on feedback demonstrated knowledge application and iterative learning</w:t>
      </w:r>
    </w:p>
    <w:p>
      <w:r>
        <w:t>Assessment: Multidimensional evaluation combining self-assessment, peer assessment, teacher observation, and AI-assisted writing analysis. Results demonstrated statistically significant improvements (p &lt; 0.01) across language proficiency, cognitive development, collaboration, classroom engagement, creativity, and knowledge transfer/creation.</w:t>
      </w:r>
    </w:p>
    <w:p>
      <w:r>
        <w:rPr>
          <w:b/>
        </w:rPr>
        <w:t>Case Study 2: Bilingual Curriculum Design Integration (Primary Education)</w:t>
      </w:r>
    </w:p>
    <w:p>
      <w:r>
        <w:t>Context: Municipal primary school (not specified), bilingual classroom, diverse learner backgrounds</w:t>
      </w:r>
    </w:p>
    <w:p>
      <w:r>
        <w:t>Implementation: Teachers used ChatGPT to generate comprehensive bilingual curriculum integrated across languages, aligned classroom activities, and assessment rubrics</w:t>
      </w:r>
    </w:p>
    <w:p>
      <w:r>
        <w:t>Outcomes: Enhanced student engagement in bilingual instruction, improved learning self-efficacy, increased student confidence participating in language learning</w:t>
      </w:r>
    </w:p>
    <w:p>
      <w:r>
        <w:t>Key Success Factors: AI generated consistent content quality across languages, maintained conceptual alignment while respecting linguistic/cultural differences, enabled teachers to design ambitious curricula they might not have attempted without AI assistance</w:t>
      </w:r>
    </w:p>
    <w:p>
      <w:r>
        <w:rPr>
          <w:b/>
        </w:rPr>
        <w:t>Case Study 3: Adaptive Feedback System for Personalized Learning (Mathematics)</w:t>
      </w:r>
    </w:p>
    <w:p>
      <w:r>
        <w:t>Context: Multiple school settings using ALEKS system</w:t>
      </w:r>
    </w:p>
    <w:p>
      <w:r>
        <w:t>Implementation: Knowledge space theory mapping prerequisite relationships, continuous student assessment, and dynamic learning path adjustment</w:t>
      </w:r>
    </w:p>
    <w:p>
      <w:r>
        <w:t>Documented Outcomes:</w:t>
      </w:r>
    </w:p>
    <w:p>
      <w:pPr>
        <w:pStyle w:val="ListBullet"/>
      </w:pPr>
      <w:r>
        <w:t>Improved pass rates in mathematics courses</w:t>
      </w:r>
    </w:p>
    <w:p>
      <w:pPr>
        <w:pStyle w:val="ListBullet"/>
      </w:pPr>
      <w:r>
        <w:t>Increased student retention in advanced mathematics</w:t>
      </w:r>
    </w:p>
    <w:p>
      <w:pPr>
        <w:pStyle w:val="ListBullet"/>
      </w:pPr>
      <w:r>
        <w:t>Reduced mathematics anxiety</w:t>
      </w:r>
    </w:p>
    <w:p>
      <w:pPr>
        <w:pStyle w:val="ListBullet"/>
      </w:pPr>
      <w:r>
        <w:t>Accelerated learning for advanced students</w:t>
      </w:r>
    </w:p>
    <w:p>
      <w:pPr>
        <w:pStyle w:val="ListBullet"/>
      </w:pPr>
      <w:r>
        <w:t>Targeted intervention for struggling students</w:t>
      </w:r>
    </w:p>
    <w:p>
      <w:r>
        <w:t>---</w:t>
      </w:r>
    </w:p>
    <w:p>
      <w:pPr>
        <w:pStyle w:val="Heading2"/>
      </w:pPr>
      <w:r>
        <w:t>Part Four: Barriers, Challenges, and Critical Implementation Considerations</w:t>
      </w:r>
    </w:p>
    <w:p>
      <w:pPr>
        <w:pStyle w:val="Heading3"/>
      </w:pPr>
      <w:r>
        <w:t>Primary Implementation Barriers</w:t>
      </w:r>
    </w:p>
    <w:p>
      <w:r>
        <w:rPr>
          <w:b/>
        </w:rPr>
        <w:t>1. Insufficient Teacher Preparedness and Professional Development</w:t>
      </w:r>
    </w:p>
    <w:p>
      <w:r>
        <w:t>Research identifies inadequate teacher training as the most significant barrier to AIGC adoption. Quantitative data reveals that only 30% of teachers report moderate confidence using AI-powered tools, while 45% report being slightly to not at all confident. This confidence gap persists despite teachers' recognition of AIGC potential, indicating that awareness alone proves insufficient.</w:t>
      </w:r>
    </w:p>
    <w:p>
      <w:r>
        <w:t>Root causes include limited exposure during initial teacher education, inadequate in-service professional development opportunities, and insufficient opportunities for hands-on experimentation with emerging tools. Teachers report feeling unprepared to integrate AIGC effectively, particularly regarding pedagogical applications beyond simple content generation. Critically, 90% of reviewed studies emphasize teachers' professional development as essential for successful AIGC integration.</w:t>
      </w:r>
    </w:p>
    <w:p>
      <w:r>
        <w:rPr>
          <w:b/>
        </w:rPr>
        <w:t>2. Infrastructure and Resource Limitations</w:t>
      </w:r>
    </w:p>
    <w:p>
      <w:r>
        <w:t>Unequal access to technological infrastructure remains a persistent barrier, particularly acute in rural and economically disadvantaged urban areas. The digital divide manifests through:</w:t>
      </w:r>
    </w:p>
    <w:p>
      <w:pPr>
        <w:pStyle w:val="ListBullet"/>
      </w:pPr>
      <w:r>
        <w:t>Inadequate devices for individual student use</w:t>
      </w:r>
    </w:p>
    <w:p>
      <w:pPr>
        <w:pStyle w:val="ListBullet"/>
      </w:pPr>
      <w:r>
        <w:t>Unreliable internet connectivity</w:t>
      </w:r>
    </w:p>
    <w:p>
      <w:pPr>
        <w:pStyle w:val="ListBullet"/>
      </w:pPr>
      <w:r>
        <w:t>Insufficient funding for educational technology platforms</w:t>
      </w:r>
    </w:p>
    <w:p>
      <w:pPr>
        <w:pStyle w:val="ListBullet"/>
      </w:pPr>
      <w:r>
        <w:t>Limited technical support for troubleshooting</w:t>
      </w:r>
    </w:p>
    <w:p>
      <w:pPr>
        <w:pStyle w:val="ListBullet"/>
      </w:pPr>
      <w:r>
        <w:t>Unequal access across geographic regions and socioeconomic contexts</w:t>
      </w:r>
    </w:p>
    <w:p>
      <w:r>
        <w:t>Without addressing infrastructure limitations, AIGC benefits accrue disproportionately to privileged populations, exacerbating educational inequity.</w:t>
      </w:r>
    </w:p>
    <w:p>
      <w:r>
        <w:rPr>
          <w:b/>
        </w:rPr>
        <w:t>3. Ethical, Privacy, and Academic Integrity Concerns</w:t>
      </w:r>
    </w:p>
    <w:p>
      <w:r>
        <w:t>AIGC integration raises multifaceted ethical concerns requiring institutional response:</w:t>
      </w:r>
    </w:p>
    <w:p>
      <w:r>
        <w:rPr>
          <w:i/>
        </w:rPr>
        <w:t>Data Privacy and Security</w:t>
      </w:r>
      <w:r>
        <w:t>: Educational institutions collecting detailed data on student learning interactions (response patterns, struggle points, time-on-task, misconceptions) face obligations to protect this sensitive information. Data breaches could expose extensive personal information about student learning profiles. Schools require stricter data protection standards and clear policies governing data collection, storage, usage, and retention.</w:t>
      </w:r>
    </w:p>
    <w:p>
      <w:r>
        <w:rPr>
          <w:i/>
        </w:rPr>
        <w:t>Academic Integrity</w:t>
      </w:r>
      <w:r>
        <w:t>: ChatGPT's capacity to generate essays, code, and problem solutions creates risks of plagiarism and academic dishonesty. Some schools initially banned ChatGPT, while others developed frameworks clarifying appropriate use. Effective approaches distinguish between appropriate uses (seeking explanation, brainstorming, revision feedback) and inappropriate uses (submitting AI-generated work as one's own), with clear guidelines and accountability structures.</w:t>
      </w:r>
    </w:p>
    <w:p>
      <w:r>
        <w:rPr>
          <w:i/>
        </w:rPr>
        <w:t>Bias and Fairness</w:t>
      </w:r>
      <w:r>
        <w:t>: AIGC systems trained on existing internet text can perpetuate or amplify biases present in training data, potentially generating content reflecting stereotypes, cultural biases, or factual inaccuracies. Providing equitable educational experiences requires critical evaluation of AIGC outputs and supplementation with teacher judgment to ensure content fairness and accuracy.</w:t>
      </w:r>
    </w:p>
    <w:p>
      <w:r>
        <w:rPr>
          <w:b/>
        </w:rPr>
        <w:t>4. Teacher Autonomy and De-Skilling Concerns</w:t>
      </w:r>
    </w:p>
    <w:p>
      <w:r>
        <w:t>Teachers express concerns that excessive AIGC dependence could erode their professional authority and reduce their role to monitor-and-adjust positions rather than creative educators. Fears of de-skilling—loss of capacities through disuse—motivate some resistance despite recognition of AIGC benefits. Addressing these concerns requires explicit positioning of AI as supplementary rather than substitutive, with teachers retaining agency in curriculum design, pedagogical decisions, and adaptation to student needs.</w:t>
      </w:r>
    </w:p>
    <w:p>
      <w:pPr>
        <w:pStyle w:val="Heading3"/>
      </w:pPr>
      <w:r>
        <w:t>Addressing Implementation Barriers: Evidence-Based Strategies</w:t>
      </w:r>
    </w:p>
    <w:p>
      <w:r>
        <w:rPr>
          <w:b/>
        </w:rPr>
        <w:t>Professional Development That Supports Effective Integration</w:t>
      </w:r>
    </w:p>
    <w:p>
      <w:r>
        <w:t>Research identifies characteristics of effective professional development:</w:t>
      </w:r>
    </w:p>
    <w:p>
      <w:pPr>
        <w:pStyle w:val="ListBullet"/>
      </w:pPr>
      <w:r>
        <w:t>Motivating and customized (not generic, one-size-fits-all)</w:t>
      </w:r>
    </w:p>
    <w:p>
      <w:pPr>
        <w:pStyle w:val="ListBullet"/>
      </w:pPr>
      <w:r>
        <w:t>Hands-on experience with latest tools enabling confidence building</w:t>
      </w:r>
    </w:p>
    <w:p>
      <w:pPr>
        <w:pStyle w:val="ListBullet"/>
      </w:pPr>
      <w:r>
        <w:t>Pedagogical focus (when and why to use tools, not just how)</w:t>
      </w:r>
    </w:p>
    <w:p>
      <w:pPr>
        <w:pStyle w:val="ListBullet"/>
      </w:pPr>
      <w:r>
        <w:t>Ethical considerations and responsible use frameworks</w:t>
      </w:r>
    </w:p>
    <w:p>
      <w:pPr>
        <w:pStyle w:val="ListBullet"/>
      </w:pPr>
      <w:r>
        <w:t>Ongoing support systems and communities of practice</w:t>
      </w:r>
    </w:p>
    <w:p>
      <w:pPr>
        <w:pStyle w:val="ListBullet"/>
      </w:pPr>
      <w:r>
        <w:t>Subject-matter specific applications</w:t>
      </w:r>
    </w:p>
    <w:p>
      <w:pPr>
        <w:pStyle w:val="ListBullet"/>
      </w:pPr>
      <w:r>
        <w:t>Time for collaborative exploration and lesson design</w:t>
      </w:r>
    </w:p>
    <w:p>
      <w:r>
        <w:t>Effective PD moves beyond technical training toward pedagogical innovation, helping teachers envision how AIGC enhances rather than replaces teaching.</w:t>
      </w:r>
    </w:p>
    <w:p>
      <w:r>
        <w:rPr>
          <w:b/>
        </w:rPr>
        <w:t>Maintaining Teacher Authority Within AI-Augmented Systems</w:t>
      </w:r>
    </w:p>
    <w:p>
      <w:r>
        <w:t>Successful implementations position teachers as designers and decision-makers with AIGC as tools enabling rather than replacing professional judgment. Key principles include:</w:t>
      </w:r>
    </w:p>
    <w:p>
      <w:pPr>
        <w:pStyle w:val="ListBullet"/>
      </w:pPr>
      <w:r>
        <w:t>Teachers retain curriculum design authority</w:t>
      </w:r>
    </w:p>
    <w:p>
      <w:pPr>
        <w:pStyle w:val="ListBullet"/>
      </w:pPr>
      <w:r>
        <w:t>Teachers adapt AI-generated content to class-specific contexts</w:t>
      </w:r>
    </w:p>
    <w:p>
      <w:pPr>
        <w:pStyle w:val="ListBullet"/>
      </w:pPr>
      <w:r>
        <w:t>Teachers verify AI output accuracy and bias</w:t>
      </w:r>
    </w:p>
    <w:p>
      <w:pPr>
        <w:pStyle w:val="ListBullet"/>
      </w:pPr>
      <w:r>
        <w:t>Teachers make final assessment and grading decisions</w:t>
      </w:r>
    </w:p>
    <w:p>
      <w:pPr>
        <w:pStyle w:val="ListBullet"/>
      </w:pPr>
      <w:r>
        <w:t>Teachers provide humanistic care and relationship-building beyond AI capacity</w:t>
      </w:r>
    </w:p>
    <w:p>
      <w:r>
        <w:t>One documented approach explicitly established guidelines for student ChatGPT use, with a classroom poster clarifying when and how AI use was appropriate. Teacher authority, exercised transparently, paradoxically enhanced student trust and responsible technology use.</w:t>
      </w:r>
    </w:p>
    <w:p>
      <w:r>
        <w:rPr>
          <w:b/>
        </w:rPr>
        <w:t>Balancing AI Assistance With Independent Thinking</w:t>
      </w:r>
    </w:p>
    <w:p>
      <w:r>
        <w:t>Addressing concerns about student over-reliance requires deliberate instructional design:</w:t>
      </w:r>
    </w:p>
    <w:p>
      <w:pPr>
        <w:pStyle w:val="ListBullet"/>
      </w:pPr>
      <w:r>
        <w:t>Requiring students to explain AI-generated solutions before accepting them</w:t>
      </w:r>
    </w:p>
    <w:p>
      <w:pPr>
        <w:pStyle w:val="ListBullet"/>
      </w:pPr>
      <w:r>
        <w:t>Designing tasks requiring independent thinking complemented by AI brainstorming</w:t>
      </w:r>
    </w:p>
    <w:p>
      <w:pPr>
        <w:pStyle w:val="ListBullet"/>
      </w:pPr>
      <w:r>
        <w:t>Emphasizing AI as thinking partner rather than answer provider</w:t>
      </w:r>
    </w:p>
    <w:p>
      <w:pPr>
        <w:pStyle w:val="ListBullet"/>
      </w:pPr>
      <w:r>
        <w:t>Incorporating diverse learning resources beyond AI</w:t>
      </w:r>
    </w:p>
    <w:p>
      <w:pPr>
        <w:pStyle w:val="ListBullet"/>
      </w:pPr>
      <w:r>
        <w:t>Scaffolding student capacity to critically evaluate AI suggestions</w:t>
      </w:r>
    </w:p>
    <w:p>
      <w:r>
        <w:t>Instructional approaches acknowledging both AI power and limitations foster balanced technology use.</w:t>
      </w:r>
    </w:p>
    <w:p>
      <w:r>
        <w:t>---</w:t>
      </w:r>
    </w:p>
    <w:p>
      <w:pPr>
        <w:pStyle w:val="Heading2"/>
      </w:pPr>
      <w:r>
        <w:t>Part Five: Actionable Recommendations for Educators and School Leaders</w:t>
      </w:r>
    </w:p>
    <w:p>
      <w:pPr>
        <w:pStyle w:val="Heading3"/>
      </w:pPr>
      <w:r>
        <w:t>For Teachers: Integrating AIGC Into Practice</w:t>
      </w:r>
    </w:p>
    <w:p>
      <w:r>
        <w:rPr>
          <w:b/>
        </w:rPr>
        <w:t>1. Establish Clear, Transparent Use Policies</w:t>
      </w:r>
    </w:p>
    <w:p>
      <w:r>
        <w:t>Develop explicit guidelines clarifying when AIGC use supports learning and when it undermines academic integrity. Communicate policies transparently to students, explaining rationale. One effective approach: create a visual aid (poster or handout) titled "When Can I Use ChatGPT?" specifying appropriate uses (seeking explanation, brainstorming ideas, checking work) versus inappropriate uses (submitting AI-generated work without credit).</w:t>
      </w:r>
    </w:p>
    <w:p>
      <w:r>
        <w:rPr>
          <w:b/>
        </w:rPr>
        <w:t>2. Leverage AIGC for Assessment and Feedback</w:t>
      </w:r>
    </w:p>
    <w:p>
      <w:r>
        <w:t>AIGC demonstrates particular effectiveness in formative assessment. Implementation strategies:</w:t>
      </w:r>
    </w:p>
    <w:p>
      <w:pPr>
        <w:pStyle w:val="ListBullet"/>
      </w:pPr>
      <w:r>
        <w:t>Use AI writing tools to generate initial feedback on student essays before providing your own</w:t>
      </w:r>
    </w:p>
    <w:p>
      <w:pPr>
        <w:pStyle w:val="ListBullet"/>
      </w:pPr>
      <w:r>
        <w:t>Generate multiple versions of assessment questions aligned with learning objectives</w:t>
      </w:r>
    </w:p>
    <w:p>
      <w:pPr>
        <w:pStyle w:val="ListBullet"/>
      </w:pPr>
      <w:r>
        <w:t>Create adaptive quizzes adjusting difficulty based on student responses</w:t>
      </w:r>
    </w:p>
    <w:p>
      <w:pPr>
        <w:pStyle w:val="ListBullet"/>
      </w:pPr>
      <w:r>
        <w:t>Provide students access to feedback tools for iterative revision</w:t>
      </w:r>
    </w:p>
    <w:p>
      <w:r>
        <w:rPr>
          <w:b/>
        </w:rPr>
        <w:t>3. Enhance Engagement Through Visual and Multimodal Content</w:t>
      </w:r>
    </w:p>
    <w:p>
      <w:r>
        <w:t>Utilize image generation and multimodal tools to enhance diverse learning modalities:</w:t>
      </w:r>
    </w:p>
    <w:p>
      <w:pPr>
        <w:pStyle w:val="ListBullet"/>
      </w:pPr>
      <w:r>
        <w:t>Generate visualizations of abstract concepts before lessons</w:t>
      </w:r>
    </w:p>
    <w:p>
      <w:pPr>
        <w:pStyle w:val="ListBullet"/>
      </w:pPr>
      <w:r>
        <w:t>Create visual organizers (mind maps, concept maps) to structure complex information</w:t>
      </w:r>
    </w:p>
    <w:p>
      <w:pPr>
        <w:pStyle w:val="ListBullet"/>
      </w:pPr>
      <w:r>
        <w:t>Adapt textual content to varied visual representations</w:t>
      </w:r>
    </w:p>
    <w:p>
      <w:pPr>
        <w:pStyle w:val="ListBullet"/>
      </w:pPr>
      <w:r>
        <w:t>Support students with visual learning preferences</w:t>
      </w:r>
    </w:p>
    <w:p>
      <w:r>
        <w:rPr>
          <w:b/>
        </w:rPr>
        <w:t>4. Implement Structured AIGC-Supported Collaborative Learning</w:t>
      </w:r>
    </w:p>
    <w:p>
      <w:r>
        <w:t>Evidence suggests AIGC within collaborative structures generates stronger learning outcomes than individual use. Strategies:</w:t>
      </w:r>
    </w:p>
    <w:p>
      <w:pPr>
        <w:pStyle w:val="ListBullet"/>
      </w:pPr>
      <w:r>
        <w:t>Use AI dialogue as prompts for group discussion</w:t>
      </w:r>
    </w:p>
    <w:p>
      <w:pPr>
        <w:pStyle w:val="ListBullet"/>
      </w:pPr>
      <w:r>
        <w:t>Have students collectively evaluate and critique AI-generated content</w:t>
      </w:r>
    </w:p>
    <w:p>
      <w:pPr>
        <w:pStyle w:val="ListBullet"/>
      </w:pPr>
      <w:r>
        <w:t>Structure peer learning around AI-generated problem sets</w:t>
      </w:r>
    </w:p>
    <w:p>
      <w:pPr>
        <w:pStyle w:val="ListBullet"/>
      </w:pPr>
      <w:r>
        <w:t>Create competitive activities comparing student-generated versus AI-generated solutions</w:t>
      </w:r>
    </w:p>
    <w:p>
      <w:r>
        <w:rPr>
          <w:b/>
        </w:rPr>
        <w:t>5. Continuously Develop Professional Understanding</w:t>
      </w:r>
    </w:p>
    <w:p>
      <w:r>
        <w:t>Engage in ongoing professional learning:</w:t>
      </w:r>
    </w:p>
    <w:p>
      <w:pPr>
        <w:pStyle w:val="ListBullet"/>
      </w:pPr>
      <w:r>
        <w:t>Experiment with AIGC tools in low-stakes contexts before classroom integration</w:t>
      </w:r>
    </w:p>
    <w:p>
      <w:pPr>
        <w:pStyle w:val="ListBullet"/>
      </w:pPr>
      <w:r>
        <w:t>Participate in communities of practice sharing effective practices</w:t>
      </w:r>
    </w:p>
    <w:p>
      <w:pPr>
        <w:pStyle w:val="ListBullet"/>
      </w:pPr>
      <w:r>
        <w:t>Examine research on AIGC learning outcomes</w:t>
      </w:r>
    </w:p>
    <w:p>
      <w:pPr>
        <w:pStyle w:val="ListBullet"/>
      </w:pPr>
      <w:r>
        <w:t>Reflect critically on your own AIGC use, adjusting based on student engagement and learning evidence</w:t>
      </w:r>
    </w:p>
    <w:p>
      <w:pPr>
        <w:pStyle w:val="Heading3"/>
      </w:pPr>
      <w:r>
        <w:t>For School Leaders: Enabling Institutional Support</w:t>
      </w:r>
    </w:p>
    <w:p>
      <w:r>
        <w:rPr>
          <w:b/>
        </w:rPr>
        <w:t>1. Prioritize Comprehensive Professional Development</w:t>
      </w:r>
    </w:p>
    <w:p>
      <w:r>
        <w:t>Allocate sustained funding for professional development that:</w:t>
      </w:r>
    </w:p>
    <w:p>
      <w:pPr>
        <w:pStyle w:val="ListBullet"/>
      </w:pPr>
      <w:r>
        <w:t>Provides hands-on experimentation time with relevant tools</w:t>
      </w:r>
    </w:p>
    <w:p>
      <w:pPr>
        <w:pStyle w:val="ListBullet"/>
      </w:pPr>
      <w:r>
        <w:t>Addresses pedagogical integration (not just technical skills)</w:t>
      </w:r>
    </w:p>
    <w:p>
      <w:pPr>
        <w:pStyle w:val="ListBullet"/>
      </w:pPr>
      <w:r>
        <w:t>Includes ethical considerations and responsible use</w:t>
      </w:r>
    </w:p>
    <w:p>
      <w:pPr>
        <w:pStyle w:val="ListBullet"/>
      </w:pPr>
      <w:r>
        <w:t>Offers ongoing support and community of practice structures</w:t>
      </w:r>
    </w:p>
    <w:p>
      <w:pPr>
        <w:pStyle w:val="ListBullet"/>
      </w:pPr>
      <w:r>
        <w:t>Provides subject-matter-specific applications</w:t>
      </w:r>
    </w:p>
    <w:p>
      <w:r>
        <w:t>Development should be motivating and customized rather than generic mandatory sessions.</w:t>
      </w:r>
    </w:p>
    <w:p>
      <w:r>
        <w:rPr>
          <w:b/>
        </w:rPr>
        <w:t>2. Develop Ethical Guidelines and Responsible Use Frameworks</w:t>
      </w:r>
    </w:p>
    <w:p>
      <w:r>
        <w:t>Establish clear institutional policies addressing:</w:t>
      </w:r>
    </w:p>
    <w:p>
      <w:pPr>
        <w:pStyle w:val="ListBullet"/>
      </w:pPr>
      <w:r>
        <w:t>Data privacy and protection standards exceeding minimum legal requirements</w:t>
      </w:r>
    </w:p>
    <w:p>
      <w:pPr>
        <w:pStyle w:val="ListBullet"/>
      </w:pPr>
      <w:r>
        <w:t>Academic integrity and plagiarism prevention</w:t>
      </w:r>
    </w:p>
    <w:p>
      <w:pPr>
        <w:pStyle w:val="ListBullet"/>
      </w:pPr>
      <w:r>
        <w:t>Bias identification and mitigation processes</w:t>
      </w:r>
    </w:p>
    <w:p>
      <w:pPr>
        <w:pStyle w:val="ListBullet"/>
      </w:pPr>
      <w:r>
        <w:t>Student consent and parental notification procedures</w:t>
      </w:r>
    </w:p>
    <w:p>
      <w:pPr>
        <w:pStyle w:val="ListBullet"/>
      </w:pPr>
      <w:r>
        <w:t>Teacher autonomy protection</w:t>
      </w:r>
    </w:p>
    <w:p>
      <w:pPr>
        <w:pStyle w:val="ListBullet"/>
      </w:pPr>
      <w:r>
        <w:t>Equitable access ensuring all students benefit regardless of resource availability</w:t>
      </w:r>
    </w:p>
    <w:p>
      <w:r>
        <w:t>Frameworks should be developed collaboratively with teachers, technology specialists, parents, and students.</w:t>
      </w:r>
    </w:p>
    <w:p>
      <w:r>
        <w:rPr>
          <w:b/>
        </w:rPr>
        <w:t>3. Ensure Infrastructure Equity</w:t>
      </w:r>
    </w:p>
    <w:p>
      <w:r>
        <w:t>Allocate resources ensuring:</w:t>
      </w:r>
    </w:p>
    <w:p>
      <w:pPr>
        <w:pStyle w:val="ListBullet"/>
      </w:pPr>
      <w:r>
        <w:t>Adequate technology devices and reliable internet connectivity</w:t>
      </w:r>
    </w:p>
    <w:p>
      <w:pPr>
        <w:pStyle w:val="ListBullet"/>
      </w:pPr>
      <w:r>
        <w:t>Technical support and maintenance systems</w:t>
      </w:r>
    </w:p>
    <w:p>
      <w:pPr>
        <w:pStyle w:val="ListBullet"/>
      </w:pPr>
      <w:r>
        <w:t>Equitable access across all schools in district, with particular attention to rural and economically disadvantaged areas</w:t>
      </w:r>
    </w:p>
    <w:p>
      <w:pPr>
        <w:pStyle w:val="ListBullet"/>
      </w:pPr>
      <w:r>
        <w:t>Sustainability planning as technology landscape evolves</w:t>
      </w:r>
    </w:p>
    <w:p>
      <w:r>
        <w:t>Consider open-source and lower-cost solutions extending access in resource-constrained contexts.</w:t>
      </w:r>
    </w:p>
    <w:p>
      <w:r>
        <w:rPr>
          <w:b/>
        </w:rPr>
        <w:t>4. Support Teacher Leadership and Agency</w:t>
      </w:r>
    </w:p>
    <w:p>
      <w:r>
        <w:t>Implement structures recognizing teachers as AIGC adoption leaders:</w:t>
      </w:r>
    </w:p>
    <w:p>
      <w:pPr>
        <w:pStyle w:val="ListBullet"/>
      </w:pPr>
      <w:r>
        <w:t>Release teachers to lead professional development and pilot programs</w:t>
      </w:r>
    </w:p>
    <w:p>
      <w:pPr>
        <w:pStyle w:val="ListBullet"/>
      </w:pPr>
      <w:r>
        <w:t>Create opportunities for collaborative curriculum design integrating AIGC</w:t>
      </w:r>
    </w:p>
    <w:p>
      <w:pPr>
        <w:pStyle w:val="ListBullet"/>
      </w:pPr>
      <w:r>
        <w:t>Support teacher-researcher partnerships examining AIGC effects in their contexts</w:t>
      </w:r>
    </w:p>
    <w:p>
      <w:pPr>
        <w:pStyle w:val="ListBullet"/>
      </w:pPr>
      <w:r>
        <w:t>Value teacher expertise in translating generic AIGC tools to discipline-specific applications</w:t>
      </w:r>
    </w:p>
    <w:p>
      <w:r>
        <w:t>Teacher leadership increases adoption sustainability compared to top-down mandates.</w:t>
      </w:r>
    </w:p>
    <w:p>
      <w:r>
        <w:rPr>
          <w:b/>
        </w:rPr>
        <w:t>5. Monitor and Evaluate Implementation Impact</w:t>
      </w:r>
    </w:p>
    <w:p>
      <w:r>
        <w:t>Establish systems documenting AIGC effects:</w:t>
      </w:r>
    </w:p>
    <w:p>
      <w:pPr>
        <w:pStyle w:val="ListBullet"/>
      </w:pPr>
      <w:r>
        <w:t>Baseline assessment of student learning outcomes before AIGC integration</w:t>
      </w:r>
    </w:p>
    <w:p>
      <w:pPr>
        <w:pStyle w:val="ListBullet"/>
      </w:pPr>
      <w:r>
        <w:t>Ongoing assessment using both objective measures (assessments/tests) and subjective measures (engagement, satisfaction)</w:t>
      </w:r>
    </w:p>
    <w:p>
      <w:pPr>
        <w:pStyle w:val="ListBullet"/>
      </w:pPr>
      <w:r>
        <w:t>Disaggregate data examining impacts across diverse student populations</w:t>
      </w:r>
    </w:p>
    <w:p>
      <w:pPr>
        <w:pStyle w:val="ListBullet"/>
      </w:pPr>
      <w:r>
        <w:t>Establish feedback loops enabling continuous refinement</w:t>
      </w:r>
    </w:p>
    <w:p>
      <w:pPr>
        <w:pStyle w:val="ListBullet"/>
      </w:pPr>
      <w:r>
        <w:t>Share findings with school community transparently</w:t>
      </w:r>
    </w:p>
    <w:p>
      <w:r>
        <w:t>Evidence-based evaluation informs decision-making and demonstrates accountability.</w:t>
      </w:r>
    </w:p>
    <w:p>
      <w:r>
        <w:t>---</w:t>
      </w:r>
    </w:p>
    <w:p>
      <w:pPr>
        <w:pStyle w:val="Heading2"/>
      </w:pPr>
      <w:r>
        <w:t>Part Six: Future Trends and Emerging Directions</w:t>
      </w:r>
    </w:p>
    <w:p>
      <w:pPr>
        <w:pStyle w:val="Heading3"/>
      </w:pPr>
      <w:r>
        <w:t>Evolution Toward Multimodal Integration</w:t>
      </w:r>
    </w:p>
    <w:p>
      <w:r>
        <w:t>Emerging research indicates movement beyond single-modality systems toward integrated multimodal AIGC combining text, image, audio, and video generation. Future implementations will likely employ GPT-4 level systems integrated with specialized tools (Midjourney for visual design, specialized tutoring systems for particular subjects). This integration enables more sophisticated scaffolding—for example, generating explanatory videos, illustrative diagrams, worked-example walkthroughs, and interactive simulations within coherent learning experiences.</w:t>
      </w:r>
    </w:p>
    <w:p>
      <w:pPr>
        <w:pStyle w:val="Heading3"/>
      </w:pPr>
      <w:r>
        <w:t>Personalization and Adaptive Learning Advancement</w:t>
      </w:r>
    </w:p>
    <w:p>
      <w:r>
        <w:t>Increasingly sophisticated learner models incorporating not only academic performance but also emotional states, motivation patterns, learning preferences, and metacognitive development will enable hyper-personalized instruction. Integration of biometric data (eye-tracking, facial expression recognition) and learning analytics enables real-time adaptation responding to momentary engagement fluctuations.</w:t>
      </w:r>
    </w:p>
    <w:p>
      <w:pPr>
        <w:pStyle w:val="Heading3"/>
      </w:pPr>
      <w:r>
        <w:t>Teacher-in-the-Loop Systems</w:t>
      </w:r>
    </w:p>
    <w:p>
      <w:r>
        <w:t>Research increasingly calls for educational AIGC platforms supporting teacher customization and control. Rather than black-box AI systems generating content autonomously, future systems will enable teachers to configure AIGC behavior—specifying curriculum standards to incorporate, misconceptions to target, cultural contexts to represent. This teacher-centric design maintains teacher authority while leveraging AIGC efficiency.</w:t>
      </w:r>
    </w:p>
    <w:p>
      <w:pPr>
        <w:pStyle w:val="Heading3"/>
      </w:pPr>
      <w:r>
        <w:t>Subject-Specific and Culturally Responsive AIGC</w:t>
      </w:r>
    </w:p>
    <w:p>
      <w:r>
        <w:t>As research expands beyond mathematics and physics toward underrepresented subjects, specialized AIGC systems adapted to specific disciplines will emerge. Critically, culturally responsive AIGC development will address current systems' tendency to reflect dominant cultural perspectives embedded in training data. Future systems will incorporate diverse cultural examples, avoid stereotyping, and support students in exploring how AIGC both reflects and shapes cultural understanding.</w:t>
      </w:r>
    </w:p>
    <w:p>
      <w:pPr>
        <w:pStyle w:val="Heading3"/>
      </w:pPr>
      <w:r>
        <w:t>Longitudinal Learning Impact Research</w:t>
      </w:r>
    </w:p>
    <w:p>
      <w:r>
        <w:t>Current research employs primarily short-term experimental designs and psychological outcome measures. Future research priorities include:</w:t>
      </w:r>
    </w:p>
    <w:p>
      <w:pPr>
        <w:pStyle w:val="ListBullet"/>
      </w:pPr>
      <w:r>
        <w:t>Longitudinal studies tracking effects across years</w:t>
      </w:r>
    </w:p>
    <w:p>
      <w:pPr>
        <w:pStyle w:val="ListBullet"/>
      </w:pPr>
      <w:r>
        <w:t>Objective learning outcome measures (standardized assessments, skill demonstrations) alongside psychological measures</w:t>
      </w:r>
    </w:p>
    <w:p>
      <w:pPr>
        <w:pStyle w:val="ListBullet"/>
      </w:pPr>
      <w:r>
        <w:t>Investigation of indirect and long-term effects on creativity, critical thinking, and dispositions toward learning</w:t>
      </w:r>
    </w:p>
    <w:p>
      <w:pPr>
        <w:pStyle w:val="ListBullet"/>
      </w:pPr>
      <w:r>
        <w:t>Cross-cultural studies examining AIGC effectiveness across diverse educational contexts</w:t>
      </w:r>
    </w:p>
    <w:p>
      <w:pPr>
        <w:pStyle w:val="ListBullet"/>
      </w:pPr>
      <w:r>
        <w:t>Research examining unintended consequences and potential negative effects</w:t>
      </w:r>
    </w:p>
    <w:p>
      <w:pPr>
        <w:pStyle w:val="Heading3"/>
      </w:pPr>
      <w:r>
        <w:t>Early Childhood Education</w:t>
      </w:r>
    </w:p>
    <w:p>
      <w:r>
        <w:t>Complete absence of empirical research on AIGC in early childhood education represents a critical gap. Developmental appropriateness of AIGC for young children, effects on social-emotional development, and appropriate safeguards require urgent investigation.</w:t>
      </w:r>
    </w:p>
    <w:p>
      <w:r>
        <w:t>---</w:t>
      </w:r>
    </w:p>
    <w:p>
      <w:pPr>
        <w:pStyle w:val="Heading2"/>
      </w:pPr>
      <w:r>
        <w:t>Part Seven: Synthesis and Concluding Framework</w:t>
      </w:r>
    </w:p>
    <w:p>
      <w:pPr>
        <w:pStyle w:val="Heading3"/>
      </w:pPr>
      <w:r>
        <w:t>Key Evidence-Based Insights</w:t>
      </w:r>
    </w:p>
    <w:p>
      <w:pPr>
        <w:pStyle w:val="ListNumber"/>
      </w:pPr>
      <w:r>
        <w:rPr>
          <w:b/>
        </w:rPr>
        <w:t>AIGC demonstrably enhances learning when properly implemented</w:t>
      </w:r>
      <w:r>
        <w:t>, with documented improvements in critical thinking, engagement, higher-order thinking, and academic achievement. Effects are strongest when AIGC serves collaborative learning and when teachers exercise authority over implementation.</w:t>
      </w:r>
    </w:p>
    <w:p>
      <w:pPr>
        <w:pStyle w:val="ListNumber"/>
      </w:pPr>
      <w:r>
        <w:rPr>
          <w:b/>
        </w:rPr>
        <w:t>Teacher quality remains paramount</w:t>
      </w:r>
      <w:r>
        <w:t>, with AIGC functioning as amplifier of teaching effectiveness. Excellent teachers leverage AIGC to enhance personalization and feedback; poor teachers using AIGC may intensify problematic instruction.</w:t>
      </w:r>
    </w:p>
    <w:p>
      <w:pPr>
        <w:pStyle w:val="ListNumber"/>
      </w:pPr>
      <w:r>
        <w:rPr>
          <w:b/>
        </w:rPr>
        <w:t>Activity structure matters profoundly</w:t>
      </w:r>
      <w:r>
        <w:t>, with collaborative and interactive AIGC use generating stronger outcomes than individual human-AI dialogue. Structured group problem-solving, peer evaluation of AI outputs, and creative applications yield stronger learning than passive consumption of AI-generated content.</w:t>
      </w:r>
    </w:p>
    <w:p>
      <w:pPr>
        <w:pStyle w:val="ListNumber"/>
      </w:pPr>
      <w:r>
        <w:rPr>
          <w:b/>
        </w:rPr>
        <w:t>Equity requires intentional design and attention</w:t>
      </w:r>
      <w:r>
        <w:t>, as AIGC benefits distribute unequally based on infrastructure access, teacher preparedness, and whether systems are designed with diverse learners. Equitable AIGC deployment requires explicit attention to underrepresented populations.</w:t>
      </w:r>
    </w:p>
    <w:p>
      <w:pPr>
        <w:pStyle w:val="ListNumber"/>
      </w:pPr>
      <w:r>
        <w:rPr>
          <w:b/>
        </w:rPr>
        <w:t>Measurement must include objective and subjective outcomes</w:t>
      </w:r>
      <w:r>
        <w:t>, with future research moving beyond psychological variables toward standardized achievement measures while maintaining investigation of engagement and motivation.</w:t>
      </w:r>
    </w:p>
    <w:p>
      <w:pPr>
        <w:pStyle w:val="Heading3"/>
      </w:pPr>
      <w:r>
        <w:t>Conditions for Successful AIGC Integration</w:t>
      </w:r>
    </w:p>
    <w:p>
      <w:r>
        <w:t>Synthesizing findings across studies, successful AIGC integration requires:</w:t>
      </w:r>
    </w:p>
    <w:p>
      <w:pPr>
        <w:pStyle w:val="ListBullet"/>
      </w:pPr>
      <w:r>
        <w:rPr>
          <w:b/>
        </w:rPr>
        <w:t>Teacher agency and authority</w:t>
      </w:r>
      <w:r>
        <w:t>: Teachers make pedagogical decisions; AIGC supports rather than replaces judgment</w:t>
      </w:r>
    </w:p>
    <w:p>
      <w:pPr>
        <w:pStyle w:val="ListBullet"/>
      </w:pPr>
      <w:r>
        <w:rPr>
          <w:b/>
        </w:rPr>
        <w:t>Thoughtful activity design</w:t>
      </w:r>
      <w:r>
        <w:t>: Structured collaborative activities generate stronger outcomes than unguided individual use</w:t>
      </w:r>
    </w:p>
    <w:p>
      <w:pPr>
        <w:pStyle w:val="ListBullet"/>
      </w:pPr>
      <w:r>
        <w:rPr>
          <w:b/>
        </w:rPr>
        <w:t>Grounding in learning theory</w:t>
      </w:r>
      <w:r>
        <w:t>: Explicitly connecting AIGC to pedagogical frameworks (deep learning, situated cognition, constructivism)</w:t>
      </w:r>
    </w:p>
    <w:p>
      <w:pPr>
        <w:pStyle w:val="ListBullet"/>
      </w:pPr>
      <w:r>
        <w:rPr>
          <w:b/>
        </w:rPr>
        <w:t>Comprehensive professional development</w:t>
      </w:r>
      <w:r>
        <w:t>: Ongoing, hands-on, subject-matter-specific PD addressing both technical and ethical dimensions</w:t>
      </w:r>
    </w:p>
    <w:p>
      <w:pPr>
        <w:pStyle w:val="ListBullet"/>
      </w:pPr>
      <w:r>
        <w:rPr>
          <w:b/>
        </w:rPr>
        <w:t>Infrastructure equity</w:t>
      </w:r>
      <w:r>
        <w:t>: Ensuring all students and teachers have necessary technology access</w:t>
      </w:r>
    </w:p>
    <w:p>
      <w:pPr>
        <w:pStyle w:val="ListBullet"/>
      </w:pPr>
      <w:r>
        <w:rPr>
          <w:b/>
        </w:rPr>
        <w:t>Clear ethical frameworks</w:t>
      </w:r>
      <w:r>
        <w:t>: Policies addressing privacy, academic integrity, bias, and responsible use</w:t>
      </w:r>
    </w:p>
    <w:p>
      <w:pPr>
        <w:pStyle w:val="ListBullet"/>
      </w:pPr>
      <w:r>
        <w:rPr>
          <w:b/>
        </w:rPr>
        <w:t>Evaluation and feedback</w:t>
      </w:r>
      <w:r>
        <w:t>: Continuous assessment of impacts with feedback loops enabling refinement</w:t>
      </w:r>
    </w:p>
    <w:p>
      <w:pPr>
        <w:pStyle w:val="ListBullet"/>
      </w:pPr>
      <w:r>
        <w:rPr>
          <w:b/>
        </w:rPr>
        <w:t>Student engagement and voice</w:t>
      </w:r>
      <w:r>
        <w:t>: Including students as partners in designing AIGC integration</w:t>
      </w:r>
    </w:p>
    <w:p>
      <w:pPr>
        <w:pStyle w:val="Heading3"/>
      </w:pPr>
      <w:r>
        <w:t>Toward Responsible, Equitable AIGC Education</w:t>
      </w:r>
    </w:p>
    <w:p>
      <w:r>
        <w:t>The evidence base suggests AIGC represents a genuine tool for educational enhancement when five principles guide implementation:</w:t>
      </w:r>
    </w:p>
    <w:p>
      <w:pPr>
        <w:pStyle w:val="ListNumber"/>
      </w:pPr>
      <w:r>
        <w:rPr>
          <w:b/>
        </w:rPr>
        <w:t>Technology as servant, not master</w:t>
      </w:r>
      <w:r>
        <w:t>: AIGC enhances human teaching and learning, not replaces it. Teachers retain primacy in curriculum design, pedagogical decisions, and relationship-building.</w:t>
      </w:r>
    </w:p>
    <w:p>
      <w:pPr>
        <w:pStyle w:val="ListNumber"/>
      </w:pPr>
      <w:r>
        <w:rPr>
          <w:b/>
        </w:rPr>
        <w:t>Equity-centered design</w:t>
      </w:r>
      <w:r>
        <w:t>: AIGC implementation must explicitly address achievement gaps and ensure benefits accrue across all student populations, not just privileged groups.</w:t>
      </w:r>
    </w:p>
    <w:p>
      <w:pPr>
        <w:pStyle w:val="ListNumber"/>
      </w:pPr>
      <w:r>
        <w:rPr>
          <w:b/>
        </w:rPr>
        <w:t>Ethical responsibility</w:t>
      </w:r>
      <w:r>
        <w:t>: Institutions must establish and enforce stringent data privacy standards, address algorithmic bias, support academic integrity, and maintain transparency about AIGC capabilities and limitations.</w:t>
      </w:r>
    </w:p>
    <w:p>
      <w:pPr>
        <w:pStyle w:val="ListNumber"/>
      </w:pPr>
      <w:r>
        <w:rPr>
          <w:b/>
        </w:rPr>
        <w:t>Evidence-based practice</w:t>
      </w:r>
      <w:r>
        <w:t>: Educational decisions should rely on empirical evidence of AIGC effects, with continuous evaluation and willingness to adjust based on documented impacts.</w:t>
      </w:r>
    </w:p>
    <w:p>
      <w:pPr>
        <w:pStyle w:val="ListNumber"/>
      </w:pPr>
      <w:r>
        <w:rPr>
          <w:b/>
        </w:rPr>
        <w:t>Humanistic grounding</w:t>
      </w:r>
      <w:r>
        <w:t>: Maintaining focus on developing well-educated, critically thinking, ethically grounded human beings—the ultimate purpose of education—rather than optimizing for technology adoption metrics.</w:t>
      </w:r>
    </w:p>
    <w:p>
      <w:r>
        <w:t>---</w:t>
      </w:r>
    </w:p>
    <w:p>
      <w:pPr>
        <w:pStyle w:val="Heading2"/>
      </w:pPr>
      <w:r>
        <w:t>Conclusion</w:t>
      </w:r>
    </w:p>
    <w:p>
      <w:r>
        <w:t>Global case studies demonstrate that AI-Generated Content, when thoughtfully integrated into pedagogical practice, enhances student learning, increases engagement, and develops critical thinking. Effective implementations share common characteristics: grounding in explicit learning theory, teacher agency and decision-making authority, structured collaborative activities, comprehensive professional development, clear ethical frameworks, and continuous evaluation.</w:t>
      </w:r>
    </w:p>
    <w:p>
      <w:r>
        <w:t>Implementation barriers—teacher preparedness, infrastructure inequality, ethical concerns, and autonomy anxieties—are surmountable through deliberate institutional support, professional development, and policy frameworks. Evidence does not support fears that AIGC will replace teachers or undermine education; rather, evidence suggests AIGC amplifies teaching effectiveness when teachers exercise expertise in integrating technology with pedagogy.</w:t>
      </w:r>
    </w:p>
    <w:p>
      <w:r>
        <w:t>The trajectory of AIGC in K-12 education points toward increasingly sophisticated personalization, multimodal integration, teacher-centric design, and research expansion into underrepresented subjects and populations. Future research priorities include longitudinal studies, objective outcome measures, early childhood applications, and investigation across diverse cultural and economic contexts.</w:t>
      </w:r>
    </w:p>
    <w:p>
      <w:r>
        <w:t>For educators and school leaders, the imperative is neither wholesale AIGC adoption nor rejection, but thoughtful, evidence-based integration serving educational purposes and maintaining commitment to developing all students' intellectual, creative, and ethical capacities. The students of today—who will navigate futures shaped by artificial intelligence—deserve education preparing them to leverage AI effectively while maintaining humanistic values and critical judgment. AIGC, responsibly implemented, can support this educational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