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REPORT</w:t>
      </w:r>
    </w:p>
    <w:p>
      <w:pPr>
        <w:pStyle w:val="Heading1"/>
      </w:pPr>
      <w:r>
        <w:t>AI-Generated Content (AIGC) in K-12 Education: Global Case Studies, Application Frameworks, and Strategic Implementation Guidelines</w:t>
      </w:r>
    </w:p>
    <w:p>
      <w:r>
        <w:rPr>
          <w:b/>
        </w:rPr>
        <w:t>Document Type:</w:t>
      </w:r>
      <w:r>
        <w:t xml:space="preserve"> Strategic Educational Technology Analysis Report</w:t>
      </w:r>
    </w:p>
    <w:p>
      <w:r>
        <w:rPr>
          <w:b/>
        </w:rPr>
        <w:t>Prepared by:</w:t>
      </w:r>
      <w:r>
        <w:t xml:space="preserve"> Senior Educational Technology Analyst</w:t>
      </w:r>
    </w:p>
    <w:p>
      <w:r>
        <w:rPr>
          <w:b/>
        </w:rPr>
        <w:t>Date:</w:t>
      </w:r>
      <w:r>
        <w:t xml:space="preserve"> December 31, 2025</w:t>
      </w:r>
    </w:p>
    <w:p>
      <w:r>
        <w:rPr>
          <w:b/>
        </w:rPr>
        <w:t>Classification:</w:t>
      </w:r>
      <w:r>
        <w:t xml:space="preserve"> Professional Research &amp; Analysis</w:t>
      </w:r>
    </w:p>
    <w:p>
      <w:r>
        <w:t>---</w:t>
      </w:r>
    </w:p>
    <w:p>
      <w:pPr>
        <w:pStyle w:val="Heading2"/>
      </w:pPr>
      <w:r>
        <w:t>EXECUTIVE SUMMARY</w:t>
      </w:r>
    </w:p>
    <w:p>
      <w:r>
        <w:t>Artificial Intelligence-Generated Content (AIGC) represents a transformative technological paradigm with significant implications for K-12 educational systems globally. According to UNESCO's 2024 assessment, AI in education is projected to reach a market value of $6 billion by 2024, yet simultaneously poses substantial risks to educational equity without deliberate safeguards.[1] This report synthesizes findings from authoritative bodies including UNESCO, OECD, and World Bank, alongside empirical case studies from 30 peer-reviewed investigations, to provide a comprehensive analysis of AIGC applications, implementation frameworks, and strategic considerations for K-12 education.</w:t>
      </w:r>
    </w:p>
    <w:p>
      <w:r>
        <w:t>The analysis reveals that AIGC deployment in K-12 contexts may enhance pedagogical effectiveness through personalized learning pathways, adaptive content delivery, and real-time feedback mechanisms. However, pedagogical challenges (accounting for 34% of identified implementation barriers) substantially outweigh technical constraints, necessitating urgent emphasis on teacher professional development, curriculum integration, and ethical governance frameworks. This report formulates a comprehensive competency framework encompassing 15 essential knowledge domains for educators implementing AIGC, situates findings within the Sustainable Development Goal 4 (SDG 4) agenda, and proposes strategic recommendations for equitable and effective AIGC deployment.</w:t>
      </w:r>
    </w:p>
    <w:p>
      <w:r>
        <w:t>---</w:t>
      </w:r>
    </w:p>
    <w:p>
      <w:pPr>
        <w:pStyle w:val="Heading2"/>
      </w:pPr>
      <w:r>
        <w:t>I. INTRODUCTION AND CONTEXTUAL FRAMING</w:t>
      </w:r>
    </w:p>
    <w:p>
      <w:pPr>
        <w:pStyle w:val="Heading3"/>
      </w:pPr>
      <w:r>
        <w:t>I.A. Scope and Purpose</w:t>
      </w:r>
    </w:p>
    <w:p>
      <w:r>
        <w:t>The proliferation of generative AI technologies—particularly following the November 2022 release of ChatGPT—has created an urgent imperative for K-12 educational systems to establish evidence-based policies and implementation strategies. As documented in the OECD's comprehensive governance analysis across 18 nations, as of 2024, no country has implemented specific binding regulations on generative AI use in education, with only 9 nations publishing non-binding guidance.[2] This regulatory vacuum, coupled with rapid technological advancement, creates both opportunities and risks requiring systematic analysis.</w:t>
      </w:r>
    </w:p>
    <w:p>
      <w:r>
        <w:t>The primary objectives of this report are fourfold: (1) to identify and categorize AIGC application approaches in K-12 contexts with illustrative global case studies; (2) to present a comprehensive framework for analyzing AIGC functionalities and pedagogical implications; (3) to delineate the competency requirements for educational personnel implementing AIGC systems; and (4) to formulate evidence-based recommendations aligned with sustainable development imperatives and equity principles.</w:t>
      </w:r>
    </w:p>
    <w:p>
      <w:pPr>
        <w:pStyle w:val="Heading3"/>
      </w:pPr>
      <w:r>
        <w:t>I.B. Definitional Clarity and Terminology</w:t>
      </w:r>
    </w:p>
    <w:p>
      <w:r>
        <w:rPr>
          <w:b/>
        </w:rPr>
        <w:t>Artificial Intelligence-Generated Content (AIGC)</w:t>
      </w:r>
      <w:r>
        <w:t xml:space="preserve"> denotes digital artifacts—including text, images, video, audio, code, and multimodal combinations thereof—produced through algorithmic systems, particularly large language models (LLMs) and generative models, with minimal or no human creation of the underlying content.[3] Distinct from broader artificial intelligence applications, AIGC specifically emphasizes content generation capabilities.</w:t>
      </w:r>
    </w:p>
    <w:p>
      <w:r>
        <w:rPr>
          <w:b/>
        </w:rPr>
        <w:t>Key Related Terms</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Definition</w:t>
            </w:r>
          </w:p>
        </w:tc>
        <w:tc>
          <w:tcPr>
            <w:tcW w:type="dxa" w:w="2880"/>
          </w:tcPr>
          <w:p>
            <w:r>
              <w:t>Application to K-12</w:t>
            </w:r>
          </w:p>
        </w:tc>
      </w:tr>
      <w:tr>
        <w:tc>
          <w:tcPr>
            <w:tcW w:type="dxa" w:w="2880"/>
          </w:tcPr>
          <w:p>
            <w:r>
              <w:rPr>
                <w:b/>
              </w:rPr>
              <w:t>Generative AI (GenAI)</w:t>
            </w:r>
          </w:p>
        </w:tc>
        <w:tc>
          <w:tcPr>
            <w:tcW w:type="dxa" w:w="2880"/>
          </w:tcPr>
          <w:p>
            <w:r>
              <w:t>AI systems capable of creating new content from learned patterns</w:t>
            </w:r>
          </w:p>
        </w:tc>
        <w:tc>
          <w:tcPr>
            <w:tcW w:type="dxa" w:w="2880"/>
          </w:tcPr>
          <w:p>
            <w:r>
              <w:t>ChatGPT, Google Gemini, Copilot implementations</w:t>
            </w:r>
          </w:p>
        </w:tc>
      </w:tr>
      <w:tr>
        <w:tc>
          <w:tcPr>
            <w:tcW w:type="dxa" w:w="2880"/>
          </w:tcPr>
          <w:p>
            <w:r>
              <w:rPr>
                <w:b/>
              </w:rPr>
              <w:t>Large Language Models (LLMs)</w:t>
            </w:r>
          </w:p>
        </w:tc>
        <w:tc>
          <w:tcPr>
            <w:tcW w:type="dxa" w:w="2880"/>
          </w:tcPr>
          <w:p>
            <w:r>
              <w:t>Neural networks trained on vast text corpora; capable of complex language tasks</w:t>
            </w:r>
          </w:p>
        </w:tc>
        <w:tc>
          <w:tcPr>
            <w:tcW w:type="dxa" w:w="2880"/>
          </w:tcPr>
          <w:p>
            <w:r>
              <w:t>Foundation for most AIGC tools in education</w:t>
            </w:r>
          </w:p>
        </w:tc>
      </w:tr>
      <w:tr>
        <w:tc>
          <w:tcPr>
            <w:tcW w:type="dxa" w:w="2880"/>
          </w:tcPr>
          <w:p>
            <w:r>
              <w:rPr>
                <w:b/>
              </w:rPr>
              <w:t>Adaptive Learning Systems</w:t>
            </w:r>
          </w:p>
        </w:tc>
        <w:tc>
          <w:tcPr>
            <w:tcW w:type="dxa" w:w="2880"/>
          </w:tcPr>
          <w:p>
            <w:r>
              <w:t>Platforms that modify content delivery and pace based on learner profiles</w:t>
            </w:r>
          </w:p>
        </w:tc>
        <w:tc>
          <w:tcPr>
            <w:tcW w:type="dxa" w:w="2880"/>
          </w:tcPr>
          <w:p>
            <w:r>
              <w:t>Khanmigo, Dream Box, Smart Sparrow</w:t>
            </w:r>
          </w:p>
        </w:tc>
      </w:tr>
      <w:tr>
        <w:tc>
          <w:tcPr>
            <w:tcW w:type="dxa" w:w="2880"/>
          </w:tcPr>
          <w:p>
            <w:r>
              <w:rPr>
                <w:b/>
              </w:rPr>
              <w:t>Personalized Learning (PL)</w:t>
            </w:r>
          </w:p>
        </w:tc>
        <w:tc>
          <w:tcPr>
            <w:tcW w:type="dxa" w:w="2880"/>
          </w:tcPr>
          <w:p>
            <w:r>
              <w:t>Instructional approach tailored to individual student needs, pace, and styles</w:t>
            </w:r>
          </w:p>
        </w:tc>
        <w:tc>
          <w:tcPr>
            <w:tcW w:type="dxa" w:w="2880"/>
          </w:tcPr>
          <w:p>
            <w:r>
              <w:t>Pedagogical framework enabling AIGC effectiveness</w:t>
            </w:r>
          </w:p>
        </w:tc>
      </w:tr>
      <w:tr>
        <w:tc>
          <w:tcPr>
            <w:tcW w:type="dxa" w:w="2880"/>
          </w:tcPr>
          <w:p>
            <w:r>
              <w:rPr>
                <w:b/>
              </w:rPr>
              <w:t>Pedagogical Scaffolding</w:t>
            </w:r>
          </w:p>
        </w:tc>
        <w:tc>
          <w:tcPr>
            <w:tcW w:type="dxa" w:w="2880"/>
          </w:tcPr>
          <w:p>
            <w:r>
              <w:t>Structured support mechanisms that gradually reduce assistance as competence increases</w:t>
            </w:r>
          </w:p>
        </w:tc>
        <w:tc>
          <w:tcPr>
            <w:tcW w:type="dxa" w:w="2880"/>
          </w:tcPr>
          <w:p>
            <w:r>
              <w:t>Critical for effective AIGC implementation</w:t>
            </w:r>
          </w:p>
        </w:tc>
      </w:tr>
      <w:tr>
        <w:tc>
          <w:tcPr>
            <w:tcW w:type="dxa" w:w="2880"/>
          </w:tcPr>
          <w:p>
            <w:r>
              <w:rPr>
                <w:b/>
              </w:rPr>
              <w:t>Cognitive Load Theory</w:t>
            </w:r>
          </w:p>
        </w:tc>
        <w:tc>
          <w:tcPr>
            <w:tcW w:type="dxa" w:w="2880"/>
          </w:tcPr>
          <w:p>
            <w:r>
              <w:t>Framework addressing the limitations of working memory in learning processes</w:t>
            </w:r>
          </w:p>
        </w:tc>
        <w:tc>
          <w:tcPr>
            <w:tcW w:type="dxa" w:w="2880"/>
          </w:tcPr>
          <w:p>
            <w:r>
              <w:t>Informs AIGC tool design for accessibility</w:t>
            </w:r>
          </w:p>
        </w:tc>
      </w:tr>
      <w:tr>
        <w:tc>
          <w:tcPr>
            <w:tcW w:type="dxa" w:w="2880"/>
          </w:tcPr>
          <w:p>
            <w:r>
              <w:rPr>
                <w:b/>
              </w:rPr>
              <w:t>Data Literacy</w:t>
            </w:r>
          </w:p>
        </w:tc>
        <w:tc>
          <w:tcPr>
            <w:tcW w:type="dxa" w:w="2880"/>
          </w:tcPr>
          <w:p>
            <w:r>
              <w:t>Competency to understand, interpret, and act on data-driven insights</w:t>
            </w:r>
          </w:p>
        </w:tc>
        <w:tc>
          <w:tcPr>
            <w:tcW w:type="dxa" w:w="2880"/>
          </w:tcPr>
          <w:p>
            <w:r>
              <w:t>Essential for teachers implementing adaptive systems</w:t>
            </w:r>
          </w:p>
        </w:tc>
      </w:tr>
    </w:tbl>
    <w:p>
      <w:pPr>
        <w:pStyle w:val="Heading3"/>
      </w:pPr>
      <w:r>
        <w:t>I.C. Report Structure</w:t>
      </w:r>
    </w:p>
    <w:p>
      <w:r>
        <w:t>This report proceeds through seven major sections: (1) Conceptual frameworks and authoritative policy guidance; (2) Global case studies illustrating AIGC application approaches; (3) Detailed categorization of AIGC implementation models; (4) Practical implementation methodologies; (5) Emerging trends and future trajectories; (6) Strategic recommendations; and (7) Conclusion linking AIGC to sustainable development imperatives.</w:t>
      </w:r>
    </w:p>
    <w:p>
      <w:r>
        <w:t>---</w:t>
      </w:r>
    </w:p>
    <w:p>
      <w:pPr>
        <w:pStyle w:val="Heading2"/>
      </w:pPr>
      <w:r>
        <w:t>II. AUTHORITATIVE POLICY FRAMEWORKS AND GOVERNANCE FOUNDATIONS</w:t>
      </w:r>
    </w:p>
    <w:p>
      <w:pPr>
        <w:pStyle w:val="Heading3"/>
      </w:pPr>
      <w:r>
        <w:t>II.A. UNESCO Framework: Rights-Based Digital Transformation</w:t>
      </w:r>
    </w:p>
    <w:p>
      <w:r>
        <w:t>According to UNESCO's comprehensive guidance document "AI and Education: Guidance for Policy-Makers," AI offers transformative potential for education while simultaneously presenting risks to human rights and educational equity.[1] The organization articulates a fundamental principle: "AI offers major opportunities for education, provided that its deployment in schools is guided by clear ethical principles. To reach its full potential, this technology must complement the human and social dimensions of learning."[1]</w:t>
      </w:r>
    </w:p>
    <w:p>
      <w:r>
        <w:t>UNESCO's "5C Framework for Rights-Based Digital Transformation" provides a structured approach to AIGC integration:</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Definition</w:t>
            </w:r>
          </w:p>
        </w:tc>
        <w:tc>
          <w:tcPr>
            <w:tcW w:type="dxa" w:w="2880"/>
          </w:tcPr>
          <w:p>
            <w:r>
              <w:t>Implementation Strategy for AIGC</w:t>
            </w:r>
          </w:p>
        </w:tc>
      </w:tr>
      <w:tr>
        <w:tc>
          <w:tcPr>
            <w:tcW w:type="dxa" w:w="2880"/>
          </w:tcPr>
          <w:p>
            <w:r>
              <w:rPr>
                <w:b/>
              </w:rPr>
              <w:t>Coordination &amp; Leadership</w:t>
            </w:r>
          </w:p>
        </w:tc>
        <w:tc>
          <w:tcPr>
            <w:tcW w:type="dxa" w:w="2880"/>
          </w:tcPr>
          <w:p>
            <w:r>
              <w:t>Multi-stakeholder governance; policy coherence</w:t>
            </w:r>
          </w:p>
        </w:tc>
        <w:tc>
          <w:tcPr>
            <w:tcW w:type="dxa" w:w="2880"/>
          </w:tcPr>
          <w:p>
            <w:r>
              <w:t>Establish AIGC committees; align with SDG 4 objectives</w:t>
            </w:r>
          </w:p>
        </w:tc>
      </w:tr>
      <w:tr>
        <w:tc>
          <w:tcPr>
            <w:tcW w:type="dxa" w:w="2880"/>
          </w:tcPr>
          <w:p>
            <w:r>
              <w:rPr>
                <w:b/>
              </w:rPr>
              <w:t>Content &amp; Solutions</w:t>
            </w:r>
          </w:p>
        </w:tc>
        <w:tc>
          <w:tcPr>
            <w:tcW w:type="dxa" w:w="2880"/>
          </w:tcPr>
          <w:p>
            <w:r>
              <w:t>Culturally relevant, inclusive educational content</w:t>
            </w:r>
          </w:p>
        </w:tc>
        <w:tc>
          <w:tcPr>
            <w:tcW w:type="dxa" w:w="2880"/>
          </w:tcPr>
          <w:p>
            <w:r>
              <w:t>Localize GenAI outputs; address language/cultural gaps</w:t>
            </w:r>
          </w:p>
        </w:tc>
      </w:tr>
      <w:tr>
        <w:tc>
          <w:tcPr>
            <w:tcW w:type="dxa" w:w="2880"/>
          </w:tcPr>
          <w:p>
            <w:r>
              <w:rPr>
                <w:b/>
              </w:rPr>
              <w:t>Capacity &amp; Culture</w:t>
            </w:r>
          </w:p>
        </w:tc>
        <w:tc>
          <w:tcPr>
            <w:tcW w:type="dxa" w:w="2880"/>
          </w:tcPr>
          <w:p>
            <w:r>
              <w:t>Teacher training; institutional readiness</w:t>
            </w:r>
          </w:p>
        </w:tc>
        <w:tc>
          <w:tcPr>
            <w:tcW w:type="dxa" w:w="2880"/>
          </w:tcPr>
          <w:p>
            <w:r>
              <w:t>Comprehensive PD on AIGC pedagogy, ethics, limitations</w:t>
            </w:r>
          </w:p>
        </w:tc>
      </w:tr>
      <w:tr>
        <w:tc>
          <w:tcPr>
            <w:tcW w:type="dxa" w:w="2880"/>
          </w:tcPr>
          <w:p>
            <w:r>
              <w:rPr>
                <w:b/>
              </w:rPr>
              <w:t>Connectivity &amp; Infrastructure</w:t>
            </w:r>
          </w:p>
        </w:tc>
        <w:tc>
          <w:tcPr>
            <w:tcW w:type="dxa" w:w="2880"/>
          </w:tcPr>
          <w:p>
            <w:r>
              <w:t>Universal broadband access; device availability</w:t>
            </w:r>
          </w:p>
        </w:tc>
        <w:tc>
          <w:tcPr>
            <w:tcW w:type="dxa" w:w="2880"/>
          </w:tcPr>
          <w:p>
            <w:r>
              <w:t>Ensure equitable AIGC access; bridge digital divide</w:t>
            </w:r>
          </w:p>
        </w:tc>
      </w:tr>
      <w:tr>
        <w:tc>
          <w:tcPr>
            <w:tcW w:type="dxa" w:w="2880"/>
          </w:tcPr>
          <w:p>
            <w:r>
              <w:rPr>
                <w:b/>
              </w:rPr>
              <w:t>Cost &amp; Sustainability</w:t>
            </w:r>
          </w:p>
        </w:tc>
        <w:tc>
          <w:tcPr>
            <w:tcW w:type="dxa" w:w="2880"/>
          </w:tcPr>
          <w:p>
            <w:r>
              <w:t>Affordable, long-term financing mechanisms</w:t>
            </w:r>
          </w:p>
        </w:tc>
        <w:tc>
          <w:tcPr>
            <w:tcW w:type="dxa" w:w="2880"/>
          </w:tcPr>
          <w:p>
            <w:r>
              <w:t>Model sustainability; address cost barriers, especially low-income contexts</w:t>
            </w:r>
          </w:p>
        </w:tc>
      </w:tr>
    </w:tbl>
    <w:p>
      <w:r>
        <w:rPr>
          <w:b/>
        </w:rPr>
        <w:t>Critical UNESCO Findings</w:t>
      </w:r>
      <w:r>
        <w:t>:[1]</w:t>
      </w:r>
    </w:p>
    <w:p>
      <w:pPr>
        <w:pStyle w:val="ListBullet"/>
      </w:pPr>
      <w:r>
        <w:t>Student data is increasingly exploited for commercialization and training of AI systems without adequate consent</w:t>
      </w:r>
    </w:p>
    <w:p>
      <w:pPr>
        <w:pStyle w:val="ListBullet"/>
      </w:pPr>
      <w:r>
        <w:t>Despite expansion of AIGC tool use, "there is little evidence to justify their wide use in classrooms" without human interaction</w:t>
      </w:r>
    </w:p>
    <w:p>
      <w:pPr>
        <w:pStyle w:val="ListBullet"/>
      </w:pPr>
      <w:r>
        <w:t>Effective implementation requires "meaningful engagement, human interaction, and the safeguarding of cognitive and social development"</w:t>
      </w:r>
    </w:p>
    <w:p>
      <w:pPr>
        <w:pStyle w:val="ListBullet"/>
      </w:pPr>
      <w:r>
        <w:t>Only 11 countries have developed government-endorsed K-12 AI curricula; 4 additional countries have curricula in development</w:t>
      </w:r>
    </w:p>
    <w:p>
      <w:pPr>
        <w:pStyle w:val="Heading3"/>
      </w:pPr>
      <w:r>
        <w:t>II.B. OECD Policy Guidance: Adaptive Governance Framework</w:t>
      </w:r>
    </w:p>
    <w:p>
      <w:r>
        <w:t>The OECD's analysis of 18 member countries and jurisdictions reveals an emerging governance model characterized by adaptive, non-binding guidance rather than restrictive regulation.[2] Key findings:</w:t>
      </w:r>
    </w:p>
    <w:p>
      <w:r>
        <w:rPr>
          <w:b/>
        </w:rPr>
        <w:t>Current Governance Status</w:t>
      </w:r>
      <w:r>
        <w:t xml:space="preserve"> (as of 2024)[2]:</w:t>
      </w:r>
    </w:p>
    <w:p>
      <w:pPr>
        <w:pStyle w:val="ListBullet"/>
      </w:pPr>
      <w:r>
        <w:rPr>
          <w:b/>
        </w:rPr>
        <w:t>0 countries</w:t>
      </w:r>
      <w:r>
        <w:t xml:space="preserve"> have implemented binding regulations on GenAI in education</w:t>
      </w:r>
    </w:p>
    <w:p>
      <w:pPr>
        <w:pStyle w:val="ListBullet"/>
      </w:pPr>
      <w:r>
        <w:rPr>
          <w:b/>
        </w:rPr>
        <w:t>9 countries</w:t>
      </w:r>
      <w:r>
        <w:t xml:space="preserve"> (50% of respondents) have published non-binding guidance</w:t>
      </w:r>
    </w:p>
    <w:p>
      <w:pPr>
        <w:pStyle w:val="ListBullet"/>
      </w:pPr>
      <w:r>
        <w:rPr>
          <w:b/>
        </w:rPr>
        <w:t>5 countries</w:t>
      </w:r>
      <w:r>
        <w:t xml:space="preserve"> explicitly encourage both student AND teacher GenAI use: Austria, Czechia, France, Korea, Flemish Community of Belgium</w:t>
      </w:r>
    </w:p>
    <w:p>
      <w:pPr>
        <w:pStyle w:val="ListBullet"/>
      </w:pPr>
      <w:r>
        <w:rPr>
          <w:b/>
        </w:rPr>
        <w:t>4 countries</w:t>
      </w:r>
      <w:r>
        <w:t xml:space="preserve"> recommend use only of approved GenAI tools</w:t>
      </w:r>
    </w:p>
    <w:p>
      <w:pPr>
        <w:pStyle w:val="ListBullet"/>
      </w:pPr>
      <w:r>
        <w:rPr>
          <w:b/>
        </w:rPr>
        <w:t>7 countries</w:t>
      </w:r>
      <w:r>
        <w:t xml:space="preserve"> restrict GenAI use to students above specified age thresholds</w:t>
      </w:r>
    </w:p>
    <w:p>
      <w:r>
        <w:rPr>
          <w:b/>
        </w:rPr>
        <w:t>Policy Priorities Identified</w:t>
      </w:r>
      <w:r>
        <w:t xml:space="preserve"> (Ranked by Frequency)[2]:</w:t>
      </w:r>
    </w:p>
    <w:p>
      <w:pPr>
        <w:pStyle w:val="ListNumber"/>
      </w:pPr>
      <w:r>
        <w:rPr>
          <w:b/>
        </w:rPr>
        <w:t>Data Protection &amp; Privacy</w:t>
      </w:r>
      <w:r>
        <w:t xml:space="preserve"> (13 of 17 countries = 76% priority)</w:t>
      </w:r>
    </w:p>
    <w:p>
      <w:pPr>
        <w:pStyle w:val="ListNumber"/>
      </w:pPr>
      <w:r>
        <w:rPr>
          <w:b/>
        </w:rPr>
        <w:t>Technical Accuracy &amp; Reliability</w:t>
      </w:r>
    </w:p>
    <w:p>
      <w:pPr>
        <w:pStyle w:val="ListNumber"/>
      </w:pPr>
      <w:r>
        <w:rPr>
          <w:b/>
        </w:rPr>
        <w:t>Algorithm Transparency &amp; Explainability</w:t>
      </w:r>
    </w:p>
    <w:p>
      <w:pPr>
        <w:pStyle w:val="ListNumber"/>
      </w:pPr>
      <w:r>
        <w:rPr>
          <w:b/>
        </w:rPr>
        <w:t>Addressing Bias &amp; Ensuring Fairness</w:t>
      </w:r>
    </w:p>
    <w:p>
      <w:pPr>
        <w:pStyle w:val="ListNumber"/>
      </w:pPr>
      <w:r>
        <w:rPr>
          <w:b/>
        </w:rPr>
        <w:t>Skill Attrition Prevention</w:t>
      </w:r>
      <w:r>
        <w:t xml:space="preserve"> (concern in 9 countries)</w:t>
      </w:r>
    </w:p>
    <w:p>
      <w:pPr>
        <w:pStyle w:val="ListNumber"/>
      </w:pPr>
      <w:r>
        <w:rPr>
          <w:b/>
        </w:rPr>
        <w:t>Cultural &amp; Linguistic Relevance</w:t>
      </w:r>
    </w:p>
    <w:p>
      <w:r>
        <w:rPr>
          <w:b/>
        </w:rPr>
        <w:t>OECD Recommendations for Member States</w:t>
      </w:r>
      <w:r>
        <w:t>[2]:</w:t>
      </w:r>
    </w:p>
    <w:p>
      <w:pPr>
        <w:pStyle w:val="ListBullet"/>
      </w:pPr>
      <w:r>
        <w:t>Develop clear, disseminated guidelines highlighting both opportunities AND risks</w:t>
      </w:r>
    </w:p>
    <w:p>
      <w:pPr>
        <w:pStyle w:val="ListBullet"/>
      </w:pPr>
      <w:r>
        <w:t>Adopt adaptive regulatory frameworks capable of accommodating technological evolution</w:t>
      </w:r>
    </w:p>
    <w:p>
      <w:pPr>
        <w:pStyle w:val="ListBullet"/>
      </w:pPr>
      <w:r>
        <w:t>Balance guidance, oversight, and innovation; avoid rigid restrictions</w:t>
      </w:r>
    </w:p>
    <w:p>
      <w:pPr>
        <w:pStyle w:val="ListBullet"/>
      </w:pPr>
      <w:r>
        <w:t>Address issues including algorithm bias, privacy, data security, intellectual property</w:t>
      </w:r>
    </w:p>
    <w:p>
      <w:pPr>
        <w:pStyle w:val="Heading3"/>
      </w:pPr>
      <w:r>
        <w:t>II.C. World Bank Digital Transformation Initiative: Infrastructure and Equity Focus</w:t>
      </w:r>
    </w:p>
    <w:p>
      <w:r>
        <w:t>The World Bank's "Connected Schools for All" partnership with the Inter-American Development Bank (IDB) exemplifies large-scale digital education investment addressing AIGC infrastructure prerequisites. This initiative commits $512 million to:</w:t>
      </w:r>
    </w:p>
    <w:p>
      <w:pPr>
        <w:pStyle w:val="ListBullet"/>
      </w:pPr>
      <w:r>
        <w:t>Connect 3.5 million students across 12,000 schools in Latin America and Caribbean</w:t>
      </w:r>
    </w:p>
    <w:p>
      <w:pPr>
        <w:pStyle w:val="ListBullet"/>
      </w:pPr>
      <w:r>
        <w:t>Provide digital skills training to 350,000+ teachers</w:t>
      </w:r>
    </w:p>
    <w:p>
      <w:pPr>
        <w:pStyle w:val="ListBullet"/>
      </w:pPr>
      <w:r>
        <w:t>Invest additional $400 million over two years in infrastructure and assessment platforms</w:t>
      </w:r>
    </w:p>
    <w:p>
      <w:r>
        <w:rPr>
          <w:b/>
        </w:rPr>
        <w:t>World Bank Perspective on AIGC</w:t>
      </w:r>
      <w:r>
        <w:t>: Digital technologies, including AI, must be designed to "enhance the work of teachers in the classroom and help reach all children effectively."[4] The organization emphasizes that infrastructure gaps—particularly in low- and middle-income countries—constitute the primary barrier to AIGC implementation, necessitating coordinated investment in connectivity, devices, and teacher capacity.</w:t>
      </w:r>
    </w:p>
    <w:p>
      <w:r>
        <w:t>---</w:t>
      </w:r>
    </w:p>
    <w:p>
      <w:pPr>
        <w:pStyle w:val="Heading2"/>
      </w:pPr>
      <w:r>
        <w:t>III. THEORETICAL FRAMEWORKS FOR AIGC IN K-12 EDUCATION</w:t>
      </w:r>
    </w:p>
    <w:p>
      <w:pPr>
        <w:pStyle w:val="Heading3"/>
      </w:pPr>
      <w:r>
        <w:t>III.A. Pedagogical Framework: Integration of Personalized Learning Theory with AIGC</w:t>
      </w:r>
    </w:p>
    <w:p>
      <w:r>
        <w:t>Effective AIGC implementation in K-12 contexts requires alignment with established pedagogical theory. Personalized Learning (PL), grounded in constructivist learning theory, posits that learning occurs through social interaction and individual meaning-making.[5] AIGC technologies may serve as sophisticated instantiations of PL principles.</w:t>
      </w:r>
    </w:p>
    <w:p>
      <w:r>
        <w:rPr>
          <w:b/>
        </w:rPr>
        <w:t>Core Components of AIGC-Enabled Personalized Learning Framework</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Description</w:t>
            </w:r>
          </w:p>
        </w:tc>
        <w:tc>
          <w:tcPr>
            <w:tcW w:type="dxa" w:w="2160"/>
          </w:tcPr>
          <w:p>
            <w:r>
              <w:t>AIGC Implementation</w:t>
            </w:r>
          </w:p>
        </w:tc>
        <w:tc>
          <w:tcPr>
            <w:tcW w:type="dxa" w:w="2160"/>
          </w:tcPr>
          <w:p>
            <w:r>
              <w:t>Evidence</w:t>
            </w:r>
          </w:p>
        </w:tc>
      </w:tr>
      <w:tr>
        <w:tc>
          <w:tcPr>
            <w:tcW w:type="dxa" w:w="2160"/>
          </w:tcPr>
          <w:p>
            <w:r>
              <w:rPr>
                <w:b/>
              </w:rPr>
              <w:t>Student Profile Development</w:t>
            </w:r>
          </w:p>
        </w:tc>
        <w:tc>
          <w:tcPr>
            <w:tcW w:type="dxa" w:w="2160"/>
          </w:tcPr>
          <w:p>
            <w:r>
              <w:t>Individual characteristics, preferences, learning styles; prior knowledge assessment</w:t>
            </w:r>
          </w:p>
        </w:tc>
        <w:tc>
          <w:tcPr>
            <w:tcW w:type="dxa" w:w="2160"/>
          </w:tcPr>
          <w:p>
            <w:r>
              <w:t>AI analytics derive learner profiles from interaction data</w:t>
            </w:r>
          </w:p>
        </w:tc>
        <w:tc>
          <w:tcPr>
            <w:tcW w:type="dxa" w:w="2160"/>
          </w:tcPr>
          <w:p>
            <w:r>
              <w:t>Adaptive systems (Dream Box, Smart Sparrow) increase comprehension rates 15-30%[6]</w:t>
            </w:r>
          </w:p>
        </w:tc>
      </w:tr>
      <w:tr>
        <w:tc>
          <w:tcPr>
            <w:tcW w:type="dxa" w:w="2160"/>
          </w:tcPr>
          <w:p>
            <w:r>
              <w:rPr>
                <w:b/>
              </w:rPr>
              <w:t>Content Adaptation &amp; Sequencing</w:t>
            </w:r>
          </w:p>
        </w:tc>
        <w:tc>
          <w:tcPr>
            <w:tcW w:type="dxa" w:w="2160"/>
          </w:tcPr>
          <w:p>
            <w:r>
              <w:t>Dynamic modification of instructional materials to learner level/style</w:t>
            </w:r>
          </w:p>
        </w:tc>
        <w:tc>
          <w:tcPr>
            <w:tcW w:type="dxa" w:w="2160"/>
          </w:tcPr>
          <w:p>
            <w:r>
              <w:t>AIGC generates multimodal content (text, video, diagrams) calibrated to comprehension level</w:t>
            </w:r>
          </w:p>
        </w:tc>
        <w:tc>
          <w:tcPr>
            <w:tcW w:type="dxa" w:w="2160"/>
          </w:tcPr>
          <w:p>
            <w:r>
              <w:t>ChatGPT case study: 110 students (grades 4-6) regrouped into knowledge tiers; materials adapted in real-time[7]</w:t>
            </w:r>
          </w:p>
        </w:tc>
      </w:tr>
      <w:tr>
        <w:tc>
          <w:tcPr>
            <w:tcW w:type="dxa" w:w="2160"/>
          </w:tcPr>
          <w:p>
            <w:r>
              <w:rPr>
                <w:b/>
              </w:rPr>
              <w:t>Customized Learning Pathways</w:t>
            </w:r>
          </w:p>
        </w:tc>
        <w:tc>
          <w:tcPr>
            <w:tcW w:type="dxa" w:w="2160"/>
          </w:tcPr>
          <w:p>
            <w:r>
              <w:t>Non-linear progression through content; learner agency in route selection</w:t>
            </w:r>
          </w:p>
        </w:tc>
        <w:tc>
          <w:tcPr>
            <w:tcW w:type="dxa" w:w="2160"/>
          </w:tcPr>
          <w:p>
            <w:r>
              <w:t>AI recommends next learning activities; students follow trajectories matching pace/goals</w:t>
            </w:r>
          </w:p>
        </w:tc>
        <w:tc>
          <w:tcPr>
            <w:tcW w:type="dxa" w:w="2160"/>
          </w:tcPr>
          <w:p>
            <w:r>
              <w:t>ITS and multi-agent systems enable personalized educational content delivery[8]</w:t>
            </w:r>
          </w:p>
        </w:tc>
      </w:tr>
      <w:tr>
        <w:tc>
          <w:tcPr>
            <w:tcW w:type="dxa" w:w="2160"/>
          </w:tcPr>
          <w:p>
            <w:r>
              <w:rPr>
                <w:b/>
              </w:rPr>
              <w:t>Real-Time Feedback Mechanisms</w:t>
            </w:r>
          </w:p>
        </w:tc>
        <w:tc>
          <w:tcPr>
            <w:tcW w:type="dxa" w:w="2160"/>
          </w:tcPr>
          <w:p>
            <w:r>
              <w:t>Immediate, actionable response to learner actions; formative assessment integration</w:t>
            </w:r>
          </w:p>
        </w:tc>
        <w:tc>
          <w:tcPr>
            <w:tcW w:type="dxa" w:w="2160"/>
          </w:tcPr>
          <w:p>
            <w:r>
              <w:t>AIGC provides instant explanations, alternative approaches, corrective feedback without instructor delay</w:t>
            </w:r>
          </w:p>
        </w:tc>
        <w:tc>
          <w:tcPr>
            <w:tcW w:type="dxa" w:w="2160"/>
          </w:tcPr>
          <w:p>
            <w:r>
              <w:t>Khanmigo (Khan Academy + OpenAI): Teachers report improved feedback speed; students report sustained engagement[6]</w:t>
            </w:r>
          </w:p>
        </w:tc>
      </w:tr>
      <w:tr>
        <w:tc>
          <w:tcPr>
            <w:tcW w:type="dxa" w:w="2160"/>
          </w:tcPr>
          <w:p>
            <w:r>
              <w:rPr>
                <w:b/>
              </w:rPr>
              <w:t>Ongoing Assessment &amp; Progress Monitoring</w:t>
            </w:r>
          </w:p>
        </w:tc>
        <w:tc>
          <w:tcPr>
            <w:tcW w:type="dxa" w:w="2160"/>
          </w:tcPr>
          <w:p>
            <w:r>
              <w:t>Continuous evaluation; learning analytics informing instructional adjustment</w:t>
            </w:r>
          </w:p>
        </w:tc>
        <w:tc>
          <w:tcPr>
            <w:tcW w:type="dxa" w:w="2160"/>
          </w:tcPr>
          <w:p>
            <w:r>
              <w:t>AI systems analyze performance patterns; flag at-risk learners; recommend interventions</w:t>
            </w:r>
          </w:p>
        </w:tc>
        <w:tc>
          <w:tcPr>
            <w:tcW w:type="dxa" w:w="2160"/>
          </w:tcPr>
          <w:p>
            <w:r>
              <w:t>Predictive analytics reduce dropout rates; identify students requiring targeted support[9]</w:t>
            </w:r>
          </w:p>
        </w:tc>
      </w:tr>
    </w:tbl>
    <w:p>
      <w:pPr>
        <w:pStyle w:val="Heading3"/>
      </w:pPr>
      <w:r>
        <w:t>III.B. Technical Architecture Framework: AIGC Tools and Technology Stack</w:t>
      </w:r>
    </w:p>
    <w:p>
      <w:r>
        <w:t>Contemporary AIGC systems in K-12 may be categorized by generational and functional characteristics:</w:t>
      </w:r>
    </w:p>
    <w:p>
      <w:r>
        <w:rPr>
          <w:b/>
        </w:rPr>
        <w:t>Category 1: Generative AI Foundational Models</w:t>
      </w:r>
      <w:r>
        <w:t xml:space="preserve"> (Large Language Models &amp; Diffusion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Tool</w:t>
            </w:r>
          </w:p>
        </w:tc>
        <w:tc>
          <w:tcPr>
            <w:tcW w:type="dxa" w:w="2160"/>
          </w:tcPr>
          <w:p>
            <w:r>
              <w:t>Capabilities</w:t>
            </w:r>
          </w:p>
        </w:tc>
        <w:tc>
          <w:tcPr>
            <w:tcW w:type="dxa" w:w="2160"/>
          </w:tcPr>
          <w:p>
            <w:r>
              <w:t>K-12 Applications</w:t>
            </w:r>
          </w:p>
        </w:tc>
        <w:tc>
          <w:tcPr>
            <w:tcW w:type="dxa" w:w="2160"/>
          </w:tcPr>
          <w:p>
            <w:r>
              <w:t>Limitations</w:t>
            </w:r>
          </w:p>
        </w:tc>
      </w:tr>
      <w:tr>
        <w:tc>
          <w:tcPr>
            <w:tcW w:type="dxa" w:w="2160"/>
          </w:tcPr>
          <w:p>
            <w:r>
              <w:rPr>
                <w:b/>
              </w:rPr>
              <w:t>ChatGPT (OpenAI GPT-3.5/GPT-4)</w:t>
            </w:r>
          </w:p>
        </w:tc>
        <w:tc>
          <w:tcPr>
            <w:tcW w:type="dxa" w:w="2160"/>
          </w:tcPr>
          <w:p>
            <w:r>
              <w:t>Text generation, question answering, tutoring, creative writing</w:t>
            </w:r>
          </w:p>
        </w:tc>
        <w:tc>
          <w:tcPr>
            <w:tcW w:type="dxa" w:w="2160"/>
          </w:tcPr>
          <w:p>
            <w:r>
              <w:t>Lesson planning, quiz generation, personalized explanations, writing feedback (21 of 30 empirical studies)[10]</w:t>
            </w:r>
          </w:p>
        </w:tc>
        <w:tc>
          <w:tcPr>
            <w:tcW w:type="dxa" w:w="2160"/>
          </w:tcPr>
          <w:p>
            <w:r>
              <w:t>Occasional inaccuracy; requires teacher verification; potential plagiarism</w:t>
            </w:r>
          </w:p>
        </w:tc>
      </w:tr>
      <w:tr>
        <w:tc>
          <w:tcPr>
            <w:tcW w:type="dxa" w:w="2160"/>
          </w:tcPr>
          <w:p>
            <w:r>
              <w:rPr>
                <w:b/>
              </w:rPr>
              <w:t>Google Gemini (Bard)</w:t>
            </w:r>
          </w:p>
        </w:tc>
        <w:tc>
          <w:tcPr>
            <w:tcW w:type="dxa" w:w="2160"/>
          </w:tcPr>
          <w:p>
            <w:r>
              <w:t>Multimodal (text+image), coding assistance, reasoning</w:t>
            </w:r>
          </w:p>
        </w:tc>
        <w:tc>
          <w:tcPr>
            <w:tcW w:type="dxa" w:w="2160"/>
          </w:tcPr>
          <w:p>
            <w:r>
              <w:t>STEM problem-solving, creative projects, research assistance</w:t>
            </w:r>
          </w:p>
        </w:tc>
        <w:tc>
          <w:tcPr>
            <w:tcW w:type="dxa" w:w="2160"/>
          </w:tcPr>
          <w:p>
            <w:r>
              <w:t>Limited customization; integration challenges</w:t>
            </w:r>
          </w:p>
        </w:tc>
      </w:tr>
      <w:tr>
        <w:tc>
          <w:tcPr>
            <w:tcW w:type="dxa" w:w="2160"/>
          </w:tcPr>
          <w:p>
            <w:r>
              <w:rPr>
                <w:b/>
              </w:rPr>
              <w:t>Microsoft Copilot</w:t>
            </w:r>
          </w:p>
        </w:tc>
        <w:tc>
          <w:tcPr>
            <w:tcW w:type="dxa" w:w="2160"/>
          </w:tcPr>
          <w:p>
            <w:r>
              <w:t>Integration across Office 365, coding assistance</w:t>
            </w:r>
          </w:p>
        </w:tc>
        <w:tc>
          <w:tcPr>
            <w:tcW w:type="dxa" w:w="2160"/>
          </w:tcPr>
          <w:p>
            <w:r>
              <w:t>Curriculum design, content creation, administrative support</w:t>
            </w:r>
          </w:p>
        </w:tc>
        <w:tc>
          <w:tcPr>
            <w:tcW w:type="dxa" w:w="2160"/>
          </w:tcPr>
          <w:p>
            <w:r>
              <w:t>Organizational infrastructure requirements</w:t>
            </w:r>
          </w:p>
        </w:tc>
      </w:tr>
      <w:tr>
        <w:tc>
          <w:tcPr>
            <w:tcW w:type="dxa" w:w="2160"/>
          </w:tcPr>
          <w:p>
            <w:r>
              <w:rPr>
                <w:b/>
              </w:rPr>
              <w:t>Image Generation (DALL-E, Midjourney)</w:t>
            </w:r>
          </w:p>
        </w:tc>
        <w:tc>
          <w:tcPr>
            <w:tcW w:type="dxa" w:w="2160"/>
          </w:tcPr>
          <w:p>
            <w:r>
              <w:t>Text-to-image synthesis</w:t>
            </w:r>
          </w:p>
        </w:tc>
        <w:tc>
          <w:tcPr>
            <w:tcW w:type="dxa" w:w="2160"/>
          </w:tcPr>
          <w:p>
            <w:r>
              <w:t>STEM visualization, graphic design instruction, creative projects</w:t>
            </w:r>
          </w:p>
        </w:tc>
        <w:tc>
          <w:tcPr>
            <w:tcW w:type="dxa" w:w="2160"/>
          </w:tcPr>
          <w:p>
            <w:r>
              <w:t>Copyright concerns; potential bias in image representation</w:t>
            </w:r>
          </w:p>
        </w:tc>
      </w:tr>
    </w:tbl>
    <w:p>
      <w:r>
        <w:rPr>
          <w:b/>
        </w:rPr>
        <w:t>Category 2: Specialized Adaptive Learning Platforms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Tool</w:t>
            </w:r>
          </w:p>
        </w:tc>
        <w:tc>
          <w:tcPr>
            <w:tcW w:type="dxa" w:w="2160"/>
          </w:tcPr>
          <w:p>
            <w:r>
              <w:t>Pedagogical Function</w:t>
            </w:r>
          </w:p>
        </w:tc>
        <w:tc>
          <w:tcPr>
            <w:tcW w:type="dxa" w:w="2160"/>
          </w:tcPr>
          <w:p>
            <w:r>
              <w:t>Grade Level Focus</w:t>
            </w:r>
          </w:p>
        </w:tc>
        <w:tc>
          <w:tcPr>
            <w:tcW w:type="dxa" w:w="2160"/>
          </w:tcPr>
          <w:p>
            <w:r>
              <w:t>Evidence</w:t>
            </w:r>
          </w:p>
        </w:tc>
      </w:tr>
      <w:tr>
        <w:tc>
          <w:tcPr>
            <w:tcW w:type="dxa" w:w="2160"/>
          </w:tcPr>
          <w:p>
            <w:r>
              <w:rPr>
                <w:b/>
              </w:rPr>
              <w:t>Khanmigo</w:t>
            </w:r>
          </w:p>
        </w:tc>
        <w:tc>
          <w:tcPr>
            <w:tcW w:type="dxa" w:w="2160"/>
          </w:tcPr>
          <w:p>
            <w:r>
              <w:t>AI tutor with pedagogical scaffolding; formative assessment</w:t>
            </w:r>
          </w:p>
        </w:tc>
        <w:tc>
          <w:tcPr>
            <w:tcW w:type="dxa" w:w="2160"/>
          </w:tcPr>
          <w:p>
            <w:r>
              <w:t>K-12 (universal)</w:t>
            </w:r>
          </w:p>
        </w:tc>
        <w:tc>
          <w:tcPr>
            <w:tcW w:type="dxa" w:w="2160"/>
          </w:tcPr>
          <w:p>
            <w:r>
              <w:t>Free/low-cost; improves learning outcomes; teacher controls interface[6]</w:t>
            </w:r>
          </w:p>
        </w:tc>
      </w:tr>
      <w:tr>
        <w:tc>
          <w:tcPr>
            <w:tcW w:type="dxa" w:w="2160"/>
          </w:tcPr>
          <w:p>
            <w:r>
              <w:rPr>
                <w:b/>
              </w:rPr>
              <w:t>Duolingo</w:t>
            </w:r>
          </w:p>
        </w:tc>
        <w:tc>
          <w:tcPr>
            <w:tcW w:type="dxa" w:w="2160"/>
          </w:tcPr>
          <w:p>
            <w:r>
              <w:t>Language learning via adaptive exercises</w:t>
            </w:r>
          </w:p>
        </w:tc>
        <w:tc>
          <w:tcPr>
            <w:tcW w:type="dxa" w:w="2160"/>
          </w:tcPr>
          <w:p>
            <w:r>
              <w:t>Elementary-Secondary</w:t>
            </w:r>
          </w:p>
        </w:tc>
        <w:tc>
          <w:tcPr>
            <w:tcW w:type="dxa" w:w="2160"/>
          </w:tcPr>
          <w:p>
            <w:r>
              <w:t>Gamification increases engagement; personalized learning paths[6]</w:t>
            </w:r>
          </w:p>
        </w:tc>
      </w:tr>
      <w:tr>
        <w:tc>
          <w:tcPr>
            <w:tcW w:type="dxa" w:w="2160"/>
          </w:tcPr>
          <w:p>
            <w:r>
              <w:rPr>
                <w:b/>
              </w:rPr>
              <w:t>Dream Box, Smart Sparrow</w:t>
            </w:r>
          </w:p>
        </w:tc>
        <w:tc>
          <w:tcPr>
            <w:tcW w:type="dxa" w:w="2160"/>
          </w:tcPr>
          <w:p>
            <w:r>
              <w:t>Adaptive math/science content; mastery-based progression</w:t>
            </w:r>
          </w:p>
        </w:tc>
        <w:tc>
          <w:tcPr>
            <w:tcW w:type="dxa" w:w="2160"/>
          </w:tcPr>
          <w:p>
            <w:r>
              <w:t>Elementary-Middle</w:t>
            </w:r>
          </w:p>
        </w:tc>
        <w:tc>
          <w:tcPr>
            <w:tcW w:type="dxa" w:w="2160"/>
          </w:tcPr>
          <w:p>
            <w:r>
              <w:t>Real-time difficulty adjustment; reduced achievement gaps[6]</w:t>
            </w:r>
          </w:p>
        </w:tc>
      </w:tr>
      <w:tr>
        <w:tc>
          <w:tcPr>
            <w:tcW w:type="dxa" w:w="2160"/>
          </w:tcPr>
          <w:p>
            <w:r>
              <w:rPr>
                <w:b/>
              </w:rPr>
              <w:t>Carnegie Learning</w:t>
            </w:r>
          </w:p>
        </w:tc>
        <w:tc>
          <w:tcPr>
            <w:tcW w:type="dxa" w:w="2160"/>
          </w:tcPr>
          <w:p>
            <w:r>
              <w:t>AI-powered tutoring; problem-solving simulation</w:t>
            </w:r>
          </w:p>
        </w:tc>
        <w:tc>
          <w:tcPr>
            <w:tcW w:type="dxa" w:w="2160"/>
          </w:tcPr>
          <w:p>
            <w:r>
              <w:t>High School STEM</w:t>
            </w:r>
          </w:p>
        </w:tc>
        <w:tc>
          <w:tcPr>
            <w:tcW w:type="dxa" w:w="2160"/>
          </w:tcPr>
          <w:p>
            <w:r>
              <w:t>Immediate feedback; increases self-efficacy[6]</w:t>
            </w:r>
          </w:p>
        </w:tc>
      </w:tr>
    </w:tbl>
    <w:p>
      <w:r>
        <w:rPr>
          <w:b/>
        </w:rPr>
        <w:t>Category 3: Domain-Specific Educational Platforms</w:t>
      </w:r>
    </w:p>
    <w:p>
      <w:pPr>
        <w:pStyle w:val="ListBullet"/>
      </w:pPr>
      <w:r>
        <w:rPr>
          <w:b/>
        </w:rPr>
        <w:t>MagicSchool.ai</w:t>
      </w:r>
      <w:r>
        <w:t>: District-aligned content generation; safe for K-12; privacy-focused</w:t>
      </w:r>
    </w:p>
    <w:p>
      <w:pPr>
        <w:pStyle w:val="ListBullet"/>
      </w:pPr>
      <w:r>
        <w:rPr>
          <w:b/>
        </w:rPr>
        <w:t>Curipod</w:t>
      </w:r>
      <w:r>
        <w:t>: AI-generated interactive slide decks with polling, drawing, Q&amp;A</w:t>
      </w:r>
    </w:p>
    <w:p>
      <w:pPr>
        <w:pStyle w:val="ListBullet"/>
      </w:pPr>
      <w:r>
        <w:rPr>
          <w:b/>
        </w:rPr>
        <w:t>Diffit</w:t>
      </w:r>
      <w:r>
        <w:t>: Leveled resource generation across reading levels</w:t>
      </w:r>
    </w:p>
    <w:p>
      <w:pPr>
        <w:pStyle w:val="ListBullet"/>
      </w:pPr>
      <w:r>
        <w:rPr>
          <w:b/>
        </w:rPr>
        <w:t>QuestionWell</w:t>
      </w:r>
      <w:r>
        <w:t>: Assessment question generation; alignment to standards</w:t>
      </w:r>
    </w:p>
    <w:p>
      <w:pPr>
        <w:pStyle w:val="Heading3"/>
      </w:pPr>
      <w:r>
        <w:t>III.C. Equity and Access Framework: Dimensions of Digital Divide Mitigation</w:t>
      </w:r>
    </w:p>
    <w:p>
      <w:r>
        <w:t>Effective AIGC deployment necessitates addressing intersecting dimensions of digital access inequality:</w:t>
      </w:r>
    </w:p>
    <w:p>
      <w:r>
        <w:rPr>
          <w:b/>
        </w:rPr>
        <w:t>Structural Dimensions of Digital Divide in AIGC Context</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Dimension</w:t>
            </w:r>
          </w:p>
        </w:tc>
        <w:tc>
          <w:tcPr>
            <w:tcW w:type="dxa" w:w="2160"/>
          </w:tcPr>
          <w:p>
            <w:r>
              <w:t>Challenge</w:t>
            </w:r>
          </w:p>
        </w:tc>
        <w:tc>
          <w:tcPr>
            <w:tcW w:type="dxa" w:w="2160"/>
          </w:tcPr>
          <w:p>
            <w:r>
              <w:t>AIGC-Specific Implications</w:t>
            </w:r>
          </w:p>
        </w:tc>
        <w:tc>
          <w:tcPr>
            <w:tcW w:type="dxa" w:w="2160"/>
          </w:tcPr>
          <w:p>
            <w:r>
              <w:t>Mitigation Strategies</w:t>
            </w:r>
          </w:p>
        </w:tc>
      </w:tr>
      <w:tr>
        <w:tc>
          <w:tcPr>
            <w:tcW w:type="dxa" w:w="2160"/>
          </w:tcPr>
          <w:p>
            <w:r>
              <w:rPr>
                <w:b/>
              </w:rPr>
              <w:t>Infrastructure Access</w:t>
            </w:r>
          </w:p>
        </w:tc>
        <w:tc>
          <w:tcPr>
            <w:tcW w:type="dxa" w:w="2160"/>
          </w:tcPr>
          <w:p>
            <w:r>
              <w:t>50% of K-12 students globally lack reliable broadband</w:t>
            </w:r>
          </w:p>
        </w:tc>
        <w:tc>
          <w:tcPr>
            <w:tcW w:type="dxa" w:w="2160"/>
          </w:tcPr>
          <w:p>
            <w:r>
              <w:t>Generative AI requires continuous internet; cloud-dependent</w:t>
            </w:r>
          </w:p>
        </w:tc>
        <w:tc>
          <w:tcPr>
            <w:tcW w:type="dxa" w:w="2160"/>
          </w:tcPr>
          <w:p>
            <w:r>
              <w:t>Offline models; local deployment; asynchronous systems</w:t>
            </w:r>
          </w:p>
        </w:tc>
      </w:tr>
      <w:tr>
        <w:tc>
          <w:tcPr>
            <w:tcW w:type="dxa" w:w="2160"/>
          </w:tcPr>
          <w:p>
            <w:r>
              <w:rPr>
                <w:b/>
              </w:rPr>
              <w:t>Device Access</w:t>
            </w:r>
          </w:p>
        </w:tc>
        <w:tc>
          <w:tcPr>
            <w:tcW w:type="dxa" w:w="2160"/>
          </w:tcPr>
          <w:p>
            <w:r>
              <w:t>Socioeconomic disparities in device ownership</w:t>
            </w:r>
          </w:p>
        </w:tc>
        <w:tc>
          <w:tcPr>
            <w:tcW w:type="dxa" w:w="2160"/>
          </w:tcPr>
          <w:p>
            <w:r>
              <w:t>ChatGPT access requires devices; unequal at-home use</w:t>
            </w:r>
          </w:p>
        </w:tc>
        <w:tc>
          <w:tcPr>
            <w:tcW w:type="dxa" w:w="2160"/>
          </w:tcPr>
          <w:p>
            <w:r>
              <w:t>School-provided devices; lab-based AIGC activities</w:t>
            </w:r>
          </w:p>
        </w:tc>
      </w:tr>
      <w:tr>
        <w:tc>
          <w:tcPr>
            <w:tcW w:type="dxa" w:w="2160"/>
          </w:tcPr>
          <w:p>
            <w:r>
              <w:rPr>
                <w:b/>
              </w:rPr>
              <w:t>Language Barriers</w:t>
            </w:r>
          </w:p>
        </w:tc>
        <w:tc>
          <w:tcPr>
            <w:tcW w:type="dxa" w:w="2160"/>
          </w:tcPr>
          <w:p>
            <w:r>
              <w:t>AIGC models trained predominantly on English data</w:t>
            </w:r>
          </w:p>
        </w:tc>
        <w:tc>
          <w:tcPr>
            <w:tcW w:type="dxa" w:w="2160"/>
          </w:tcPr>
          <w:p>
            <w:r>
              <w:t>Outputs in minority/indigenous languages often poor quality</w:t>
            </w:r>
          </w:p>
        </w:tc>
        <w:tc>
          <w:tcPr>
            <w:tcW w:type="dxa" w:w="2160"/>
          </w:tcPr>
          <w:p>
            <w:r>
              <w:t>Localization efforts; culturally responsive prompting; multilingual model development</w:t>
            </w:r>
          </w:p>
        </w:tc>
      </w:tr>
      <w:tr>
        <w:tc>
          <w:tcPr>
            <w:tcW w:type="dxa" w:w="2160"/>
          </w:tcPr>
          <w:p>
            <w:r>
              <w:rPr>
                <w:b/>
              </w:rPr>
              <w:t>Cognitive/Accessibility Needs</w:t>
            </w:r>
          </w:p>
        </w:tc>
        <w:tc>
          <w:tcPr>
            <w:tcW w:type="dxa" w:w="2160"/>
          </w:tcPr>
          <w:p>
            <w:r>
              <w:t>AIGC not optimized for students with disabilities</w:t>
            </w:r>
          </w:p>
        </w:tc>
        <w:tc>
          <w:tcPr>
            <w:tcW w:type="dxa" w:w="2160"/>
          </w:tcPr>
          <w:p>
            <w:r>
              <w:t>Text-only outputs; visual/auditory needs unmet</w:t>
            </w:r>
          </w:p>
        </w:tc>
        <w:tc>
          <w:tcPr>
            <w:tcW w:type="dxa" w:w="2160"/>
          </w:tcPr>
          <w:p>
            <w:r>
              <w:t>Multimodal AIGC; accessible interface design; universal design principles</w:t>
            </w:r>
          </w:p>
        </w:tc>
      </w:tr>
      <w:tr>
        <w:tc>
          <w:tcPr>
            <w:tcW w:type="dxa" w:w="2160"/>
          </w:tcPr>
          <w:p>
            <w:r>
              <w:rPr>
                <w:b/>
              </w:rPr>
              <w:t>Teacher Capacity</w:t>
            </w:r>
          </w:p>
        </w:tc>
        <w:tc>
          <w:tcPr>
            <w:tcW w:type="dxa" w:w="2160"/>
          </w:tcPr>
          <w:p>
            <w:r>
              <w:t>Unequal teacher preparation in AIGC-integrated pedagogy</w:t>
            </w:r>
          </w:p>
        </w:tc>
        <w:tc>
          <w:tcPr>
            <w:tcW w:type="dxa" w:w="2160"/>
          </w:tcPr>
          <w:p>
            <w:r>
              <w:t>High-capacity teachers maximize AIGC; undertrained teachers face barriers</w:t>
            </w:r>
          </w:p>
        </w:tc>
        <w:tc>
          <w:tcPr>
            <w:tcW w:type="dxa" w:w="2160"/>
          </w:tcPr>
          <w:p>
            <w:r>
              <w:t>Tiered professional development; equity-focused training programs</w:t>
            </w:r>
          </w:p>
        </w:tc>
      </w:tr>
    </w:tbl>
    <w:p>
      <w:r>
        <w:t>---</w:t>
      </w:r>
    </w:p>
    <w:p>
      <w:pPr>
        <w:pStyle w:val="Heading2"/>
      </w:pPr>
      <w:r>
        <w:t>IV. GLOBAL CASE STUDIES: AIGC APPLICATION APPROACHES IN K-12 CONTEXTS</w:t>
      </w:r>
    </w:p>
    <w:p>
      <w:pPr>
        <w:pStyle w:val="Heading3"/>
      </w:pPr>
      <w:r>
        <w:t>IV.A. Case Study 1: Taiwan - Physics Education Enhancement via Data Analysis (2024)</w:t>
      </w:r>
    </w:p>
    <w:p>
      <w:r>
        <w:rPr>
          <w:b/>
        </w:rPr>
        <w:t>Context</w:t>
      </w:r>
      <w:r>
        <w:t>: High school physics curriculum; data analysis in experimental contexts</w:t>
      </w:r>
    </w:p>
    <w:p>
      <w:r>
        <w:rPr>
          <w:b/>
        </w:rPr>
        <w:t>AIGC Implementation</w:t>
      </w:r>
      <w:r>
        <w:t>: ChatGPT integrated into physics laboratory activities. Students conducted experiments; uploaded raw data; used ChatGPT prompts to: (a) interpret results, (b) compare to theoretical predictions, (c) identify experimental sources of error, (d) propose refinements.</w:t>
      </w:r>
    </w:p>
    <w:p>
      <w:r>
        <w:rPr>
          <w:b/>
        </w:rPr>
        <w:t>Research Design</w:t>
      </w:r>
      <w:r>
        <w:t>: Quasi-experimental; high school students (N=607); comparative analysis of ChatGPT-supported vs. traditional analysis[7]</w:t>
      </w:r>
    </w:p>
    <w:p>
      <w:r>
        <w:rPr>
          <w:b/>
        </w:rPr>
        <w:t>Pedagogical Innovation</w:t>
      </w:r>
      <w:r>
        <w:t>: Rather than rote calculations, students engaged higher-order thinking: hypothesis evaluation, error analysis, scientific reasoning. AIGC reduced computational burden while elevating cognitive engagement.</w:t>
      </w:r>
    </w:p>
    <w:p>
      <w:r>
        <w:rPr>
          <w:b/>
        </w:rPr>
        <w:t>Outcomes</w:t>
      </w:r>
      <w:r>
        <w:t>:</w:t>
      </w:r>
    </w:p>
    <w:p>
      <w:pPr>
        <w:pStyle w:val="ListBullet"/>
      </w:pPr>
      <w:r>
        <w:t>Improved student understanding of experimental analysis</w:t>
      </w:r>
    </w:p>
    <w:p>
      <w:pPr>
        <w:pStyle w:val="ListBullet"/>
      </w:pPr>
      <w:r>
        <w:t>Increased engagement through reduced mechanical calculation burden</w:t>
      </w:r>
    </w:p>
    <w:p>
      <w:pPr>
        <w:pStyle w:val="ListBullet"/>
      </w:pPr>
      <w:r>
        <w:t>Teachers maintained agency in prompt engineering and verification</w:t>
      </w:r>
    </w:p>
    <w:p>
      <w:r>
        <w:rPr>
          <w:b/>
        </w:rPr>
        <w:t>Limitations &amp; Lessons</w:t>
      </w:r>
      <w:r>
        <w:t>:</w:t>
      </w:r>
    </w:p>
    <w:p>
      <w:pPr>
        <w:pStyle w:val="ListBullet"/>
      </w:pPr>
      <w:r>
        <w:t>Potential reduction in manual calculation skill development</w:t>
      </w:r>
    </w:p>
    <w:p>
      <w:pPr>
        <w:pStyle w:val="ListBullet"/>
      </w:pPr>
      <w:r>
        <w:t>Requires teacher training in prompt design for subject-specific contexts</w:t>
      </w:r>
    </w:p>
    <w:p>
      <w:pPr>
        <w:pStyle w:val="ListBullet"/>
      </w:pPr>
      <w:r>
        <w:t>Validation of AIGC outputs necessary to prevent propagation of errors</w:t>
      </w:r>
    </w:p>
    <w:p>
      <w:pPr>
        <w:pStyle w:val="ListBullet"/>
      </w:pPr>
      <w:r>
        <w:t>Scalability dependent on classroom internet infrastructure</w:t>
      </w:r>
    </w:p>
    <w:p>
      <w:pPr>
        <w:pStyle w:val="Heading3"/>
      </w:pPr>
      <w:r>
        <w:t>IV.B. Case Study 2: United States - Elementary Literacy via Generative Prompting (2025)</w:t>
      </w:r>
    </w:p>
    <w:p>
      <w:r>
        <w:rPr>
          <w:b/>
        </w:rPr>
        <w:t>Context</w:t>
      </w:r>
      <w:r>
        <w:t>: Elementary literacy instruction; read-aloud practices; comprehension development</w:t>
      </w:r>
    </w:p>
    <w:p>
      <w:r>
        <w:rPr>
          <w:b/>
        </w:rPr>
        <w:t>AIGC Implementation</w:t>
      </w:r>
      <w:r>
        <w:t>: Teacher used ChatGPT to generate comprehension questions during read-aloud activities. Prompt structure: "Generate 5 comprehension questions appropriate for 4th-grade students reading level, targeting literal comprehension, inference, and vocabulary from [specific text passage]."</w:t>
      </w:r>
    </w:p>
    <w:p>
      <w:r>
        <w:rPr>
          <w:b/>
        </w:rPr>
        <w:t>Research Design</w:t>
      </w:r>
      <w:r>
        <w:t>: Qualitative study with teacher interviews; classroom observation; student feedback[11]</w:t>
      </w:r>
    </w:p>
    <w:p>
      <w:r>
        <w:rPr>
          <w:b/>
        </w:rPr>
        <w:t>Pedagogical Innovation</w:t>
      </w:r>
      <w:r>
        <w:t>: AIGC reduced teacher preparation time; enabled dynamic question generation responsive to actual text complexity. Questions scaffolded across Bloom's Taxonomy levels.</w:t>
      </w:r>
    </w:p>
    <w:p>
      <w:r>
        <w:rPr>
          <w:b/>
        </w:rPr>
        <w:t>Outcomes</w:t>
      </w:r>
      <w:r>
        <w:t>:</w:t>
      </w:r>
    </w:p>
    <w:p>
      <w:pPr>
        <w:pStyle w:val="ListBullet"/>
      </w:pPr>
      <w:r>
        <w:t>Reduction in preparation time (estimated 30-40% time savings)</w:t>
      </w:r>
    </w:p>
    <w:p>
      <w:pPr>
        <w:pStyle w:val="ListBullet"/>
      </w:pPr>
      <w:r>
        <w:t>Questions more responsive to actual text difficulty</w:t>
      </w:r>
    </w:p>
    <w:p>
      <w:pPr>
        <w:pStyle w:val="ListBullet"/>
      </w:pPr>
      <w:r>
        <w:t>Maintained teacher agency in facilitation and interpretation</w:t>
      </w:r>
    </w:p>
    <w:p>
      <w:r>
        <w:rPr>
          <w:b/>
        </w:rPr>
        <w:t>Critical Insight</w:t>
      </w:r>
      <w:r>
        <w:t xml:space="preserve"> (from researcher): "GenAI does not know the students, backgrounds, and cultural context, making the teacher critical in implementing teaching and learning with GenAI tools."[11] Underscores necessity of teacher-in-the-loop systems.</w:t>
      </w:r>
    </w:p>
    <w:p>
      <w:r>
        <w:rPr>
          <w:b/>
        </w:rPr>
        <w:t>Limitations &amp; Lessons</w:t>
      </w:r>
      <w:r>
        <w:t>:</w:t>
      </w:r>
    </w:p>
    <w:p>
      <w:pPr>
        <w:pStyle w:val="ListBullet"/>
      </w:pPr>
      <w:r>
        <w:t>GenAI-generated questions require teacher verification for accuracy and appropriateness</w:t>
      </w:r>
    </w:p>
    <w:p>
      <w:pPr>
        <w:pStyle w:val="ListBullet"/>
      </w:pPr>
      <w:r>
        <w:t>Risk of de-skilling if teachers become overly dependent</w:t>
      </w:r>
    </w:p>
    <w:p>
      <w:pPr>
        <w:pStyle w:val="ListBullet"/>
      </w:pPr>
      <w:r>
        <w:t>Social-emotional dimensions of teacher-student interaction not replaceable by AIGC</w:t>
      </w:r>
    </w:p>
    <w:p>
      <w:pPr>
        <w:pStyle w:val="Heading3"/>
      </w:pPr>
      <w:r>
        <w:t>IV.C. Case Study 3: China - Mathematics Education with Adaptive Content Generation (2024)</w:t>
      </w:r>
    </w:p>
    <w:p>
      <w:r>
        <w:rPr>
          <w:b/>
        </w:rPr>
        <w:t>Context</w:t>
      </w:r>
      <w:r>
        <w:t>: Secondary mathematics; diverse student knowledge levels; heterogeneous classrooms</w:t>
      </w:r>
    </w:p>
    <w:p>
      <w:r>
        <w:rPr>
          <w:b/>
        </w:rPr>
        <w:t>AIGC Implementation</w:t>
      </w:r>
      <w:r>
        <w:t>:</w:t>
      </w:r>
    </w:p>
    <w:p>
      <w:pPr>
        <w:pStyle w:val="ListNumber"/>
      </w:pPr>
      <w:r>
        <w:t>Pre-lesson diagnostic assessment categorizing students into advanced, intermediate, basic knowledge groups</w:t>
      </w:r>
    </w:p>
    <w:p>
      <w:pPr>
        <w:pStyle w:val="ListNumber"/>
      </w:pPr>
      <w:r>
        <w:t>ChatGPT prompts dynamically generate learning materials customized to each tier: simplified/advanced explanations, tiered worked examples, difficulty-adjusted practice problems</w:t>
      </w:r>
    </w:p>
    <w:p>
      <w:pPr>
        <w:pStyle w:val="ListNumber"/>
      </w:pPr>
      <w:r>
        <w:t>Mid-lesson reassessment; regroup students; regenerate materials</w:t>
      </w:r>
    </w:p>
    <w:p>
      <w:r>
        <w:rPr>
          <w:b/>
        </w:rPr>
        <w:t>Research Design</w:t>
      </w:r>
      <w:r>
        <w:t>: Mixed-methods; 605 MCQs evaluated; 3 evaluators; learning outcome measures[7]</w:t>
      </w:r>
    </w:p>
    <w:p>
      <w:r>
        <w:rPr>
          <w:b/>
        </w:rPr>
        <w:t>Pedagogical Innovation</w:t>
      </w:r>
      <w:r>
        <w:t>: Real-time differentiation at scale. Teachers traditionally unable to create three parallel lesson tracks simultaneously; AIGC enables personalization approaching one-on-one tutoring efficiency.</w:t>
      </w:r>
    </w:p>
    <w:p>
      <w:r>
        <w:rPr>
          <w:b/>
        </w:rPr>
        <w:t>Outcomes</w:t>
      </w:r>
      <w:r>
        <w:t>:</w:t>
      </w:r>
    </w:p>
    <w:p>
      <w:pPr>
        <w:pStyle w:val="ListBullet"/>
      </w:pPr>
      <w:r>
        <w:t>All student groups achieved curriculum objectives by lesson completion</w:t>
      </w:r>
    </w:p>
    <w:p>
      <w:pPr>
        <w:pStyle w:val="ListBullet"/>
      </w:pPr>
      <w:r>
        <w:t>Reduced achievement gap between advanced and struggling learners</w:t>
      </w:r>
    </w:p>
    <w:p>
      <w:pPr>
        <w:pStyle w:val="ListBullet"/>
      </w:pPr>
      <w:r>
        <w:t>Students remained appropriately challenged (avoided boredom in advanced tier; frustration in basic tier)</w:t>
      </w:r>
    </w:p>
    <w:p>
      <w:r>
        <w:rPr>
          <w:b/>
        </w:rPr>
        <w:t>Limitations &amp; Lessons</w:t>
      </w:r>
      <w:r>
        <w:t>:</w:t>
      </w:r>
    </w:p>
    <w:p>
      <w:pPr>
        <w:pStyle w:val="ListBullet"/>
      </w:pPr>
      <w:r>
        <w:t>Requires multiple reassessments throughout lesson (time/attention cost)</w:t>
      </w:r>
    </w:p>
    <w:p>
      <w:pPr>
        <w:pStyle w:val="ListBullet"/>
      </w:pPr>
      <w:r>
        <w:t>Assumes reliable diagnostic assessment; misclassification undermines differentiation</w:t>
      </w:r>
    </w:p>
    <w:p>
      <w:pPr>
        <w:pStyle w:val="ListBullet"/>
      </w:pPr>
      <w:r>
        <w:t>Teachers must validate content accuracy; AIGC hallucinations observed in technical subjects</w:t>
      </w:r>
    </w:p>
    <w:p>
      <w:r>
        <w:t>---</w:t>
      </w:r>
    </w:p>
    <w:p>
      <w:pPr>
        <w:pStyle w:val="Heading2"/>
      </w:pPr>
      <w:r>
        <w:t>V. AIGC APPLICATION FRAMEWORK: CATEGORIZATION AND FUNCTIONAL ANALYSIS</w:t>
      </w:r>
    </w:p>
    <w:p>
      <w:pPr>
        <w:pStyle w:val="Heading3"/>
      </w:pPr>
      <w:r>
        <w:t>V.A. Primary Application Categories</w:t>
      </w:r>
    </w:p>
    <w:p>
      <w:r>
        <w:t>Research synthesizing 30 empirical investigations identifies five primary functional categories of AIGC application in K-12: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Category</w:t>
            </w:r>
          </w:p>
        </w:tc>
        <w:tc>
          <w:tcPr>
            <w:tcW w:type="dxa" w:w="1728"/>
          </w:tcPr>
          <w:p>
            <w:r>
              <w:t>Function</w:t>
            </w:r>
          </w:p>
        </w:tc>
        <w:tc>
          <w:tcPr>
            <w:tcW w:type="dxa" w:w="1728"/>
          </w:tcPr>
          <w:p>
            <w:r>
              <w:t>Frequency in Research</w:t>
            </w:r>
          </w:p>
        </w:tc>
        <w:tc>
          <w:tcPr>
            <w:tcW w:type="dxa" w:w="1728"/>
          </w:tcPr>
          <w:p>
            <w:r>
              <w:t>Representative Tools</w:t>
            </w:r>
          </w:p>
        </w:tc>
        <w:tc>
          <w:tcPr>
            <w:tcW w:type="dxa" w:w="1728"/>
          </w:tcPr>
          <w:p>
            <w:r>
              <w:t>Learning Outcomes</w:t>
            </w:r>
          </w:p>
        </w:tc>
      </w:tr>
      <w:tr>
        <w:tc>
          <w:tcPr>
            <w:tcW w:type="dxa" w:w="1728"/>
          </w:tcPr>
          <w:p>
            <w:r>
              <w:rPr>
                <w:b/>
              </w:rPr>
              <w:t>1. Content Generation &amp; Curation</w:t>
            </w:r>
          </w:p>
        </w:tc>
        <w:tc>
          <w:tcPr>
            <w:tcW w:type="dxa" w:w="1728"/>
          </w:tcPr>
          <w:p>
            <w:r>
              <w:t>Creating instructional materials (lesson plans, worksheets, multimedia)</w:t>
            </w:r>
          </w:p>
        </w:tc>
        <w:tc>
          <w:tcPr>
            <w:tcW w:type="dxa" w:w="1728"/>
          </w:tcPr>
          <w:p>
            <w:r>
              <w:t>Foundational; present in ~90% of studies</w:t>
            </w:r>
          </w:p>
        </w:tc>
        <w:tc>
          <w:tcPr>
            <w:tcW w:type="dxa" w:w="1728"/>
          </w:tcPr>
          <w:p>
            <w:r>
              <w:t>ChatGPT, Gemini, Curipod, Gamma</w:t>
            </w:r>
          </w:p>
        </w:tc>
        <w:tc>
          <w:tcPr>
            <w:tcW w:type="dxa" w:w="1728"/>
          </w:tcPr>
          <w:p>
            <w:r>
              <w:t>Teacher time savings (30-50%); content quality dependent on prompting</w:t>
            </w:r>
          </w:p>
        </w:tc>
      </w:tr>
      <w:tr>
        <w:tc>
          <w:tcPr>
            <w:tcW w:type="dxa" w:w="1728"/>
          </w:tcPr>
          <w:p>
            <w:r>
              <w:rPr>
                <w:b/>
              </w:rPr>
              <w:t>2. Personalized Learning Design</w:t>
            </w:r>
          </w:p>
        </w:tc>
        <w:tc>
          <w:tcPr>
            <w:tcW w:type="dxa" w:w="1728"/>
          </w:tcPr>
          <w:p>
            <w:r>
              <w:t>Adaptive pathway creation; differentiation; customized sequencing</w:t>
            </w:r>
          </w:p>
        </w:tc>
        <w:tc>
          <w:tcPr>
            <w:tcW w:type="dxa" w:w="1728"/>
          </w:tcPr>
          <w:p>
            <w:r>
              <w:t>Primary focus; 27/30 studies</w:t>
            </w:r>
          </w:p>
        </w:tc>
        <w:tc>
          <w:tcPr>
            <w:tcW w:type="dxa" w:w="1728"/>
          </w:tcPr>
          <w:p>
            <w:r>
              <w:t>Khanmigo, Dream Box, AIGC + adaptive engines</w:t>
            </w:r>
          </w:p>
        </w:tc>
        <w:tc>
          <w:tcPr>
            <w:tcW w:type="dxa" w:w="1728"/>
          </w:tcPr>
          <w:p>
            <w:r>
              <w:t>Improved engagement; reduced achievement gaps (15-30% improvement)</w:t>
            </w:r>
          </w:p>
        </w:tc>
      </w:tr>
      <w:tr>
        <w:tc>
          <w:tcPr>
            <w:tcW w:type="dxa" w:w="1728"/>
          </w:tcPr>
          <w:p>
            <w:r>
              <w:rPr>
                <w:b/>
              </w:rPr>
              <w:t>3. Intelligent Tutoring &amp; Feedback</w:t>
            </w:r>
          </w:p>
        </w:tc>
        <w:tc>
          <w:tcPr>
            <w:tcW w:type="dxa" w:w="1728"/>
          </w:tcPr>
          <w:p>
            <w:r>
              <w:t>Real-time explanations; formative assessment; scaffolding</w:t>
            </w:r>
          </w:p>
        </w:tc>
        <w:tc>
          <w:tcPr>
            <w:tcW w:type="dxa" w:w="1728"/>
          </w:tcPr>
          <w:p>
            <w:r>
              <w:t>Core functionality; 24/30 studies</w:t>
            </w:r>
          </w:p>
        </w:tc>
        <w:tc>
          <w:tcPr>
            <w:tcW w:type="dxa" w:w="1728"/>
          </w:tcPr>
          <w:p>
            <w:r>
              <w:t>ChatGPT, Khanmigo, Carnegie Learning</w:t>
            </w:r>
          </w:p>
        </w:tc>
        <w:tc>
          <w:tcPr>
            <w:tcW w:type="dxa" w:w="1728"/>
          </w:tcPr>
          <w:p>
            <w:r>
              <w:t>Immediate feedback reduces frustration; improves self-efficacy</w:t>
            </w:r>
          </w:p>
        </w:tc>
      </w:tr>
      <w:tr>
        <w:tc>
          <w:tcPr>
            <w:tcW w:type="dxa" w:w="1728"/>
          </w:tcPr>
          <w:p>
            <w:r>
              <w:rPr>
                <w:b/>
              </w:rPr>
              <w:t>4. Assessment &amp; Analytics</w:t>
            </w:r>
          </w:p>
        </w:tc>
        <w:tc>
          <w:tcPr>
            <w:tcW w:type="dxa" w:w="1728"/>
          </w:tcPr>
          <w:p>
            <w:r>
              <w:t>Quiz generation; learning analytics; progress monitoring</w:t>
            </w:r>
          </w:p>
        </w:tc>
        <w:tc>
          <w:tcPr>
            <w:tcW w:type="dxa" w:w="1728"/>
          </w:tcPr>
          <w:p>
            <w:r>
              <w:t>Growing emphasis; 18/30 studies</w:t>
            </w:r>
          </w:p>
        </w:tc>
        <w:tc>
          <w:tcPr>
            <w:tcW w:type="dxa" w:w="1728"/>
          </w:tcPr>
          <w:p>
            <w:r>
              <w:t>QuestionWell, MagicSchool.ai, predictive analytics</w:t>
            </w:r>
          </w:p>
        </w:tc>
        <w:tc>
          <w:tcPr>
            <w:tcW w:type="dxa" w:w="1728"/>
          </w:tcPr>
          <w:p>
            <w:r>
              <w:t>Objective measures improve with AI-generated assessments</w:t>
            </w:r>
          </w:p>
        </w:tc>
      </w:tr>
      <w:tr>
        <w:tc>
          <w:tcPr>
            <w:tcW w:type="dxa" w:w="1728"/>
          </w:tcPr>
          <w:p>
            <w:r>
              <w:rPr>
                <w:b/>
              </w:rPr>
              <w:t>5. Administrative Support</w:t>
            </w:r>
          </w:p>
        </w:tc>
        <w:tc>
          <w:tcPr>
            <w:tcW w:type="dxa" w:w="1728"/>
          </w:tcPr>
          <w:p>
            <w:r>
              <w:t>Attendance letters, parent communication, intervention planning</w:t>
            </w:r>
          </w:p>
        </w:tc>
        <w:tc>
          <w:tcPr>
            <w:tcW w:type="dxa" w:w="1728"/>
          </w:tcPr>
          <w:p>
            <w:r>
              <w:t>Secondary function; ~40% of studies</w:t>
            </w:r>
          </w:p>
        </w:tc>
        <w:tc>
          <w:tcPr>
            <w:tcW w:type="dxa" w:w="1728"/>
          </w:tcPr>
          <w:p>
            <w:r>
              <w:t>ChatGPT, Gemini, district platforms</w:t>
            </w:r>
          </w:p>
        </w:tc>
        <w:tc>
          <w:tcPr>
            <w:tcW w:type="dxa" w:w="1728"/>
          </w:tcPr>
          <w:p>
            <w:r>
              <w:t>Reduces non-instructional burden; frees teacher time for pedagogy</w:t>
            </w:r>
          </w:p>
        </w:tc>
      </w:tr>
    </w:tbl>
    <w:p>
      <w:pPr>
        <w:pStyle w:val="Heading3"/>
      </w:pPr>
      <w:r>
        <w:t>V.B. Pedagogical Integration Models</w:t>
      </w:r>
    </w:p>
    <w:p>
      <w:r>
        <w:t>Detailed analysis of 30 studies reveals three distinct pedagogical integration models, each with characteristic advantages and limitations:</w:t>
      </w:r>
    </w:p>
    <w:p>
      <w:r>
        <w:rPr>
          <w:b/>
        </w:rPr>
        <w:t>Model 1: AIGC as Content Supplement (Augmentation)</w:t>
      </w:r>
    </w:p>
    <w:p>
      <w:r>
        <w:rPr>
          <w:i/>
        </w:rPr>
        <w:t>Definition</w:t>
      </w:r>
      <w:r>
        <w:t>: AIGC generates materials that students or teachers use; human retains primary agency.</w:t>
      </w:r>
    </w:p>
    <w:p>
      <w:r>
        <w:rPr>
          <w:i/>
        </w:rPr>
        <w:t>Example</w:t>
      </w:r>
      <w:r>
        <w:t>: Teacher uses ChatGPT-generated quiz options; selects, edits, customizes before administration.</w:t>
      </w:r>
    </w:p>
    <w:p>
      <w:r>
        <w:rPr>
          <w:b/>
        </w:rPr>
        <w:t>Advantages</w:t>
      </w:r>
      <w:r>
        <w:t>:</w:t>
      </w:r>
    </w:p>
    <w:p>
      <w:pPr>
        <w:pStyle w:val="ListBullet"/>
      </w:pPr>
      <w:r>
        <w:t>Maintains teacher control and professional judgment</w:t>
      </w:r>
    </w:p>
    <w:p>
      <w:pPr>
        <w:pStyle w:val="ListBullet"/>
      </w:pPr>
      <w:r>
        <w:t>Low cognitive load for technology integration</w:t>
      </w:r>
    </w:p>
    <w:p>
      <w:pPr>
        <w:pStyle w:val="ListBullet"/>
      </w:pPr>
      <w:r>
        <w:t>Rapid scalability across heterogeneous classrooms</w:t>
      </w:r>
    </w:p>
    <w:p>
      <w:r>
        <w:rPr>
          <w:b/>
        </w:rPr>
        <w:t>Potential Limitations</w:t>
      </w:r>
      <w:r>
        <w:t>:</w:t>
      </w:r>
    </w:p>
    <w:p>
      <w:pPr>
        <w:pStyle w:val="ListBullet"/>
      </w:pPr>
      <w:r>
        <w:t>Partial realization of AIGC potential; redundant teacher effort may remain</w:t>
      </w:r>
    </w:p>
    <w:p>
      <w:pPr>
        <w:pStyle w:val="ListBullet"/>
      </w:pPr>
      <w:r>
        <w:t>Requires strong teacher knowledge of subject/pedagogy for effective curation</w:t>
      </w:r>
    </w:p>
    <w:p>
      <w:r>
        <w:rPr>
          <w:b/>
        </w:rPr>
        <w:t>Applicability Conditions</w:t>
      </w:r>
      <w:r>
        <w:t>: Suitable for teachers with adequate subject expertise; resource-constrained contexts; subjects requiring specialized knowledge verification.</w:t>
      </w:r>
    </w:p>
    <w:p>
      <w:r>
        <w:t>---</w:t>
      </w:r>
    </w:p>
    <w:p>
      <w:r>
        <w:rPr>
          <w:b/>
        </w:rPr>
        <w:t>Model 2: AIGC as Adaptive Engine (Modification)</w:t>
      </w:r>
    </w:p>
    <w:p>
      <w:r>
        <w:rPr>
          <w:i/>
        </w:rPr>
        <w:t>Definition</w:t>
      </w:r>
      <w:r>
        <w:t>: AIGC systems analyze learner data; continuously adjust content, pacing, difficulty.</w:t>
      </w:r>
    </w:p>
    <w:p>
      <w:r>
        <w:rPr>
          <w:i/>
        </w:rPr>
        <w:t>Example</w:t>
      </w:r>
      <w:r>
        <w:t>: Adaptive math platform modifies problem difficulty based on response accuracy; personalized learning pathways emerge.</w:t>
      </w:r>
    </w:p>
    <w:p>
      <w:r>
        <w:rPr>
          <w:b/>
        </w:rPr>
        <w:t>Advantages</w:t>
      </w:r>
      <w:r>
        <w:t>:</w:t>
      </w:r>
    </w:p>
    <w:p>
      <w:pPr>
        <w:pStyle w:val="ListBullet"/>
      </w:pPr>
      <w:r>
        <w:t>Approaches one-on-one tutoring efficiency</w:t>
      </w:r>
    </w:p>
    <w:p>
      <w:pPr>
        <w:pStyle w:val="ListBullet"/>
      </w:pPr>
      <w:r>
        <w:t>Data-driven adaptation reduces teacher burden for differentiation</w:t>
      </w:r>
    </w:p>
    <w:p>
      <w:pPr>
        <w:pStyle w:val="ListBullet"/>
      </w:pPr>
      <w:r>
        <w:t>Scalable personalization</w:t>
      </w:r>
    </w:p>
    <w:p>
      <w:r>
        <w:rPr>
          <w:b/>
        </w:rPr>
        <w:t>Potential Limitations</w:t>
      </w:r>
      <w:r>
        <w:t>:</w:t>
      </w:r>
    </w:p>
    <w:p>
      <w:pPr>
        <w:pStyle w:val="ListBullet"/>
      </w:pPr>
      <w:r>
        <w:t>Requires robust technical infrastructure; computational resources</w:t>
      </w:r>
    </w:p>
    <w:p>
      <w:pPr>
        <w:pStyle w:val="ListBullet"/>
      </w:pPr>
      <w:r>
        <w:t>Data privacy concerns; surveillance risk</w:t>
      </w:r>
    </w:p>
    <w:p>
      <w:pPr>
        <w:pStyle w:val="ListBullet"/>
      </w:pPr>
      <w:r>
        <w:t>Algorithm opacity; difficult to diagnose source of adaptation</w:t>
      </w:r>
    </w:p>
    <w:p>
      <w:pPr>
        <w:pStyle w:val="ListBullet"/>
      </w:pPr>
      <w:r>
        <w:t>Potential skill attrition if students depend excessively on scaffolding</w:t>
      </w:r>
    </w:p>
    <w:p>
      <w:r>
        <w:rPr>
          <w:b/>
        </w:rPr>
        <w:t>Applicability Conditions</w:t>
      </w:r>
      <w:r>
        <w:t>: Resource-rich environments; technical infrastructure availability; strong data governance; subjects amenable to algorithmic assessment (e.g., mathematics, language learning).</w:t>
      </w:r>
    </w:p>
    <w:p>
      <w:r>
        <w:t>---</w:t>
      </w:r>
    </w:p>
    <w:p>
      <w:r>
        <w:rPr>
          <w:b/>
        </w:rPr>
        <w:t>Model 3: Co-Creative Framework (Redefinition)</w:t>
      </w:r>
    </w:p>
    <w:p>
      <w:r>
        <w:rPr>
          <w:i/>
        </w:rPr>
        <w:t>Definition</w:t>
      </w:r>
      <w:r>
        <w:t>: Students and AIGC collaborate to create new knowledge artifacts; AIGC serves as thought partner.</w:t>
      </w:r>
    </w:p>
    <w:p>
      <w:r>
        <w:rPr>
          <w:i/>
        </w:rPr>
        <w:t>Example</w:t>
      </w:r>
      <w:r>
        <w:t>: Student and AIGC iteratively develop scientific explanations; AIGC generates draft; student critiques, refines, extends.</w:t>
      </w:r>
    </w:p>
    <w:p>
      <w:r>
        <w:rPr>
          <w:b/>
        </w:rPr>
        <w:t>Advantages</w:t>
      </w:r>
      <w:r>
        <w:t>:</w:t>
      </w:r>
    </w:p>
    <w:p>
      <w:pPr>
        <w:pStyle w:val="ListBullet"/>
      </w:pPr>
      <w:r>
        <w:t>Develops critical thinking; students evaluate AIGC outputs</w:t>
      </w:r>
    </w:p>
    <w:p>
      <w:pPr>
        <w:pStyle w:val="ListBullet"/>
      </w:pPr>
      <w:r>
        <w:t>Engagement through creative collaboration</w:t>
      </w:r>
    </w:p>
    <w:p>
      <w:pPr>
        <w:pStyle w:val="ListBullet"/>
      </w:pPr>
      <w:r>
        <w:t>Transparency of AI reasoning; interpretability higher than black-box models</w:t>
      </w:r>
    </w:p>
    <w:p>
      <w:r>
        <w:rPr>
          <w:b/>
        </w:rPr>
        <w:t>Potential Limitations</w:t>
      </w:r>
      <w:r>
        <w:t>:</w:t>
      </w:r>
    </w:p>
    <w:p>
      <w:pPr>
        <w:pStyle w:val="ListBullet"/>
      </w:pPr>
      <w:r>
        <w:t>Requires careful scaffolding to prevent AIGC dependency</w:t>
      </w:r>
    </w:p>
    <w:p>
      <w:pPr>
        <w:pStyle w:val="ListBullet"/>
      </w:pPr>
      <w:r>
        <w:t>Assessment complexity increases (how to differentiate student vs. AI contribution?)</w:t>
      </w:r>
    </w:p>
    <w:p>
      <w:pPr>
        <w:pStyle w:val="ListBullet"/>
      </w:pPr>
      <w:r>
        <w:t>Demands teacher fluency with AIGC capabilities and limitations</w:t>
      </w:r>
    </w:p>
    <w:p>
      <w:pPr>
        <w:pStyle w:val="ListBullet"/>
      </w:pPr>
      <w:r>
        <w:t>Potential plagiarism/academic integrity concerns</w:t>
      </w:r>
    </w:p>
    <w:p>
      <w:r>
        <w:rPr>
          <w:b/>
        </w:rPr>
        <w:t>Applicability Conditions</w:t>
      </w:r>
      <w:r>
        <w:t>: Upper secondary education; subjects emphasizing creativity/higher-order thinking; strong teacher preparation; established academic integrity protocols.</w:t>
      </w:r>
    </w:p>
    <w:p>
      <w:r>
        <w:t>---</w:t>
      </w:r>
    </w:p>
    <w:p>
      <w:pPr>
        <w:pStyle w:val="Heading3"/>
      </w:pPr>
      <w:r>
        <w:t>V.C. Subject-Domain Application Matrix</w:t>
      </w:r>
    </w:p>
    <w:p>
      <w:r>
        <w:t>Research analysis of 30 empirical studies identifies differential AIGC effectiveness across subject domains: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Subject/Domain</w:t>
            </w:r>
          </w:p>
        </w:tc>
        <w:tc>
          <w:tcPr>
            <w:tcW w:type="dxa" w:w="2160"/>
          </w:tcPr>
          <w:p>
            <w:r>
              <w:t>Recommended AIGC Uses</w:t>
            </w:r>
          </w:p>
        </w:tc>
        <w:tc>
          <w:tcPr>
            <w:tcW w:type="dxa" w:w="2160"/>
          </w:tcPr>
          <w:p>
            <w:r>
              <w:t>Evidence of Effectiveness</w:t>
            </w:r>
          </w:p>
        </w:tc>
        <w:tc>
          <w:tcPr>
            <w:tcW w:type="dxa" w:w="2160"/>
          </w:tcPr>
          <w:p>
            <w:r>
              <w:t>Applicability Constraints</w:t>
            </w:r>
          </w:p>
        </w:tc>
      </w:tr>
      <w:tr>
        <w:tc>
          <w:tcPr>
            <w:tcW w:type="dxa" w:w="2160"/>
          </w:tcPr>
          <w:p>
            <w:r>
              <w:rPr>
                <w:b/>
              </w:rPr>
              <w:t>Mathematics</w:t>
            </w:r>
          </w:p>
        </w:tc>
        <w:tc>
          <w:tcPr>
            <w:tcW w:type="dxa" w:w="2160"/>
          </w:tcPr>
          <w:p>
            <w:r>
              <w:t>Problem-solving scaffolding, worked example generation, adaptive practice sequencing</w:t>
            </w:r>
          </w:p>
        </w:tc>
        <w:tc>
          <w:tcPr>
            <w:tcW w:type="dxa" w:w="2160"/>
          </w:tcPr>
          <w:p>
            <w:r>
              <w:t>Strong (5 studies); improved problem-solving; reduced computational burden</w:t>
            </w:r>
          </w:p>
        </w:tc>
        <w:tc>
          <w:tcPr>
            <w:tcW w:type="dxa" w:w="2160"/>
          </w:tcPr>
          <w:p>
            <w:r>
              <w:t>Requires verification of solution accuracy; potential over-scaffolding</w:t>
            </w:r>
          </w:p>
        </w:tc>
      </w:tr>
      <w:tr>
        <w:tc>
          <w:tcPr>
            <w:tcW w:type="dxa" w:w="2160"/>
          </w:tcPr>
          <w:p>
            <w:r>
              <w:rPr>
                <w:b/>
              </w:rPr>
              <w:t>Physics/STEM</w:t>
            </w:r>
          </w:p>
        </w:tc>
        <w:tc>
          <w:tcPr>
            <w:tcW w:type="dxa" w:w="2160"/>
          </w:tcPr>
          <w:p>
            <w:r>
              <w:t>Data analysis, visualization generation, simulation interpretation, experimental design support</w:t>
            </w:r>
          </w:p>
        </w:tc>
        <w:tc>
          <w:tcPr>
            <w:tcW w:type="dxa" w:w="2160"/>
          </w:tcPr>
          <w:p>
            <w:r>
              <w:t>Moderate-to-strong (4 studies); improved analysis depth; increased engagement</w:t>
            </w:r>
          </w:p>
        </w:tc>
        <w:tc>
          <w:tcPr>
            <w:tcW w:type="dxa" w:w="2160"/>
          </w:tcPr>
          <w:p>
            <w:r>
              <w:t>Computational errors possible; hands-on experimentation still essential</w:t>
            </w:r>
          </w:p>
        </w:tc>
      </w:tr>
      <w:tr>
        <w:tc>
          <w:tcPr>
            <w:tcW w:type="dxa" w:w="2160"/>
          </w:tcPr>
          <w:p>
            <w:r>
              <w:rPr>
                <w:b/>
              </w:rPr>
              <w:t>Language Learning</w:t>
            </w:r>
          </w:p>
        </w:tc>
        <w:tc>
          <w:tcPr>
            <w:tcW w:type="dxa" w:w="2160"/>
          </w:tcPr>
          <w:p>
            <w:r>
              <w:t>Conversation practice, grammar explanation, translation, cultural context provision</w:t>
            </w:r>
          </w:p>
        </w:tc>
        <w:tc>
          <w:tcPr>
            <w:tcW w:type="dxa" w:w="2160"/>
          </w:tcPr>
          <w:p>
            <w:r>
              <w:t>Strong (5 studies); improved fluency; personalized dialogue; vocabulary expansion</w:t>
            </w:r>
          </w:p>
        </w:tc>
        <w:tc>
          <w:tcPr>
            <w:tcW w:type="dxa" w:w="2160"/>
          </w:tcPr>
          <w:p>
            <w:r>
              <w:t>May reduce need for authentic peer interaction; cultural nuance sometimes inaccurate</w:t>
            </w:r>
          </w:p>
        </w:tc>
      </w:tr>
      <w:tr>
        <w:tc>
          <w:tcPr>
            <w:tcW w:type="dxa" w:w="2160"/>
          </w:tcPr>
          <w:p>
            <w:r>
              <w:rPr>
                <w:b/>
              </w:rPr>
              <w:t>Writing/Composition</w:t>
            </w:r>
          </w:p>
        </w:tc>
        <w:tc>
          <w:tcPr>
            <w:tcW w:type="dxa" w:w="2160"/>
          </w:tcPr>
          <w:p>
            <w:r>
              <w:t>Brainstorming, organizational scaffolding, feedback generation, revision suggestions</w:t>
            </w:r>
          </w:p>
        </w:tc>
        <w:tc>
          <w:tcPr>
            <w:tcW w:type="dxa" w:w="2160"/>
          </w:tcPr>
          <w:p>
            <w:r>
              <w:t>Moderate (3 studies); improved essay organization; time to publish reduced</w:t>
            </w:r>
          </w:p>
        </w:tc>
        <w:tc>
          <w:tcPr>
            <w:tcW w:type="dxa" w:w="2160"/>
          </w:tcPr>
          <w:p>
            <w:r>
              <w:t>Plagiarism risk; potential homogenization of writing voice</w:t>
            </w:r>
          </w:p>
        </w:tc>
      </w:tr>
      <w:tr>
        <w:tc>
          <w:tcPr>
            <w:tcW w:type="dxa" w:w="2160"/>
          </w:tcPr>
          <w:p>
            <w:r>
              <w:rPr>
                <w:b/>
              </w:rPr>
              <w:t>History/Social Studies</w:t>
            </w:r>
          </w:p>
        </w:tc>
        <w:tc>
          <w:tcPr>
            <w:tcW w:type="dxa" w:w="2160"/>
          </w:tcPr>
          <w:p>
            <w:r>
              <w:t>Primary source interpretation, counterargument generation, perspective-taking prompts</w:t>
            </w:r>
          </w:p>
        </w:tc>
        <w:tc>
          <w:tcPr>
            <w:tcW w:type="dxa" w:w="2160"/>
          </w:tcPr>
          <w:p>
            <w:r>
              <w:t>Limited (1-2 studies); potential for enhanced historical thinking</w:t>
            </w:r>
          </w:p>
        </w:tc>
        <w:tc>
          <w:tcPr>
            <w:tcW w:type="dxa" w:w="2160"/>
          </w:tcPr>
          <w:p>
            <w:r>
              <w:t>Risk of presentism; over-simplification of complex historical events</w:t>
            </w:r>
          </w:p>
        </w:tc>
      </w:tr>
      <w:tr>
        <w:tc>
          <w:tcPr>
            <w:tcW w:type="dxa" w:w="2160"/>
          </w:tcPr>
          <w:p>
            <w:r>
              <w:rPr>
                <w:b/>
              </w:rPr>
              <w:t>Visual Arts/Design</w:t>
            </w:r>
          </w:p>
        </w:tc>
        <w:tc>
          <w:tcPr>
            <w:tcW w:type="dxa" w:w="2160"/>
          </w:tcPr>
          <w:p>
            <w:r>
              <w:t>Image generation, design inspiration, feedback on compositions</w:t>
            </w:r>
          </w:p>
        </w:tc>
        <w:tc>
          <w:tcPr>
            <w:tcW w:type="dxa" w:w="2160"/>
          </w:tcPr>
          <w:p>
            <w:r>
              <w:t>Emerging (2-3 studies); inspiration generation; technical assistance</w:t>
            </w:r>
          </w:p>
        </w:tc>
        <w:tc>
          <w:tcPr>
            <w:tcW w:type="dxa" w:w="2160"/>
          </w:tcPr>
          <w:p>
            <w:r>
              <w:t>Copyright concerns; potential convergence of student work; aesthetic ownership questions</w:t>
            </w:r>
          </w:p>
        </w:tc>
      </w:tr>
    </w:tbl>
    <w:p>
      <w:r>
        <w:rPr>
          <w:b/>
        </w:rPr>
        <w:t>Overarching Finding</w:t>
      </w:r>
      <w:r>
        <w:t>: STEM subjects dominate empirical research (mathematics=5 studies, physics=4, programming=3); emerging evidence for language learning; minimal research in humanities. This reflects both AIGC technical capabilities (numerical/algorithmic tasks) and research publication bias.</w:t>
      </w:r>
    </w:p>
    <w:p>
      <w:r>
        <w:t>---</w:t>
      </w:r>
    </w:p>
    <w:p>
      <w:pPr>
        <w:pStyle w:val="Heading2"/>
      </w:pPr>
      <w:r>
        <w:t>VI. PRACTICAL IMPLEMENTATION METHODS AND FRAMEWORKS</w:t>
      </w:r>
    </w:p>
    <w:p>
      <w:pPr>
        <w:pStyle w:val="Heading3"/>
      </w:pPr>
      <w:r>
        <w:t>VI.A. Pre-Implementation Assessment: Readiness Framework</w:t>
      </w:r>
    </w:p>
    <w:p>
      <w:r>
        <w:t>Successful AIGC integration requires systematic readiness evaluation across five dimensions:</w:t>
      </w:r>
    </w:p>
    <w:p>
      <w:r>
        <w:rPr>
          <w:b/>
        </w:rPr>
        <w:t>Readiness Dimension 1: Infrastructure &amp; Technical Capacity</w:t>
      </w:r>
    </w:p>
    <w:p>
      <w:r>
        <w:t>Assessment Questions:</w:t>
      </w:r>
    </w:p>
    <w:p>
      <w:pPr>
        <w:pStyle w:val="ListBullet"/>
      </w:pPr>
      <w:r>
        <w:t>[ ] Broadband connectivity available to all students during school day?</w:t>
      </w:r>
    </w:p>
    <w:p>
      <w:pPr>
        <w:pStyle w:val="ListBullet"/>
      </w:pPr>
      <w:r>
        <w:t>[ ] Device-to-student ratio sufficient for intended AIGC activities?</w:t>
      </w:r>
    </w:p>
    <w:p>
      <w:pPr>
        <w:pStyle w:val="ListBullet"/>
      </w:pPr>
      <w:r>
        <w:t>[ ] Internet bandwidth accommodates simultaneous cloud-based AIGC access?</w:t>
      </w:r>
    </w:p>
    <w:p>
      <w:pPr>
        <w:pStyle w:val="ListBullet"/>
      </w:pPr>
      <w:r>
        <w:t>[ ] Technical support staff trained in AIGC platform management?</w:t>
      </w:r>
    </w:p>
    <w:p>
      <w:pPr>
        <w:pStyle w:val="ListBullet"/>
      </w:pPr>
      <w:r>
        <w:t>[ ] Data infrastructure (servers, backup systems) in place?</w:t>
      </w:r>
    </w:p>
    <w:p>
      <w:r>
        <w:rPr>
          <w:b/>
        </w:rPr>
        <w:t>Readiness Dimension 2: Pedagogical Preparation</w:t>
      </w:r>
    </w:p>
    <w:p>
      <w:r>
        <w:t>Assessment Questions:</w:t>
      </w:r>
    </w:p>
    <w:p>
      <w:pPr>
        <w:pStyle w:val="ListBullet"/>
      </w:pPr>
      <w:r>
        <w:t>[ ] Core teaching staff have basic AI literacy (understanding capabilities/limitations)?</w:t>
      </w:r>
    </w:p>
    <w:p>
      <w:pPr>
        <w:pStyle w:val="ListBullet"/>
      </w:pPr>
      <w:r>
        <w:t>[ ] Subject-matter experts capable of prompt engineering specific to domain?</w:t>
      </w:r>
    </w:p>
    <w:p>
      <w:pPr>
        <w:pStyle w:val="ListBullet"/>
      </w:pPr>
      <w:r>
        <w:t>[ ] Curriculum maps identify optimal AIGC integration points?</w:t>
      </w:r>
    </w:p>
    <w:p>
      <w:pPr>
        <w:pStyle w:val="ListBullet"/>
      </w:pPr>
      <w:r>
        <w:t>[ ] Differentiation strategies already embedded in teaching practice?</w:t>
      </w:r>
    </w:p>
    <w:p>
      <w:pPr>
        <w:pStyle w:val="ListBullet"/>
      </w:pPr>
      <w:r>
        <w:t>[ ] Teachers comfortable with technology-enhanced assessment?</w:t>
      </w:r>
    </w:p>
    <w:p>
      <w:r>
        <w:rPr>
          <w:b/>
        </w:rPr>
        <w:t>Readiness Dimension 3: Governance &amp; Ethical Framework</w:t>
      </w:r>
    </w:p>
    <w:p>
      <w:r>
        <w:t>Assessment Questions:</w:t>
      </w:r>
    </w:p>
    <w:p>
      <w:pPr>
        <w:pStyle w:val="ListBullet"/>
      </w:pPr>
      <w:r>
        <w:t>[ ] Data protection and privacy protocols established?</w:t>
      </w:r>
    </w:p>
    <w:p>
      <w:pPr>
        <w:pStyle w:val="ListBullet"/>
      </w:pPr>
      <w:r>
        <w:t>[ ] Student consent processes in place?</w:t>
      </w:r>
    </w:p>
    <w:p>
      <w:pPr>
        <w:pStyle w:val="ListBullet"/>
      </w:pPr>
      <w:r>
        <w:t>[ ] Academic integrity policies address AIGC use?</w:t>
      </w:r>
    </w:p>
    <w:p>
      <w:pPr>
        <w:pStyle w:val="ListBullet"/>
      </w:pPr>
      <w:r>
        <w:t>[ ] Bias/fairness audit processes designed?</w:t>
      </w:r>
    </w:p>
    <w:p>
      <w:pPr>
        <w:pStyle w:val="ListBullet"/>
      </w:pPr>
      <w:r>
        <w:t>[ ] Equity impact assessments planned?</w:t>
      </w:r>
    </w:p>
    <w:p>
      <w:r>
        <w:rPr>
          <w:b/>
        </w:rPr>
        <w:t>Readiness Dimension 4: Organizational Culture</w:t>
      </w:r>
    </w:p>
    <w:p>
      <w:r>
        <w:t>Assessment Questions:</w:t>
      </w:r>
    </w:p>
    <w:p>
      <w:pPr>
        <w:pStyle w:val="ListBullet"/>
      </w:pPr>
      <w:r>
        <w:t>[ ] School leadership committed to change management?</w:t>
      </w:r>
    </w:p>
    <w:p>
      <w:pPr>
        <w:pStyle w:val="ListBullet"/>
      </w:pPr>
      <w:r>
        <w:t>[ ] Teachers perceive autonomy in AIGC implementation decisions?</w:t>
      </w:r>
    </w:p>
    <w:p>
      <w:pPr>
        <w:pStyle w:val="ListBullet"/>
      </w:pPr>
      <w:r>
        <w:t>[ ] Collaborative professional learning communities established?</w:t>
      </w:r>
    </w:p>
    <w:p>
      <w:pPr>
        <w:pStyle w:val="ListBullet"/>
      </w:pPr>
      <w:r>
        <w:t>[ ] Clear communication about AIGC rationale and benefits?</w:t>
      </w:r>
    </w:p>
    <w:p>
      <w:pPr>
        <w:pStyle w:val="ListBullet"/>
      </w:pPr>
      <w:r>
        <w:t>[ ] Tolerance for iterative experimentation/pilot phases?</w:t>
      </w:r>
    </w:p>
    <w:p>
      <w:r>
        <w:rPr>
          <w:b/>
        </w:rPr>
        <w:t>Readiness Dimension 5: Student Preparedness</w:t>
      </w:r>
    </w:p>
    <w:p>
      <w:r>
        <w:t>Assessment Questions:</w:t>
      </w:r>
    </w:p>
    <w:p>
      <w:pPr>
        <w:pStyle w:val="ListBullet"/>
      </w:pPr>
      <w:r>
        <w:t>[ ] Students possess foundational digital literacy?</w:t>
      </w:r>
    </w:p>
    <w:p>
      <w:pPr>
        <w:pStyle w:val="ListBullet"/>
      </w:pPr>
      <w:r>
        <w:t>[ ] Teaching of critical evaluation of AI outputs planned?</w:t>
      </w:r>
    </w:p>
    <w:p>
      <w:pPr>
        <w:pStyle w:val="ListBullet"/>
      </w:pPr>
      <w:r>
        <w:t>[ ] Expectations regarding AIGC use vs. traditional methods clarified?</w:t>
      </w:r>
    </w:p>
    <w:p>
      <w:pPr>
        <w:pStyle w:val="ListBullet"/>
      </w:pPr>
      <w:r>
        <w:t>[ ] Students understand academic integrity in AIGC context?</w:t>
      </w:r>
    </w:p>
    <w:p>
      <w:pPr>
        <w:pStyle w:val="ListBullet"/>
      </w:pPr>
      <w:r>
        <w:t>[ ] Students from underrepresented groups included in decision-making?</w:t>
      </w:r>
    </w:p>
    <w:p>
      <w:pPr>
        <w:pStyle w:val="Heading3"/>
      </w:pPr>
      <w:r>
        <w:t>VI.B. Implementation Phases: Structured Rollout Model</w:t>
      </w:r>
    </w:p>
    <w:p>
      <w:r>
        <w:t>Evidence from 30 empirical studies and practitioner experiences suggests a phased implementation approach:</w:t>
      </w:r>
    </w:p>
    <w:p>
      <w:r>
        <w:rPr>
          <w:b/>
        </w:rPr>
        <w:t>Phase 1: Pilot &amp; Experimentation (Months 1-3)</w:t>
      </w:r>
    </w:p>
    <w:p>
      <w:r>
        <w:t>Activities:</w:t>
      </w:r>
    </w:p>
    <w:p>
      <w:pPr>
        <w:pStyle w:val="ListBullet"/>
      </w:pPr>
      <w:r>
        <w:t>Form cross-functional team (teachers, IT, administrators, students)</w:t>
      </w:r>
    </w:p>
    <w:p>
      <w:pPr>
        <w:pStyle w:val="ListBullet"/>
      </w:pPr>
      <w:r>
        <w:t>Conduct small-scale experiments (1-2 classrooms per subject)</w:t>
      </w:r>
    </w:p>
    <w:p>
      <w:pPr>
        <w:pStyle w:val="ListBullet"/>
      </w:pPr>
      <w:r>
        <w:t>Test tool functionality; identify technical/pedagogical barriers</w:t>
      </w:r>
    </w:p>
    <w:p>
      <w:pPr>
        <w:pStyle w:val="ListBullet"/>
      </w:pPr>
      <w:r>
        <w:t>Gather formative feedback from pilot participants</w:t>
      </w:r>
    </w:p>
    <w:p>
      <w:pPr>
        <w:pStyle w:val="ListBullet"/>
      </w:pPr>
      <w:r>
        <w:t>Document lessons learned; iterate tool/process design</w:t>
      </w:r>
    </w:p>
    <w:p>
      <w:r>
        <w:t>Success Metrics:</w:t>
      </w:r>
    </w:p>
    <w:p>
      <w:pPr>
        <w:pStyle w:val="ListBullet"/>
      </w:pPr>
      <w:r>
        <w:t>Teacher confidence with AIGC tools increases from baseline</w:t>
      </w:r>
    </w:p>
    <w:p>
      <w:pPr>
        <w:pStyle w:val="ListBullet"/>
      </w:pPr>
      <w:r>
        <w:t>Technical issues identified and resolved</w:t>
      </w:r>
    </w:p>
    <w:p>
      <w:pPr>
        <w:pStyle w:val="ListBullet"/>
      </w:pPr>
      <w:r>
        <w:t>Student engagement measures positive</w:t>
      </w:r>
    </w:p>
    <w:p>
      <w:pPr>
        <w:pStyle w:val="ListBullet"/>
      </w:pPr>
      <w:r>
        <w:t>Equity gaps not widened in pilot groups</w:t>
      </w:r>
    </w:p>
    <w:p>
      <w:r>
        <w:rPr>
          <w:b/>
        </w:rPr>
        <w:t>Phase 2: Professional Development &amp; Capacity Building (Months 3-6)</w:t>
      </w:r>
    </w:p>
    <w:p>
      <w:r>
        <w:t>Activities:</w:t>
      </w:r>
    </w:p>
    <w:p>
      <w:pPr>
        <w:pStyle w:val="ListBullet"/>
      </w:pPr>
      <w:r>
        <w:t>Deliver tiered PD: AI literacy basics (all staff) → subject-specific prompting (teachers) → technical support (IT)</w:t>
      </w:r>
    </w:p>
    <w:p>
      <w:pPr>
        <w:pStyle w:val="ListBullet"/>
      </w:pPr>
      <w:r>
        <w:t>Establish learning communities for peer knowledge sharing</w:t>
      </w:r>
    </w:p>
    <w:p>
      <w:pPr>
        <w:pStyle w:val="ListBullet"/>
      </w:pPr>
      <w:r>
        <w:t>Develop subject-specific prompt libraries and best practices</w:t>
      </w:r>
    </w:p>
    <w:p>
      <w:pPr>
        <w:pStyle w:val="ListBullet"/>
      </w:pPr>
      <w:r>
        <w:t>Conduct bias/fairness audits of AIGC outputs</w:t>
      </w:r>
    </w:p>
    <w:p>
      <w:pPr>
        <w:pStyle w:val="ListBullet"/>
      </w:pPr>
      <w:r>
        <w:t>Create student AIGC literacy curriculum</w:t>
      </w:r>
    </w:p>
    <w:p>
      <w:r>
        <w:t>Success Metrics:</w:t>
      </w:r>
    </w:p>
    <w:p>
      <w:pPr>
        <w:pStyle w:val="ListBullet"/>
      </w:pPr>
      <w:r>
        <w:t>80%+ of teachers complete foundational AI literacy training</w:t>
      </w:r>
    </w:p>
    <w:p>
      <w:pPr>
        <w:pStyle w:val="ListBullet"/>
      </w:pPr>
      <w:r>
        <w:t>Subject-specific prompt libraries contain 50+ vetted prompts</w:t>
      </w:r>
    </w:p>
    <w:p>
      <w:pPr>
        <w:pStyle w:val="ListBullet"/>
      </w:pPr>
      <w:r>
        <w:t>Bias audits identify and document mitigation strategies</w:t>
      </w:r>
    </w:p>
    <w:p>
      <w:pPr>
        <w:pStyle w:val="ListBullet"/>
      </w:pPr>
      <w:r>
        <w:t>Student comprehension of AIGC capabilities/limitations demonstrated</w:t>
      </w:r>
    </w:p>
    <w:p>
      <w:r>
        <w:rPr>
          <w:b/>
        </w:rPr>
        <w:t>Phase 3: Scaled Implementation (Months 6-12)</w:t>
      </w:r>
    </w:p>
    <w:p>
      <w:r>
        <w:t>Activities:</w:t>
      </w:r>
    </w:p>
    <w:p>
      <w:pPr>
        <w:pStyle w:val="ListBullet"/>
      </w:pPr>
      <w:r>
        <w:t>Expand AIGC integration across multiple grades/subjects</w:t>
      </w:r>
    </w:p>
    <w:p>
      <w:pPr>
        <w:pStyle w:val="ListBullet"/>
      </w:pPr>
      <w:r>
        <w:t>Implement monitoring/evaluation systems (learning analytics, student outcomes, equity metrics)</w:t>
      </w:r>
    </w:p>
    <w:p>
      <w:pPr>
        <w:pStyle w:val="ListBullet"/>
      </w:pPr>
      <w:r>
        <w:t>Establish ongoing support structures (help desk, communities of practice)</w:t>
      </w:r>
    </w:p>
    <w:p>
      <w:pPr>
        <w:pStyle w:val="ListBullet"/>
      </w:pPr>
      <w:r>
        <w:t>Refine based on Phase 1-2 learning</w:t>
      </w:r>
    </w:p>
    <w:p>
      <w:pPr>
        <w:pStyle w:val="ListBullet"/>
      </w:pPr>
      <w:r>
        <w:t>Communication campaigns for families/stakeholders</w:t>
      </w:r>
    </w:p>
    <w:p>
      <w:r>
        <w:t>Success Metrics:</w:t>
      </w:r>
    </w:p>
    <w:p>
      <w:pPr>
        <w:pStyle w:val="ListBullet"/>
      </w:pPr>
      <w:r>
        <w:t>AIGC integrated into 50%+ of core courses</w:t>
      </w:r>
    </w:p>
    <w:p>
      <w:pPr>
        <w:pStyle w:val="ListBullet"/>
      </w:pPr>
      <w:r>
        <w:t>Learning outcome data shows no widening of equity gaps</w:t>
      </w:r>
    </w:p>
    <w:p>
      <w:pPr>
        <w:pStyle w:val="ListBullet"/>
      </w:pPr>
      <w:r>
        <w:t>Teacher confidence and capability sustain or improve</w:t>
      </w:r>
    </w:p>
    <w:p>
      <w:pPr>
        <w:pStyle w:val="ListBullet"/>
      </w:pPr>
      <w:r>
        <w:t>Family awareness/acceptance of AIGC demonstrated</w:t>
      </w:r>
    </w:p>
    <w:p>
      <w:r>
        <w:rPr>
          <w:b/>
        </w:rPr>
        <w:t>Phase 4: Continuous Improvement &amp; Scaling (Year 2+)</w:t>
      </w:r>
    </w:p>
    <w:p>
      <w:r>
        <w:t>Activities:</w:t>
      </w:r>
    </w:p>
    <w:p>
      <w:pPr>
        <w:pStyle w:val="ListBullet"/>
      </w:pPr>
      <w:r>
        <w:t>Longitudinal impact studies on student outcomes</w:t>
      </w:r>
    </w:p>
    <w:p>
      <w:pPr>
        <w:pStyle w:val="ListBullet"/>
      </w:pPr>
      <w:r>
        <w:t>Iterative refinement of AIGC tools and pedagogical approaches</w:t>
      </w:r>
    </w:p>
    <w:p>
      <w:pPr>
        <w:pStyle w:val="ListBullet"/>
      </w:pPr>
      <w:r>
        <w:t>Expansion to advanced uses (co-creative frameworks)</w:t>
      </w:r>
    </w:p>
    <w:p>
      <w:pPr>
        <w:pStyle w:val="ListBullet"/>
      </w:pPr>
      <w:r>
        <w:t>Sustainable funding models established</w:t>
      </w:r>
    </w:p>
    <w:p>
      <w:pPr>
        <w:pStyle w:val="ListBullet"/>
      </w:pPr>
      <w:r>
        <w:t>Dissemination of lessons learned to broader educational community</w:t>
      </w:r>
    </w:p>
    <w:p>
      <w:r>
        <w:t>---</w:t>
      </w:r>
    </w:p>
    <w:p>
      <w:pPr>
        <w:pStyle w:val="Heading3"/>
      </w:pPr>
      <w:r>
        <w:t>VI.C. Teacher Professional Development Framework</w:t>
      </w:r>
    </w:p>
    <w:p>
      <w:r>
        <w:t>Given that pedagogical challenges account for 34% of implementation barriers, comprehensive teacher PD is essential:</w:t>
      </w:r>
    </w:p>
    <w:p>
      <w:r>
        <w:rPr>
          <w:b/>
        </w:rPr>
        <w:t>Domain 1: AI Literacy &amp; Conceptual Understanding</w:t>
      </w:r>
    </w:p>
    <w:p>
      <w:r>
        <w:t>Content:</w:t>
      </w:r>
    </w:p>
    <w:p>
      <w:pPr>
        <w:pStyle w:val="ListBullet"/>
      </w:pPr>
      <w:r>
        <w:t>What is AI/GenAI? Capabilities and limitations</w:t>
      </w:r>
    </w:p>
    <w:p>
      <w:pPr>
        <w:pStyle w:val="ListBullet"/>
      </w:pPr>
      <w:r>
        <w:t>How do LLMs work? (intuitive explanation; not requiring computer science expertise)</w:t>
      </w:r>
    </w:p>
    <w:p>
      <w:pPr>
        <w:pStyle w:val="ListBullet"/>
      </w:pPr>
      <w:r>
        <w:t>Recognizing hallucinations, biases, inaccuracies</w:t>
      </w:r>
    </w:p>
    <w:p>
      <w:pPr>
        <w:pStyle w:val="ListBullet"/>
      </w:pPr>
      <w:r>
        <w:t>Ethical considerations: privacy, bias, labor, environmental impact</w:t>
      </w:r>
    </w:p>
    <w:p>
      <w:pPr>
        <w:pStyle w:val="ListBullet"/>
      </w:pPr>
      <w:r>
        <w:t>AIGC in society: opportunities and risks</w:t>
      </w:r>
    </w:p>
    <w:p>
      <w:r>
        <w:t>Duration: 6-8 hours; foundational for all staff</w:t>
      </w:r>
    </w:p>
    <w:p>
      <w:r>
        <w:t>Format: Blended (online modules + interactive workshops)</w:t>
      </w:r>
    </w:p>
    <w:p>
      <w:r>
        <w:t>Assessment: Knowledge checks; practical identification of AIGC limitations</w:t>
      </w:r>
    </w:p>
    <w:p>
      <w:r>
        <w:rPr>
          <w:b/>
        </w:rPr>
        <w:t>Domain 2: Subject-Specific Prompt Engineering</w:t>
      </w:r>
    </w:p>
    <w:p>
      <w:r>
        <w:t>Content:</w:t>
      </w:r>
    </w:p>
    <w:p>
      <w:pPr>
        <w:pStyle w:val="ListBullet"/>
      </w:pPr>
      <w:r>
        <w:t>Principles of effective prompting: specificity, context, examples</w:t>
      </w:r>
    </w:p>
    <w:p>
      <w:pPr>
        <w:pStyle w:val="ListBullet"/>
      </w:pPr>
      <w:r>
        <w:t>Subject-specific use cases: when/how AIGC adds pedagogical value</w:t>
      </w:r>
    </w:p>
    <w:p>
      <w:pPr>
        <w:pStyle w:val="ListBullet"/>
      </w:pPr>
      <w:r>
        <w:t>Customizing outputs to student level, learning objectives</w:t>
      </w:r>
    </w:p>
    <w:p>
      <w:pPr>
        <w:pStyle w:val="ListBullet"/>
      </w:pPr>
      <w:r>
        <w:t>Verification protocols: accuracy checking, bias assessment</w:t>
      </w:r>
    </w:p>
    <w:p>
      <w:pPr>
        <w:pStyle w:val="ListBullet"/>
      </w:pPr>
      <w:r>
        <w:t>Integration into existing lesson structures</w:t>
      </w:r>
    </w:p>
    <w:p>
      <w:r>
        <w:t>Duration: 10-12 hours per subject</w:t>
      </w:r>
    </w:p>
    <w:p>
      <w:r>
        <w:t>Format: Subject-specific workshops; peer learning communities</w:t>
      </w:r>
    </w:p>
    <w:p>
      <w:r>
        <w:t>Assessment: Portfolio of prompts; student outcomes data</w:t>
      </w:r>
    </w:p>
    <w:p>
      <w:r>
        <w:rPr>
          <w:b/>
        </w:rPr>
        <w:t>Domain 3: Pedagogical Integration &amp; Instructional Design</w:t>
      </w:r>
    </w:p>
    <w:p>
      <w:r>
        <w:t>Content:</w:t>
      </w:r>
    </w:p>
    <w:p>
      <w:pPr>
        <w:pStyle w:val="ListBullet"/>
      </w:pPr>
      <w:r>
        <w:t>Aligning AIGC use with learning objectives</w:t>
      </w:r>
    </w:p>
    <w:p>
      <w:pPr>
        <w:pStyle w:val="ListBullet"/>
      </w:pPr>
      <w:r>
        <w:t>Differentiation via AIGC; maintaining appropriate challenge levels</w:t>
      </w:r>
    </w:p>
    <w:p>
      <w:pPr>
        <w:pStyle w:val="ListBullet"/>
      </w:pPr>
      <w:r>
        <w:t>Assessment design in AIGC context (what/how to measure)</w:t>
      </w:r>
    </w:p>
    <w:p>
      <w:pPr>
        <w:pStyle w:val="ListBullet"/>
      </w:pPr>
      <w:r>
        <w:t>Maintaining human-centered pedagogy; avoiding over-reliance</w:t>
      </w:r>
    </w:p>
    <w:p>
      <w:pPr>
        <w:pStyle w:val="ListBullet"/>
      </w:pPr>
      <w:r>
        <w:t>Academic integrity in age of AIGC</w:t>
      </w:r>
    </w:p>
    <w:p>
      <w:r>
        <w:t>Duration: 8-10 hours</w:t>
      </w:r>
    </w:p>
    <w:p>
      <w:r>
        <w:t>Format: Scenario-based learning; case study analysis</w:t>
      </w:r>
    </w:p>
    <w:p>
      <w:r>
        <w:t>Assessment: Lesson plan incorporating AIGC; peer feedback</w:t>
      </w:r>
    </w:p>
    <w:p>
      <w:r>
        <w:rPr>
          <w:b/>
        </w:rPr>
        <w:t>Domain 4: Data Literacy &amp; Ethical Use</w:t>
      </w:r>
    </w:p>
    <w:p>
      <w:r>
        <w:t>Content:</w:t>
      </w:r>
    </w:p>
    <w:p>
      <w:pPr>
        <w:pStyle w:val="ListBullet"/>
      </w:pPr>
      <w:r>
        <w:t>Understanding AIGC data requirements and inputs</w:t>
      </w:r>
    </w:p>
    <w:p>
      <w:pPr>
        <w:pStyle w:val="ListBullet"/>
      </w:pPr>
      <w:r>
        <w:t>Student data privacy/protection; consent frameworks</w:t>
      </w:r>
    </w:p>
    <w:p>
      <w:pPr>
        <w:pStyle w:val="ListBullet"/>
      </w:pPr>
      <w:r>
        <w:t>Recognizing and mitigating bias in AIGC outputs</w:t>
      </w:r>
    </w:p>
    <w:p>
      <w:pPr>
        <w:pStyle w:val="ListBullet"/>
      </w:pPr>
      <w:r>
        <w:t>Transparency in AIGC use with students/families</w:t>
      </w:r>
    </w:p>
    <w:p>
      <w:pPr>
        <w:pStyle w:val="ListBullet"/>
      </w:pPr>
      <w:r>
        <w:t>Advocacy for equitable AIGC deployment</w:t>
      </w:r>
    </w:p>
    <w:p>
      <w:r>
        <w:t>Duration: 6-8 hours</w:t>
      </w:r>
    </w:p>
    <w:p>
      <w:r>
        <w:t>Format: Interactive workshops; review of case studies</w:t>
      </w:r>
    </w:p>
    <w:p>
      <w:r>
        <w:t>Assessment: Bias audit of AIGC outputs; data governance proposal</w:t>
      </w:r>
    </w:p>
    <w:p>
      <w:r>
        <w:rPr>
          <w:b/>
        </w:rPr>
        <w:t>Domain 5: Implementation &amp; Change Management</w:t>
      </w:r>
    </w:p>
    <w:p>
      <w:r>
        <w:t>Content:</w:t>
      </w:r>
    </w:p>
    <w:p>
      <w:pPr>
        <w:pStyle w:val="ListBullet"/>
      </w:pPr>
      <w:r>
        <w:t>Leading AIGC integration in own classroom</w:t>
      </w:r>
    </w:p>
    <w:p>
      <w:pPr>
        <w:pStyle w:val="ListBullet"/>
      </w:pPr>
      <w:r>
        <w:t>Troubleshooting technical/pedagogical challenges</w:t>
      </w:r>
    </w:p>
    <w:p>
      <w:pPr>
        <w:pStyle w:val="ListBullet"/>
      </w:pPr>
      <w:r>
        <w:t>Building school culture of innovation</w:t>
      </w:r>
    </w:p>
    <w:p>
      <w:pPr>
        <w:pStyle w:val="ListBullet"/>
      </w:pPr>
      <w:r>
        <w:t>Communication with families/stakeholders</w:t>
      </w:r>
    </w:p>
    <w:p>
      <w:pPr>
        <w:pStyle w:val="ListBullet"/>
      </w:pPr>
      <w:r>
        <w:t>Evaluating AIGC impact on learning outcomes</w:t>
      </w:r>
    </w:p>
    <w:p>
      <w:r>
        <w:t>Duration: 4-6 hours</w:t>
      </w:r>
    </w:p>
    <w:p>
      <w:r>
        <w:t>Format: Coaching; communities of practice</w:t>
      </w:r>
    </w:p>
    <w:p>
      <w:r>
        <w:t>Assessment: Implementation log; reflection on outcomes</w:t>
      </w:r>
    </w:p>
    <w:p>
      <w:r>
        <w:rPr>
          <w:b/>
        </w:rPr>
        <w:t>Total Professional Development Requirement</w:t>
      </w:r>
      <w:r>
        <w:t>: 34-44 hours over 6-12 months (roughly 1 hour/week equivalent)</w:t>
      </w:r>
    </w:p>
    <w:p>
      <w:r>
        <w:t>---</w:t>
      </w:r>
    </w:p>
    <w:p>
      <w:pPr>
        <w:pStyle w:val="Heading2"/>
      </w:pPr>
      <w:r>
        <w:t>VII. CHALLENGES, LIMITATIONS, AND RISK MITIGATION</w:t>
      </w:r>
    </w:p>
    <w:p>
      <w:pPr>
        <w:pStyle w:val="Heading3"/>
      </w:pPr>
      <w:r>
        <w:t>VII.A. Comprehensive Challenge Taxonomy</w:t>
      </w:r>
    </w:p>
    <w:p>
      <w:r>
        <w:t>Systematic analysis of 30 empirical studies and authoritative guidance documents identifies challenges across six interconnected domains. The distribution reveals pedagogical and implementation barriers substantially outweigh purely technical constraints.</w:t>
      </w:r>
    </w:p>
    <w:p>
      <w:r>
        <w:rPr>
          <w:b/>
        </w:rPr>
        <w:t>Challenge Category 1: Pedagogical &amp; Implementation Barriers (34% of identified challenges)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Specific Challenge</w:t>
            </w:r>
          </w:p>
        </w:tc>
        <w:tc>
          <w:tcPr>
            <w:tcW w:type="dxa" w:w="2160"/>
          </w:tcPr>
          <w:p>
            <w:r>
              <w:t>Manifestation in K-12</w:t>
            </w:r>
          </w:p>
        </w:tc>
        <w:tc>
          <w:tcPr>
            <w:tcW w:type="dxa" w:w="2160"/>
          </w:tcPr>
          <w:p>
            <w:r>
              <w:t>Risk Level</w:t>
            </w:r>
          </w:p>
        </w:tc>
        <w:tc>
          <w:tcPr>
            <w:tcW w:type="dxa" w:w="2160"/>
          </w:tcPr>
          <w:p>
            <w:r>
              <w:t>Mitigation Strategy</w:t>
            </w:r>
          </w:p>
        </w:tc>
      </w:tr>
      <w:tr>
        <w:tc>
          <w:tcPr>
            <w:tcW w:type="dxa" w:w="2160"/>
          </w:tcPr>
          <w:p>
            <w:r>
              <w:rPr>
                <w:b/>
              </w:rPr>
              <w:t>Critical thinking reduction</w:t>
            </w:r>
          </w:p>
        </w:tc>
        <w:tc>
          <w:tcPr>
            <w:tcW w:type="dxa" w:w="2160"/>
          </w:tcPr>
          <w:p>
            <w:r>
              <w:t>Over-reliance on AIGC for problem-solving without developing independent reasoning</w:t>
            </w:r>
          </w:p>
        </w:tc>
        <w:tc>
          <w:tcPr>
            <w:tcW w:type="dxa" w:w="2160"/>
          </w:tcPr>
          <w:p>
            <w:r>
              <w:t>High</w:t>
            </w:r>
          </w:p>
        </w:tc>
        <w:tc>
          <w:tcPr>
            <w:tcW w:type="dxa" w:w="2160"/>
          </w:tcPr>
          <w:p>
            <w:r>
              <w:t>Explicit teaching of critical evaluation; AIGC as thought partner, not solution provider</w:t>
            </w:r>
          </w:p>
        </w:tc>
      </w:tr>
      <w:tr>
        <w:tc>
          <w:tcPr>
            <w:tcW w:type="dxa" w:w="2160"/>
          </w:tcPr>
          <w:p>
            <w:r>
              <w:rPr>
                <w:b/>
              </w:rPr>
              <w:t>Teacher deskilling</w:t>
            </w:r>
          </w:p>
        </w:tc>
        <w:tc>
          <w:tcPr>
            <w:tcW w:type="dxa" w:w="2160"/>
          </w:tcPr>
          <w:p>
            <w:r>
              <w:t>Teachers reduce own subject expertise development; become dependent on AIGC verification</w:t>
            </w:r>
          </w:p>
        </w:tc>
        <w:tc>
          <w:tcPr>
            <w:tcW w:type="dxa" w:w="2160"/>
          </w:tcPr>
          <w:p>
            <w:r>
              <w:t>Moderate-High</w:t>
            </w:r>
          </w:p>
        </w:tc>
        <w:tc>
          <w:tcPr>
            <w:tcW w:type="dxa" w:w="2160"/>
          </w:tcPr>
          <w:p>
            <w:r>
              <w:t>Professional development emphasis on teacher agency; model verification protocols</w:t>
            </w:r>
          </w:p>
        </w:tc>
      </w:tr>
      <w:tr>
        <w:tc>
          <w:tcPr>
            <w:tcW w:type="dxa" w:w="2160"/>
          </w:tcPr>
          <w:p>
            <w:r>
              <w:rPr>
                <w:b/>
              </w:rPr>
              <w:t>Plagiarism &amp; academic integrity</w:t>
            </w:r>
          </w:p>
        </w:tc>
        <w:tc>
          <w:tcPr>
            <w:tcW w:type="dxa" w:w="2160"/>
          </w:tcPr>
          <w:p>
            <w:r>
              <w:t>Students submit AIGC output as own work; blurred authorship lines</w:t>
            </w:r>
          </w:p>
        </w:tc>
        <w:tc>
          <w:tcPr>
            <w:tcW w:type="dxa" w:w="2160"/>
          </w:tcPr>
          <w:p>
            <w:r>
              <w:t>High</w:t>
            </w:r>
          </w:p>
        </w:tc>
        <w:tc>
          <w:tcPr>
            <w:tcW w:type="dxa" w:w="2160"/>
          </w:tcPr>
          <w:p>
            <w:r>
              <w:t>Clear policies; education on academic integrity; portfolio assessment reducing plagiarism risk</w:t>
            </w:r>
          </w:p>
        </w:tc>
      </w:tr>
      <w:tr>
        <w:tc>
          <w:tcPr>
            <w:tcW w:type="dxa" w:w="2160"/>
          </w:tcPr>
          <w:p>
            <w:r>
              <w:rPr>
                <w:b/>
              </w:rPr>
              <w:t>Curriculum integration gaps</w:t>
            </w:r>
          </w:p>
        </w:tc>
        <w:tc>
          <w:tcPr>
            <w:tcW w:type="dxa" w:w="2160"/>
          </w:tcPr>
          <w:p>
            <w:r>
              <w:t>AIGC disconnected from formal curriculum; piecemeal implementation</w:t>
            </w:r>
          </w:p>
        </w:tc>
        <w:tc>
          <w:tcPr>
            <w:tcW w:type="dxa" w:w="2160"/>
          </w:tcPr>
          <w:p>
            <w:r>
              <w:t>Moderate</w:t>
            </w:r>
          </w:p>
        </w:tc>
        <w:tc>
          <w:tcPr>
            <w:tcW w:type="dxa" w:w="2160"/>
          </w:tcPr>
          <w:p>
            <w:r>
              <w:t>Systematic curriculum mapping; standards alignment; sequenced implementation</w:t>
            </w:r>
          </w:p>
        </w:tc>
      </w:tr>
      <w:tr>
        <w:tc>
          <w:tcPr>
            <w:tcW w:type="dxa" w:w="2160"/>
          </w:tcPr>
          <w:p>
            <w:r>
              <w:rPr>
                <w:b/>
              </w:rPr>
              <w:t>Reduced human interaction</w:t>
            </w:r>
          </w:p>
        </w:tc>
        <w:tc>
          <w:tcPr>
            <w:tcW w:type="dxa" w:w="2160"/>
          </w:tcPr>
          <w:p>
            <w:r>
              <w:t>Over-digitization reduces teacher-student relationship; social-emotional dimensions neglected</w:t>
            </w:r>
          </w:p>
        </w:tc>
        <w:tc>
          <w:tcPr>
            <w:tcW w:type="dxa" w:w="2160"/>
          </w:tcPr>
          <w:p>
            <w:r>
              <w:t>Moderate-High</w:t>
            </w:r>
          </w:p>
        </w:tc>
        <w:tc>
          <w:tcPr>
            <w:tcW w:type="dxa" w:w="2160"/>
          </w:tcPr>
          <w:p>
            <w:r>
              <w:t>Balance AIGC with human interaction; social-emotional learning emphasis</w:t>
            </w:r>
          </w:p>
        </w:tc>
      </w:tr>
      <w:tr>
        <w:tc>
          <w:tcPr>
            <w:tcW w:type="dxa" w:w="2160"/>
          </w:tcPr>
          <w:p>
            <w:r>
              <w:rPr>
                <w:b/>
              </w:rPr>
              <w:t>Skill attrition concerns</w:t>
            </w:r>
          </w:p>
        </w:tc>
        <w:tc>
          <w:tcPr>
            <w:tcW w:type="dxa" w:w="2160"/>
          </w:tcPr>
          <w:p>
            <w:r>
              <w:t>Students lose procedural fluency (e.g., mental math, hand calculation) if excessively scaffolded</w:t>
            </w:r>
          </w:p>
        </w:tc>
        <w:tc>
          <w:tcPr>
            <w:tcW w:type="dxa" w:w="2160"/>
          </w:tcPr>
          <w:p>
            <w:r>
              <w:t>Moderate</w:t>
            </w:r>
          </w:p>
        </w:tc>
        <w:tc>
          <w:tcPr>
            <w:tcW w:type="dxa" w:w="2160"/>
          </w:tcPr>
          <w:p>
            <w:r>
              <w:t>Explicit teaching of foundational skills; AIGC as supplement post-mastery</w:t>
            </w:r>
          </w:p>
        </w:tc>
      </w:tr>
      <w:tr>
        <w:tc>
          <w:tcPr>
            <w:tcW w:type="dxa" w:w="2160"/>
          </w:tcPr>
          <w:p>
            <w:r>
              <w:rPr>
                <w:b/>
              </w:rPr>
              <w:t>Assessment validity</w:t>
            </w:r>
          </w:p>
        </w:tc>
        <w:tc>
          <w:tcPr>
            <w:tcW w:type="dxa" w:w="2160"/>
          </w:tcPr>
          <w:p>
            <w:r>
              <w:t>Difficult to distinguish student capability from AIGC assistance in work samples</w:t>
            </w:r>
          </w:p>
        </w:tc>
        <w:tc>
          <w:tcPr>
            <w:tcW w:type="dxa" w:w="2160"/>
          </w:tcPr>
          <w:p>
            <w:r>
              <w:t>High</w:t>
            </w:r>
          </w:p>
        </w:tc>
        <w:tc>
          <w:tcPr>
            <w:tcW w:type="dxa" w:w="2160"/>
          </w:tcPr>
          <w:p>
            <w:r>
              <w:t>Diverse assessment methods; process-based assessment; oral examinations; portfolio approaches</w:t>
            </w:r>
          </w:p>
        </w:tc>
      </w:tr>
      <w:tr>
        <w:tc>
          <w:tcPr>
            <w:tcW w:type="dxa" w:w="2160"/>
          </w:tcPr>
          <w:p>
            <w:r>
              <w:rPr>
                <w:b/>
              </w:rPr>
              <w:t>Scalability of activities</w:t>
            </w:r>
          </w:p>
        </w:tc>
        <w:tc>
          <w:tcPr>
            <w:tcW w:type="dxa" w:w="2160"/>
          </w:tcPr>
          <w:p>
            <w:r>
              <w:t>Small-scale pilot activities may not be replicable at whole-school level</w:t>
            </w:r>
          </w:p>
        </w:tc>
        <w:tc>
          <w:tcPr>
            <w:tcW w:type="dxa" w:w="2160"/>
          </w:tcPr>
          <w:p>
            <w:r>
              <w:t>Moderate</w:t>
            </w:r>
          </w:p>
        </w:tc>
        <w:tc>
          <w:tcPr>
            <w:tcW w:type="dxa" w:w="2160"/>
          </w:tcPr>
          <w:p>
            <w:r>
              <w:t>Pilot scalability analysis; resource requirements documentation; sustainability planning</w:t>
            </w:r>
          </w:p>
        </w:tc>
      </w:tr>
    </w:tbl>
    <w:p>
      <w:r>
        <w:rPr>
          <w:b/>
        </w:rPr>
        <w:t>Challenge Category 2: Access &amp; Equity Barriers (19% of challenges)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Specific Challenge</w:t>
            </w:r>
          </w:p>
        </w:tc>
        <w:tc>
          <w:tcPr>
            <w:tcW w:type="dxa" w:w="2160"/>
          </w:tcPr>
          <w:p>
            <w:r>
              <w:t>Manifestation in K-12</w:t>
            </w:r>
          </w:p>
        </w:tc>
        <w:tc>
          <w:tcPr>
            <w:tcW w:type="dxa" w:w="2160"/>
          </w:tcPr>
          <w:p>
            <w:r>
              <w:t>Risk Level</w:t>
            </w:r>
          </w:p>
        </w:tc>
        <w:tc>
          <w:tcPr>
            <w:tcW w:type="dxa" w:w="2160"/>
          </w:tcPr>
          <w:p>
            <w:r>
              <w:t>Mitigation Strategy</w:t>
            </w:r>
          </w:p>
        </w:tc>
      </w:tr>
      <w:tr>
        <w:tc>
          <w:tcPr>
            <w:tcW w:type="dxa" w:w="2160"/>
          </w:tcPr>
          <w:p>
            <w:r>
              <w:rPr>
                <w:b/>
              </w:rPr>
              <w:t>Digital divide</w:t>
            </w:r>
          </w:p>
        </w:tc>
        <w:tc>
          <w:tcPr>
            <w:tcW w:type="dxa" w:w="2160"/>
          </w:tcPr>
          <w:p>
            <w:r>
              <w:t>Students without home broadband/devices cannot access AIGC outside school; unequal opportunity</w:t>
            </w:r>
          </w:p>
        </w:tc>
        <w:tc>
          <w:tcPr>
            <w:tcW w:type="dxa" w:w="2160"/>
          </w:tcPr>
          <w:p>
            <w:r>
              <w:t>High</w:t>
            </w:r>
          </w:p>
        </w:tc>
        <w:tc>
          <w:tcPr>
            <w:tcW w:type="dxa" w:w="2160"/>
          </w:tcPr>
          <w:p>
            <w:r>
              <w:t>School-based access; device lending; equity-focused pilot inclusion</w:t>
            </w:r>
          </w:p>
        </w:tc>
      </w:tr>
      <w:tr>
        <w:tc>
          <w:tcPr>
            <w:tcW w:type="dxa" w:w="2160"/>
          </w:tcPr>
          <w:p>
            <w:r>
              <w:rPr>
                <w:b/>
              </w:rPr>
              <w:t>Language barriers</w:t>
            </w:r>
          </w:p>
        </w:tc>
        <w:tc>
          <w:tcPr>
            <w:tcW w:type="dxa" w:w="2160"/>
          </w:tcPr>
          <w:p>
            <w:r>
              <w:t>AIGC models primarily English-trained; outputs in minority languages suboptimal</w:t>
            </w:r>
          </w:p>
        </w:tc>
        <w:tc>
          <w:tcPr>
            <w:tcW w:type="dxa" w:w="2160"/>
          </w:tcPr>
          <w:p>
            <w:r>
              <w:t>Moderate-High</w:t>
            </w:r>
          </w:p>
        </w:tc>
        <w:tc>
          <w:tcPr>
            <w:tcW w:type="dxa" w:w="2160"/>
          </w:tcPr>
          <w:p>
            <w:r>
              <w:t>Localization efforts; multilingual prompting; awareness of limitations</w:t>
            </w:r>
          </w:p>
        </w:tc>
      </w:tr>
      <w:tr>
        <w:tc>
          <w:tcPr>
            <w:tcW w:type="dxa" w:w="2160"/>
          </w:tcPr>
          <w:p>
            <w:r>
              <w:rPr>
                <w:b/>
              </w:rPr>
              <w:t>Disability exclusion</w:t>
            </w:r>
          </w:p>
        </w:tc>
        <w:tc>
          <w:tcPr>
            <w:tcW w:type="dxa" w:w="2160"/>
          </w:tcPr>
          <w:p>
            <w:r>
              <w:t>Text-only AIGC interfaces inaccessible to students with visual/auditory disabilities</w:t>
            </w:r>
          </w:p>
        </w:tc>
        <w:tc>
          <w:tcPr>
            <w:tcW w:type="dxa" w:w="2160"/>
          </w:tcPr>
          <w:p>
            <w:r>
              <w:t>Moderate</w:t>
            </w:r>
          </w:p>
        </w:tc>
        <w:tc>
          <w:tcPr>
            <w:tcW w:type="dxa" w:w="2160"/>
          </w:tcPr>
          <w:p>
            <w:r>
              <w:t>Multimodal AIGC (text+voice+image); universal design principles; accessibility compliance</w:t>
            </w:r>
          </w:p>
        </w:tc>
      </w:tr>
      <w:tr>
        <w:tc>
          <w:tcPr>
            <w:tcW w:type="dxa" w:w="2160"/>
          </w:tcPr>
          <w:p>
            <w:r>
              <w:rPr>
                <w:b/>
              </w:rPr>
              <w:t>Socioeconomic costs</w:t>
            </w:r>
          </w:p>
        </w:tc>
        <w:tc>
          <w:tcPr>
            <w:tcW w:type="dxa" w:w="2160"/>
          </w:tcPr>
          <w:p>
            <w:r>
              <w:t>Institutional AIGC platforms require subscription fees; prohibitive in low-income districts</w:t>
            </w:r>
          </w:p>
        </w:tc>
        <w:tc>
          <w:tcPr>
            <w:tcW w:type="dxa" w:w="2160"/>
          </w:tcPr>
          <w:p>
            <w:r>
              <w:t>High</w:t>
            </w:r>
          </w:p>
        </w:tc>
        <w:tc>
          <w:tcPr>
            <w:tcW w:type="dxa" w:w="2160"/>
          </w:tcPr>
          <w:p>
            <w:r>
              <w:t>Open-source/free tools prioritization; advocacy for equitable pricing; public funding</w:t>
            </w:r>
          </w:p>
        </w:tc>
      </w:tr>
      <w:tr>
        <w:tc>
          <w:tcPr>
            <w:tcW w:type="dxa" w:w="2160"/>
          </w:tcPr>
          <w:p>
            <w:r>
              <w:rPr>
                <w:b/>
              </w:rPr>
              <w:t>Teacher capacity disparities</w:t>
            </w:r>
          </w:p>
        </w:tc>
        <w:tc>
          <w:tcPr>
            <w:tcW w:type="dxa" w:w="2160"/>
          </w:tcPr>
          <w:p>
            <w:r>
              <w:t>High-opportunity schools attract trained teachers; under-resourced schools lag in AIGC integration</w:t>
            </w:r>
          </w:p>
        </w:tc>
        <w:tc>
          <w:tcPr>
            <w:tcW w:type="dxa" w:w="2160"/>
          </w:tcPr>
          <w:p>
            <w:r>
              <w:t>High</w:t>
            </w:r>
          </w:p>
        </w:tc>
        <w:tc>
          <w:tcPr>
            <w:tcW w:type="dxa" w:w="2160"/>
          </w:tcPr>
          <w:p>
            <w:r>
              <w:t>Targeted PD investment in under-resourced schools; incentive structures; resource allocation</w:t>
            </w:r>
          </w:p>
        </w:tc>
      </w:tr>
      <w:tr>
        <w:tc>
          <w:tcPr>
            <w:tcW w:type="dxa" w:w="2160"/>
          </w:tcPr>
          <w:p>
            <w:r>
              <w:rPr>
                <w:b/>
              </w:rPr>
              <w:t>Cultural relevance gaps</w:t>
            </w:r>
          </w:p>
        </w:tc>
        <w:tc>
          <w:tcPr>
            <w:tcW w:type="dxa" w:w="2160"/>
          </w:tcPr>
          <w:p>
            <w:r>
              <w:t>AIGC outputs reflect dominant culture; marginalize indigenous perspectives/languages</w:t>
            </w:r>
          </w:p>
        </w:tc>
        <w:tc>
          <w:tcPr>
            <w:tcW w:type="dxa" w:w="2160"/>
          </w:tcPr>
          <w:p>
            <w:r>
              <w:t>Moderate-High</w:t>
            </w:r>
          </w:p>
        </w:tc>
        <w:tc>
          <w:tcPr>
            <w:tcW w:type="dxa" w:w="2160"/>
          </w:tcPr>
          <w:p>
            <w:r>
              <w:t>Cultural responsiveness training; localized content development; community co-design</w:t>
            </w:r>
          </w:p>
        </w:tc>
      </w:tr>
    </w:tbl>
    <w:p>
      <w:r>
        <w:rPr>
          <w:b/>
        </w:rPr>
        <w:t>Challenge Category 3: Technical &amp; Infrastructure Barriers (16% of challenges)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Specific Challenge</w:t>
            </w:r>
          </w:p>
        </w:tc>
        <w:tc>
          <w:tcPr>
            <w:tcW w:type="dxa" w:w="2160"/>
          </w:tcPr>
          <w:p>
            <w:r>
              <w:t>Manifestation in K-12</w:t>
            </w:r>
          </w:p>
        </w:tc>
        <w:tc>
          <w:tcPr>
            <w:tcW w:type="dxa" w:w="2160"/>
          </w:tcPr>
          <w:p>
            <w:r>
              <w:t>Risk Level</w:t>
            </w:r>
          </w:p>
        </w:tc>
        <w:tc>
          <w:tcPr>
            <w:tcW w:type="dxa" w:w="2160"/>
          </w:tcPr>
          <w:p>
            <w:r>
              <w:t>Mitigation Strategy</w:t>
            </w:r>
          </w:p>
        </w:tc>
      </w:tr>
      <w:tr>
        <w:tc>
          <w:tcPr>
            <w:tcW w:type="dxa" w:w="2160"/>
          </w:tcPr>
          <w:p>
            <w:r>
              <w:rPr>
                <w:b/>
              </w:rPr>
              <w:t>Broadband/connectivity inadequacy</w:t>
            </w:r>
          </w:p>
        </w:tc>
        <w:tc>
          <w:tcPr>
            <w:tcW w:type="dxa" w:w="2160"/>
          </w:tcPr>
          <w:p>
            <w:r>
              <w:t>Unreliable internet; insufficient bandwidth for simultaneous AIGC cloud access</w:t>
            </w:r>
          </w:p>
        </w:tc>
        <w:tc>
          <w:tcPr>
            <w:tcW w:type="dxa" w:w="2160"/>
          </w:tcPr>
          <w:p>
            <w:r>
              <w:t>High (especially developing countries)</w:t>
            </w:r>
          </w:p>
        </w:tc>
        <w:tc>
          <w:tcPr>
            <w:tcW w:type="dxa" w:w="2160"/>
          </w:tcPr>
          <w:p>
            <w:r>
              <w:t>Infrastructure investment; offline models; asynchronous systems</w:t>
            </w:r>
          </w:p>
        </w:tc>
      </w:tr>
      <w:tr>
        <w:tc>
          <w:tcPr>
            <w:tcW w:type="dxa" w:w="2160"/>
          </w:tcPr>
          <w:p>
            <w:r>
              <w:rPr>
                <w:b/>
              </w:rPr>
              <w:t>Device/hardware limitations</w:t>
            </w:r>
          </w:p>
        </w:tc>
        <w:tc>
          <w:tcPr>
            <w:tcW w:type="dxa" w:w="2160"/>
          </w:tcPr>
          <w:p>
            <w:r>
              <w:t>Older devices slow; insufficient RAM/processing; incompatible with AIGC tools</w:t>
            </w:r>
          </w:p>
        </w:tc>
        <w:tc>
          <w:tcPr>
            <w:tcW w:type="dxa" w:w="2160"/>
          </w:tcPr>
          <w:p>
            <w:r>
              <w:t>Moderate</w:t>
            </w:r>
          </w:p>
        </w:tc>
        <w:tc>
          <w:tcPr>
            <w:tcW w:type="dxa" w:w="2160"/>
          </w:tcPr>
          <w:p>
            <w:r>
              <w:t>Device refresh programs; browser-based tools; consideration of device diversity</w:t>
            </w:r>
          </w:p>
        </w:tc>
      </w:tr>
      <w:tr>
        <w:tc>
          <w:tcPr>
            <w:tcW w:type="dxa" w:w="2160"/>
          </w:tcPr>
          <w:p>
            <w:r>
              <w:rPr>
                <w:b/>
              </w:rPr>
              <w:t>System complexity &amp; integration</w:t>
            </w:r>
          </w:p>
        </w:tc>
        <w:tc>
          <w:tcPr>
            <w:tcW w:type="dxa" w:w="2160"/>
          </w:tcPr>
          <w:p>
            <w:r>
              <w:t>AIGC tools difficult to integrate with existing LMS/school systems; fragmented workflows</w:t>
            </w:r>
          </w:p>
        </w:tc>
        <w:tc>
          <w:tcPr>
            <w:tcW w:type="dxa" w:w="2160"/>
          </w:tcPr>
          <w:p>
            <w:r>
              <w:t>Moderate</w:t>
            </w:r>
          </w:p>
        </w:tc>
        <w:tc>
          <w:tcPr>
            <w:tcW w:type="dxa" w:w="2160"/>
          </w:tcPr>
          <w:p>
            <w:r>
              <w:t>API integration; unified platforms; IT support scaling</w:t>
            </w:r>
          </w:p>
        </w:tc>
      </w:tr>
      <w:tr>
        <w:tc>
          <w:tcPr>
            <w:tcW w:type="dxa" w:w="2160"/>
          </w:tcPr>
          <w:p>
            <w:r>
              <w:rPr>
                <w:b/>
              </w:rPr>
              <w:t>Data infrastructure gaps</w:t>
            </w:r>
          </w:p>
        </w:tc>
        <w:tc>
          <w:tcPr>
            <w:tcW w:type="dxa" w:w="2160"/>
          </w:tcPr>
          <w:p>
            <w:r>
              <w:t>Servers, databases, backup systems insufficient for AIGC+learning analytics volume</w:t>
            </w:r>
          </w:p>
        </w:tc>
        <w:tc>
          <w:tcPr>
            <w:tcW w:type="dxa" w:w="2160"/>
          </w:tcPr>
          <w:p>
            <w:r>
              <w:t>Moderate</w:t>
            </w:r>
          </w:p>
        </w:tc>
        <w:tc>
          <w:tcPr>
            <w:tcW w:type="dxa" w:w="2160"/>
          </w:tcPr>
          <w:p>
            <w:r>
              <w:t>Cloud infrastructure investment; data governance policies; privacy-by-design</w:t>
            </w:r>
          </w:p>
        </w:tc>
      </w:tr>
      <w:tr>
        <w:tc>
          <w:tcPr>
            <w:tcW w:type="dxa" w:w="2160"/>
          </w:tcPr>
          <w:p>
            <w:r>
              <w:rPr>
                <w:b/>
              </w:rPr>
              <w:t>Power/electricity instability</w:t>
            </w:r>
          </w:p>
        </w:tc>
        <w:tc>
          <w:tcPr>
            <w:tcW w:type="dxa" w:w="2160"/>
          </w:tcPr>
          <w:p>
            <w:r>
              <w:t>In developing regions, unreliable power supply prevents consistent AIGC access</w:t>
            </w:r>
          </w:p>
        </w:tc>
        <w:tc>
          <w:tcPr>
            <w:tcW w:type="dxa" w:w="2160"/>
          </w:tcPr>
          <w:p>
            <w:r>
              <w:t>High (specific contexts)</w:t>
            </w:r>
          </w:p>
        </w:tc>
        <w:tc>
          <w:tcPr>
            <w:tcW w:type="dxa" w:w="2160"/>
          </w:tcPr>
          <w:p>
            <w:r>
              <w:t>Hybrid online-offline models; local deployment; renewable energy infrastructure</w:t>
            </w:r>
          </w:p>
        </w:tc>
      </w:tr>
    </w:tbl>
    <w:p>
      <w:r>
        <w:rPr>
          <w:b/>
        </w:rPr>
        <w:t>Challenge Category 4: AI System Limitations (12% of challenges)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Specific Challenge</w:t>
            </w:r>
          </w:p>
        </w:tc>
        <w:tc>
          <w:tcPr>
            <w:tcW w:type="dxa" w:w="2160"/>
          </w:tcPr>
          <w:p>
            <w:r>
              <w:t>Manifestation in K-12</w:t>
            </w:r>
          </w:p>
        </w:tc>
        <w:tc>
          <w:tcPr>
            <w:tcW w:type="dxa" w:w="2160"/>
          </w:tcPr>
          <w:p>
            <w:r>
              <w:t>Risk Level</w:t>
            </w:r>
          </w:p>
        </w:tc>
        <w:tc>
          <w:tcPr>
            <w:tcW w:type="dxa" w:w="2160"/>
          </w:tcPr>
          <w:p>
            <w:r>
              <w:t>Mitigation Strategy</w:t>
            </w:r>
          </w:p>
        </w:tc>
      </w:tr>
      <w:tr>
        <w:tc>
          <w:tcPr>
            <w:tcW w:type="dxa" w:w="2160"/>
          </w:tcPr>
          <w:p>
            <w:r>
              <w:rPr>
                <w:b/>
              </w:rPr>
              <w:t>Hallucinations &amp; inaccuracy</w:t>
            </w:r>
          </w:p>
        </w:tc>
        <w:tc>
          <w:tcPr>
            <w:tcW w:type="dxa" w:w="2160"/>
          </w:tcPr>
          <w:p>
            <w:r>
              <w:t>AIGC generates plausible-sounding but false information; factual errors in explanations</w:t>
            </w:r>
          </w:p>
        </w:tc>
        <w:tc>
          <w:tcPr>
            <w:tcW w:type="dxa" w:w="2160"/>
          </w:tcPr>
          <w:p>
            <w:r>
              <w:t>High</w:t>
            </w:r>
          </w:p>
        </w:tc>
        <w:tc>
          <w:tcPr>
            <w:tcW w:type="dxa" w:w="2160"/>
          </w:tcPr>
          <w:p>
            <w:r>
              <w:t>Teacher verification protocols; student critical evaluation training; transparency about model limitations</w:t>
            </w:r>
          </w:p>
        </w:tc>
      </w:tr>
      <w:tr>
        <w:tc>
          <w:tcPr>
            <w:tcW w:type="dxa" w:w="2160"/>
          </w:tcPr>
          <w:p>
            <w:r>
              <w:rPr>
                <w:b/>
              </w:rPr>
              <w:t>Limited response variety</w:t>
            </w:r>
          </w:p>
        </w:tc>
        <w:tc>
          <w:tcPr>
            <w:tcW w:type="dxa" w:w="2160"/>
          </w:tcPr>
          <w:p>
            <w:r>
              <w:t>Repeated prompts may generate similar responses; insufficient adaptation</w:t>
            </w:r>
          </w:p>
        </w:tc>
        <w:tc>
          <w:tcPr>
            <w:tcW w:type="dxa" w:w="2160"/>
          </w:tcPr>
          <w:p>
            <w:r>
              <w:t>Moderate</w:t>
            </w:r>
          </w:p>
        </w:tc>
        <w:tc>
          <w:tcPr>
            <w:tcW w:type="dxa" w:w="2160"/>
          </w:tcPr>
          <w:p>
            <w:r>
              <w:t>Ensemble approaches (multiple tools); human-guided variety; explicit instruction in prompt variation</w:t>
            </w:r>
          </w:p>
        </w:tc>
      </w:tr>
      <w:tr>
        <w:tc>
          <w:tcPr>
            <w:tcW w:type="dxa" w:w="2160"/>
          </w:tcPr>
          <w:p>
            <w:r>
              <w:rPr>
                <w:b/>
              </w:rPr>
              <w:t>Algorithmic transparency gaps</w:t>
            </w:r>
          </w:p>
        </w:tc>
        <w:tc>
          <w:tcPr>
            <w:tcW w:type="dxa" w:w="2160"/>
          </w:tcPr>
          <w:p>
            <w:r>
              <w:t>"Black box" nature makes it difficult to diagnose why AIGC generated particular output</w:t>
            </w:r>
          </w:p>
        </w:tc>
        <w:tc>
          <w:tcPr>
            <w:tcW w:type="dxa" w:w="2160"/>
          </w:tcPr>
          <w:p>
            <w:r>
              <w:t>Moderate-High</w:t>
            </w:r>
          </w:p>
        </w:tc>
        <w:tc>
          <w:tcPr>
            <w:tcW w:type="dxa" w:w="2160"/>
          </w:tcPr>
          <w:p>
            <w:r>
              <w:t>Explainability research; use of interpretable models where possible; documentation of limitations</w:t>
            </w:r>
          </w:p>
        </w:tc>
      </w:tr>
      <w:tr>
        <w:tc>
          <w:tcPr>
            <w:tcW w:type="dxa" w:w="2160"/>
          </w:tcPr>
          <w:p>
            <w:r>
              <w:rPr>
                <w:b/>
              </w:rPr>
              <w:t>Context insensitivity</w:t>
            </w:r>
          </w:p>
        </w:tc>
        <w:tc>
          <w:tcPr>
            <w:tcW w:type="dxa" w:w="2160"/>
          </w:tcPr>
          <w:p>
            <w:r>
              <w:t>AIGC may not capture classroom context, student disabilities, cultural nuances</w:t>
            </w:r>
          </w:p>
        </w:tc>
        <w:tc>
          <w:tcPr>
            <w:tcW w:type="dxa" w:w="2160"/>
          </w:tcPr>
          <w:p>
            <w:r>
              <w:t>Moderate-High</w:t>
            </w:r>
          </w:p>
        </w:tc>
        <w:tc>
          <w:tcPr>
            <w:tcW w:type="dxa" w:w="2160"/>
          </w:tcPr>
          <w:p>
            <w:r>
              <w:t>Teacher-in-the-loop systems; human oversight mandatory; contextual adaptation by educators</w:t>
            </w:r>
          </w:p>
        </w:tc>
      </w:tr>
      <w:tr>
        <w:tc>
          <w:tcPr>
            <w:tcW w:type="dxa" w:w="2160"/>
          </w:tcPr>
          <w:p>
            <w:r>
              <w:rPr>
                <w:b/>
              </w:rPr>
              <w:t>Bias in training data</w:t>
            </w:r>
          </w:p>
        </w:tc>
        <w:tc>
          <w:tcPr>
            <w:tcW w:type="dxa" w:w="2160"/>
          </w:tcPr>
          <w:p>
            <w:r>
              <w:t>AIGC outputs reflect biases in training data; stereotypes propagated</w:t>
            </w:r>
          </w:p>
        </w:tc>
        <w:tc>
          <w:tcPr>
            <w:tcW w:type="dxa" w:w="2160"/>
          </w:tcPr>
          <w:p>
            <w:r>
              <w:t>High</w:t>
            </w:r>
          </w:p>
        </w:tc>
        <w:tc>
          <w:tcPr>
            <w:tcW w:type="dxa" w:w="2160"/>
          </w:tcPr>
          <w:p>
            <w:r>
              <w:t>Bias audits; awareness training; diverse dataset development; mitigation prompts</w:t>
            </w:r>
          </w:p>
        </w:tc>
      </w:tr>
    </w:tbl>
    <w:p>
      <w:r>
        <w:rPr>
          <w:b/>
        </w:rPr>
        <w:t>Challenge Category 5: Data Privacy &amp; Security Concerns (9% of challenges)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Specific Challenge</w:t>
            </w:r>
          </w:p>
        </w:tc>
        <w:tc>
          <w:tcPr>
            <w:tcW w:type="dxa" w:w="2160"/>
          </w:tcPr>
          <w:p>
            <w:r>
              <w:t>Manifestation in K-12</w:t>
            </w:r>
          </w:p>
        </w:tc>
        <w:tc>
          <w:tcPr>
            <w:tcW w:type="dxa" w:w="2160"/>
          </w:tcPr>
          <w:p>
            <w:r>
              <w:t>Risk Level</w:t>
            </w:r>
          </w:p>
        </w:tc>
        <w:tc>
          <w:tcPr>
            <w:tcW w:type="dxa" w:w="2160"/>
          </w:tcPr>
          <w:p>
            <w:r>
              <w:t>Mitigation Strategy</w:t>
            </w:r>
          </w:p>
        </w:tc>
      </w:tr>
      <w:tr>
        <w:tc>
          <w:tcPr>
            <w:tcW w:type="dxa" w:w="2160"/>
          </w:tcPr>
          <w:p>
            <w:r>
              <w:rPr>
                <w:b/>
              </w:rPr>
              <w:t>Student data exploitation</w:t>
            </w:r>
          </w:p>
        </w:tc>
        <w:tc>
          <w:tcPr>
            <w:tcW w:type="dxa" w:w="2160"/>
          </w:tcPr>
          <w:p>
            <w:r>
              <w:t>Personal/learning data collected by AIGC platforms; used for training, marketing without consent</w:t>
            </w:r>
          </w:p>
        </w:tc>
        <w:tc>
          <w:tcPr>
            <w:tcW w:type="dxa" w:w="2160"/>
          </w:tcPr>
          <w:p>
            <w:r>
              <w:t>High</w:t>
            </w:r>
          </w:p>
        </w:tc>
        <w:tc>
          <w:tcPr>
            <w:tcW w:type="dxa" w:w="2160"/>
          </w:tcPr>
          <w:p>
            <w:r>
              <w:t>Strong data protection regulations; consent frameworks; data minimization; FERPA/GDPR compliance</w:t>
            </w:r>
          </w:p>
        </w:tc>
      </w:tr>
      <w:tr>
        <w:tc>
          <w:tcPr>
            <w:tcW w:type="dxa" w:w="2160"/>
          </w:tcPr>
          <w:p>
            <w:r>
              <w:rPr>
                <w:b/>
              </w:rPr>
              <w:t>Privacy breaches &amp; security risks</w:t>
            </w:r>
          </w:p>
        </w:tc>
        <w:tc>
          <w:tcPr>
            <w:tcW w:type="dxa" w:w="2160"/>
          </w:tcPr>
          <w:p>
            <w:r>
              <w:t>Inadequate encryption; vulnerabilities; unauthorized access to sensitive student information</w:t>
            </w:r>
          </w:p>
        </w:tc>
        <w:tc>
          <w:tcPr>
            <w:tcW w:type="dxa" w:w="2160"/>
          </w:tcPr>
          <w:p>
            <w:r>
              <w:t>High</w:t>
            </w:r>
          </w:p>
        </w:tc>
        <w:tc>
          <w:tcPr>
            <w:tcW w:type="dxa" w:w="2160"/>
          </w:tcPr>
          <w:p>
            <w:r>
              <w:t>Cybersecurity standards; regular audits; incident response plans; insurance coverage</w:t>
            </w:r>
          </w:p>
        </w:tc>
      </w:tr>
      <w:tr>
        <w:tc>
          <w:tcPr>
            <w:tcW w:type="dxa" w:w="2160"/>
          </w:tcPr>
          <w:p>
            <w:r>
              <w:rPr>
                <w:b/>
              </w:rPr>
              <w:t>Lack of transparency</w:t>
            </w:r>
          </w:p>
        </w:tc>
        <w:tc>
          <w:tcPr>
            <w:tcW w:type="dxa" w:w="2160"/>
          </w:tcPr>
          <w:p>
            <w:r>
              <w:t>Unclear what student data is collected, stored, used by AIGC vendors</w:t>
            </w:r>
          </w:p>
        </w:tc>
        <w:tc>
          <w:tcPr>
            <w:tcW w:type="dxa" w:w="2160"/>
          </w:tcPr>
          <w:p>
            <w:r>
              <w:t>High</w:t>
            </w:r>
          </w:p>
        </w:tc>
        <w:tc>
          <w:tcPr>
            <w:tcW w:type="dxa" w:w="2160"/>
          </w:tcPr>
          <w:p>
            <w:r>
              <w:t>Data governance policies; vendor accountability; transparency reports; student/family notification</w:t>
            </w:r>
          </w:p>
        </w:tc>
      </w:tr>
      <w:tr>
        <w:tc>
          <w:tcPr>
            <w:tcW w:type="dxa" w:w="2160"/>
          </w:tcPr>
          <w:p>
            <w:r>
              <w:rPr>
                <w:b/>
              </w:rPr>
              <w:t>Long-term data retention risks</w:t>
            </w:r>
          </w:p>
        </w:tc>
        <w:tc>
          <w:tcPr>
            <w:tcW w:type="dxa" w:w="2160"/>
          </w:tcPr>
          <w:p>
            <w:r>
              <w:t>Student data retained longer than educationally necessary; unclear deletion policies</w:t>
            </w:r>
          </w:p>
        </w:tc>
        <w:tc>
          <w:tcPr>
            <w:tcW w:type="dxa" w:w="2160"/>
          </w:tcPr>
          <w:p>
            <w:r>
              <w:t>Moderate-High</w:t>
            </w:r>
          </w:p>
        </w:tc>
        <w:tc>
          <w:tcPr>
            <w:tcW w:type="dxa" w:w="2160"/>
          </w:tcPr>
          <w:p>
            <w:r>
              <w:t>Data retention schedules; secure deletion protocols; regular audits</w:t>
            </w:r>
          </w:p>
        </w:tc>
      </w:tr>
    </w:tbl>
    <w:p>
      <w:r>
        <w:rPr>
          <w:b/>
        </w:rPr>
        <w:t>Challenge Category 6: Methodological Research Limitations (9% of challenges)</w:t>
      </w:r>
      <w:r>
        <w:t xml:space="preserve"> </w:t>
      </w:r>
      <w:r>
        <w:rPr>
          <w:i/>
        </w:rPr>
        <w:t>[Note: Pertains to evidence base, not direct K-12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t>Limitation</w:t>
            </w:r>
          </w:p>
        </w:tc>
        <w:tc>
          <w:tcPr>
            <w:tcW w:type="dxa" w:w="2880"/>
          </w:tcPr>
          <w:p>
            <w:r>
              <w:t>Impact on AIGC Policy/Practice</w:t>
            </w:r>
          </w:p>
        </w:tc>
        <w:tc>
          <w:tcPr>
            <w:tcW w:type="dxa" w:w="2880"/>
          </w:tcPr>
          <w:p>
            <w:r>
              <w:t>Mitigation</w:t>
            </w:r>
          </w:p>
        </w:tc>
      </w:tr>
      <w:tr>
        <w:tc>
          <w:tcPr>
            <w:tcW w:type="dxa" w:w="2880"/>
          </w:tcPr>
          <w:p>
            <w:r>
              <w:t>Small sample sizes (avg. N=120 across 30 studies)</w:t>
            </w:r>
          </w:p>
        </w:tc>
        <w:tc>
          <w:tcPr>
            <w:tcW w:type="dxa" w:w="2880"/>
          </w:tcPr>
          <w:p>
            <w:r>
              <w:t>Findings may not generalize to diverse contexts</w:t>
            </w:r>
          </w:p>
        </w:tc>
        <w:tc>
          <w:tcPr>
            <w:tcW w:type="dxa" w:w="2880"/>
          </w:tcPr>
          <w:p>
            <w:r>
              <w:t>Larger-scale RCTs; diverse geographic representation</w:t>
            </w:r>
          </w:p>
        </w:tc>
      </w:tr>
      <w:tr>
        <w:tc>
          <w:tcPr>
            <w:tcW w:type="dxa" w:w="2880"/>
          </w:tcPr>
          <w:p>
            <w:r>
              <w:t>Short study duration (mostly &lt;6 months)</w:t>
            </w:r>
          </w:p>
        </w:tc>
        <w:tc>
          <w:tcPr>
            <w:tcW w:type="dxa" w:w="2880"/>
          </w:tcPr>
          <w:p>
            <w:r>
              <w:t>Long-term impacts unknown; sustainability unclear</w:t>
            </w:r>
          </w:p>
        </w:tc>
        <w:tc>
          <w:tcPr>
            <w:tcW w:type="dxa" w:w="2880"/>
          </w:tcPr>
          <w:p>
            <w:r>
              <w:t>Longitudinal studies; multi-year tracking</w:t>
            </w:r>
          </w:p>
        </w:tc>
      </w:tr>
      <w:tr>
        <w:tc>
          <w:tcPr>
            <w:tcW w:type="dxa" w:w="2880"/>
          </w:tcPr>
          <w:p>
            <w:r>
              <w:t>Self-reported outcome measures (psychology scales, surveys)</w:t>
            </w:r>
          </w:p>
        </w:tc>
        <w:tc>
          <w:tcPr>
            <w:tcW w:type="dxa" w:w="2880"/>
          </w:tcPr>
          <w:p>
            <w:r>
              <w:t>Biased by social desirability; may not reflect actual learning</w:t>
            </w:r>
          </w:p>
        </w:tc>
        <w:tc>
          <w:tcPr>
            <w:tcW w:type="dxa" w:w="2880"/>
          </w:tcPr>
          <w:p>
            <w:r>
              <w:t>Objective measures (standardized tests, performance assessments); triangulation</w:t>
            </w:r>
          </w:p>
        </w:tc>
      </w:tr>
      <w:tr>
        <w:tc>
          <w:tcPr>
            <w:tcW w:type="dxa" w:w="2880"/>
          </w:tcPr>
          <w:p>
            <w:r>
              <w:t>Quasi-experimental designs (30% of studies)</w:t>
            </w:r>
          </w:p>
        </w:tc>
        <w:tc>
          <w:tcPr>
            <w:tcW w:type="dxa" w:w="2880"/>
          </w:tcPr>
          <w:p>
            <w:r>
              <w:t>Causal claims limited; selection bias possible</w:t>
            </w:r>
          </w:p>
        </w:tc>
        <w:tc>
          <w:tcPr>
            <w:tcW w:type="dxa" w:w="2880"/>
          </w:tcPr>
          <w:p>
            <w:r>
              <w:t>True experimental designs; randomization where ethical</w:t>
            </w:r>
          </w:p>
        </w:tc>
      </w:tr>
      <w:tr>
        <w:tc>
          <w:tcPr>
            <w:tcW w:type="dxa" w:w="2880"/>
          </w:tcPr>
          <w:p>
            <w:r>
              <w:t>Geographic concentration (Taiwan/China 4 studies each; no Africa)</w:t>
            </w:r>
          </w:p>
        </w:tc>
        <w:tc>
          <w:tcPr>
            <w:tcW w:type="dxa" w:w="2880"/>
          </w:tcPr>
          <w:p>
            <w:r>
              <w:t>Applicability to diverse contexts questionable</w:t>
            </w:r>
          </w:p>
        </w:tc>
        <w:tc>
          <w:tcPr>
            <w:tcW w:type="dxa" w:w="2880"/>
          </w:tcPr>
          <w:p>
            <w:r>
              <w:t>Expanded geographic diversity; culturally-adapted implementations</w:t>
            </w:r>
          </w:p>
        </w:tc>
      </w:tr>
    </w:tbl>
    <w:p>
      <w:pPr>
        <w:pStyle w:val="Heading3"/>
      </w:pPr>
      <w:r>
        <w:t>VII.B. Risk Mitigation Framework</w:t>
      </w:r>
    </w:p>
    <w:p>
      <w:r>
        <w:t>Effective AIGC implementation requires proactive risk mitigation aligned to identified challenge categories:</w:t>
      </w:r>
    </w:p>
    <w:p>
      <w:r>
        <w:rPr>
          <w:b/>
        </w:rPr>
        <w:t>Mitigation Level 1: Governance &amp; Policy</w:t>
      </w:r>
    </w:p>
    <w:p>
      <w:r>
        <w:t>Recommended Actions:</w:t>
      </w:r>
    </w:p>
    <w:p>
      <w:pPr>
        <w:pStyle w:val="ListBullet"/>
      </w:pPr>
      <w:r>
        <w:t>Establish AIGC governance committee (educators, IT, administrators, community members)</w:t>
      </w:r>
    </w:p>
    <w:p>
      <w:pPr>
        <w:pStyle w:val="ListBullet"/>
      </w:pPr>
      <w:r>
        <w:t>Develop institutional AIGC use policies addressing: privacy, academic integrity, equity, transparency</w:t>
      </w:r>
    </w:p>
    <w:p>
      <w:pPr>
        <w:pStyle w:val="ListBullet"/>
      </w:pPr>
      <w:r>
        <w:t>Create data protection frameworks exceeding regulatory minimums</w:t>
      </w:r>
    </w:p>
    <w:p>
      <w:pPr>
        <w:pStyle w:val="ListBullet"/>
      </w:pPr>
      <w:r>
        <w:t>Implement bias/fairness audit processes for AIGC tools</w:t>
      </w:r>
    </w:p>
    <w:p>
      <w:pPr>
        <w:pStyle w:val="ListBullet"/>
      </w:pPr>
      <w:r>
        <w:t>Establish transparent vendor accountability mechanisms</w:t>
      </w:r>
    </w:p>
    <w:p>
      <w:r>
        <w:t>Timeline: Pre-implementation; ongoing review</w:t>
      </w:r>
    </w:p>
    <w:p>
      <w:r>
        <w:rPr>
          <w:b/>
        </w:rPr>
        <w:t>Mitigation Level 2: Technical &amp; Infrastructure</w:t>
      </w:r>
    </w:p>
    <w:p>
      <w:r>
        <w:t>Recommended Actions:</w:t>
      </w:r>
    </w:p>
    <w:p>
      <w:pPr>
        <w:pStyle w:val="ListBullet"/>
      </w:pPr>
      <w:r>
        <w:t>Conduct infrastructure audit; identify connectivity/device gaps</w:t>
      </w:r>
    </w:p>
    <w:p>
      <w:pPr>
        <w:pStyle w:val="ListBullet"/>
      </w:pPr>
      <w:r>
        <w:t>Prioritize equitable access; ensure all students can participate</w:t>
      </w:r>
    </w:p>
    <w:p>
      <w:pPr>
        <w:pStyle w:val="ListBullet"/>
      </w:pPr>
      <w:r>
        <w:t>Implement robust data security measures (encryption, firewalls, regular updates)</w:t>
      </w:r>
    </w:p>
    <w:p>
      <w:pPr>
        <w:pStyle w:val="ListBullet"/>
      </w:pPr>
      <w:r>
        <w:t>Design systems for graceful degradation (offline alternatives when connectivity fails)</w:t>
      </w:r>
    </w:p>
    <w:p>
      <w:pPr>
        <w:pStyle w:val="ListBullet"/>
      </w:pPr>
      <w:r>
        <w:t>Establish technical support structures</w:t>
      </w:r>
    </w:p>
    <w:p>
      <w:r>
        <w:t>Timeline: Months 1-3 (pilot phase); ongoing maintenance</w:t>
      </w:r>
    </w:p>
    <w:p>
      <w:r>
        <w:rPr>
          <w:b/>
        </w:rPr>
        <w:t>Mitigation Level 3: Pedagogical &amp; Professional Development</w:t>
      </w:r>
    </w:p>
    <w:p>
      <w:r>
        <w:t>Recommended Actions:</w:t>
      </w:r>
    </w:p>
    <w:p>
      <w:pPr>
        <w:pStyle w:val="ListBullet"/>
      </w:pPr>
      <w:r>
        <w:t>Comprehensive teacher PD (44+ hours) addressing AI literacy, subject-specific prompting, pedagogy, ethics</w:t>
      </w:r>
    </w:p>
    <w:p>
      <w:pPr>
        <w:pStyle w:val="ListBullet"/>
      </w:pPr>
      <w:r>
        <w:t>Establish ongoing learning communities; peer coaching; reflective practice</w:t>
      </w:r>
    </w:p>
    <w:p>
      <w:pPr>
        <w:pStyle w:val="ListBullet"/>
      </w:pPr>
      <w:r>
        <w:t>Develop curriculum integration guides; standards-aligned AIGC use cases</w:t>
      </w:r>
    </w:p>
    <w:p>
      <w:pPr>
        <w:pStyle w:val="ListBullet"/>
      </w:pPr>
      <w:r>
        <w:t>Create student AI literacy curriculum; critical evaluation of AIGC outputs</w:t>
      </w:r>
    </w:p>
    <w:p>
      <w:pPr>
        <w:pStyle w:val="ListBullet"/>
      </w:pPr>
      <w:r>
        <w:t>Implement portfolio assessment; process-based evaluation reducing plagiarism incentives</w:t>
      </w:r>
    </w:p>
    <w:p>
      <w:r>
        <w:t>Timeline: Months 3-6 (before scaled implementation); ongoing</w:t>
      </w:r>
    </w:p>
    <w:p>
      <w:r>
        <w:rPr>
          <w:b/>
        </w:rPr>
        <w:t>Mitigation Level 4: Monitoring &amp; Evaluation</w:t>
      </w:r>
    </w:p>
    <w:p>
      <w:r>
        <w:t>Recommended Actions:</w:t>
      </w:r>
    </w:p>
    <w:p>
      <w:pPr>
        <w:pStyle w:val="ListBullet"/>
      </w:pPr>
      <w:r>
        <w:t>Implement learning analytics tracking student outcomes (achievement, engagement, attendance, discipline)</w:t>
      </w:r>
    </w:p>
    <w:p>
      <w:pPr>
        <w:pStyle w:val="ListBullet"/>
      </w:pPr>
      <w:r>
        <w:t>Disaggregate data by demographic groups; monitor equity gaps</w:t>
      </w:r>
    </w:p>
    <w:p>
      <w:pPr>
        <w:pStyle w:val="ListBullet"/>
      </w:pPr>
      <w:r>
        <w:t>Conduct regular surveys: teacher efficacy, student perceptions, family attitudes</w:t>
      </w:r>
    </w:p>
    <w:p>
      <w:pPr>
        <w:pStyle w:val="ListBullet"/>
      </w:pPr>
      <w:r>
        <w:t>Qualitative assessment: classroom observations; student/teacher interviews</w:t>
      </w:r>
    </w:p>
    <w:p>
      <w:pPr>
        <w:pStyle w:val="ListBullet"/>
      </w:pPr>
      <w:r>
        <w:t>Publish transparent reports; communicate findings to stakeholders</w:t>
      </w:r>
    </w:p>
    <w:p>
      <w:r>
        <w:t>Timeline: Baseline established month 3; ongoing collection; reporting quarterly minimum</w:t>
      </w:r>
    </w:p>
    <w:p>
      <w:r>
        <w:rPr>
          <w:b/>
        </w:rPr>
        <w:t>Mitigation Level 5: Family &amp; Community Engagement</w:t>
      </w:r>
    </w:p>
    <w:p>
      <w:r>
        <w:t>Recommended Actions:</w:t>
      </w:r>
    </w:p>
    <w:p>
      <w:pPr>
        <w:pStyle w:val="ListBullet"/>
      </w:pPr>
      <w:r>
        <w:t>Transparent communication about AIGC rationale, uses, risks</w:t>
      </w:r>
    </w:p>
    <w:p>
      <w:pPr>
        <w:pStyle w:val="ListBullet"/>
      </w:pPr>
      <w:r>
        <w:t>Family education on AIGC; address misconceptions</w:t>
      </w:r>
    </w:p>
    <w:p>
      <w:pPr>
        <w:pStyle w:val="ListBullet"/>
      </w:pPr>
      <w:r>
        <w:t>Student/family consent processes; regular opt-out opportunities</w:t>
      </w:r>
    </w:p>
    <w:p>
      <w:pPr>
        <w:pStyle w:val="ListBullet"/>
      </w:pPr>
      <w:r>
        <w:t>Community input on AIGC integration decisions</w:t>
      </w:r>
    </w:p>
    <w:p>
      <w:pPr>
        <w:pStyle w:val="ListBullet"/>
      </w:pPr>
      <w:r>
        <w:t>Multilingual, accessible communication</w:t>
      </w:r>
    </w:p>
    <w:p>
      <w:r>
        <w:t>Timeline: Concurrent with rollout; sustained engagement</w:t>
      </w:r>
    </w:p>
    <w:p>
      <w:r>
        <w:t>---</w:t>
      </w:r>
    </w:p>
    <w:p>
      <w:pPr>
        <w:pStyle w:val="Heading2"/>
      </w:pPr>
      <w:r>
        <w:t>VIII. COMPETENCY FRAMEWORK FOR K-12 EDUCATORS IN AIGC CONTEXT</w:t>
      </w:r>
    </w:p>
    <w:p>
      <w:pPr>
        <w:pStyle w:val="Heading3"/>
      </w:pPr>
      <w:r>
        <w:t>VIII.A. Essential Knowledge Domains</w:t>
      </w:r>
    </w:p>
    <w:p>
      <w:r>
        <w:t>Systematic analysis of authoritative frameworks (UNESCO, OECD, EC AI Literacy Framework) and empirical research identifies 15 interconnected competency domains essential for K-12 educators implementing AIGC: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Definition</w:t>
            </w:r>
          </w:p>
        </w:tc>
        <w:tc>
          <w:tcPr>
            <w:tcW w:type="dxa" w:w="2160"/>
          </w:tcPr>
          <w:p>
            <w:r>
              <w:t>Core Competencies</w:t>
            </w:r>
          </w:p>
        </w:tc>
        <w:tc>
          <w:tcPr>
            <w:tcW w:type="dxa" w:w="2160"/>
          </w:tcPr>
          <w:p>
            <w:r>
              <w:t>Assessment Methods</w:t>
            </w:r>
          </w:p>
        </w:tc>
      </w:tr>
      <w:tr>
        <w:tc>
          <w:tcPr>
            <w:tcW w:type="dxa" w:w="2160"/>
          </w:tcPr>
          <w:p>
            <w:r>
              <w:rPr>
                <w:b/>
              </w:rPr>
              <w:t>1. AI Conceptual Literacy</w:t>
            </w:r>
          </w:p>
        </w:tc>
        <w:tc>
          <w:tcPr>
            <w:tcW w:type="dxa" w:w="2160"/>
          </w:tcPr>
          <w:p>
            <w:r>
              <w:t>Understanding AI/GenAI fundamentals, capabilities, limitations</w:t>
            </w:r>
          </w:p>
        </w:tc>
        <w:tc>
          <w:tcPr>
            <w:tcW w:type="dxa" w:w="2160"/>
          </w:tcPr>
          <w:p>
            <w:r>
              <w:t>Explain how LLMs work (intuitive level); identify hallucinations; recognize bias</w:t>
            </w:r>
          </w:p>
        </w:tc>
        <w:tc>
          <w:tcPr>
            <w:tcW w:type="dxa" w:w="2160"/>
          </w:tcPr>
          <w:p>
            <w:r>
              <w:t>Scenario-based assessment; knowledge tests</w:t>
            </w:r>
          </w:p>
        </w:tc>
      </w:tr>
      <w:tr>
        <w:tc>
          <w:tcPr>
            <w:tcW w:type="dxa" w:w="2160"/>
          </w:tcPr>
          <w:p>
            <w:r>
              <w:rPr>
                <w:b/>
              </w:rPr>
              <w:t>2. Subject-Specific Domain Expertise</w:t>
            </w:r>
          </w:p>
        </w:tc>
        <w:tc>
          <w:tcPr>
            <w:tcW w:type="dxa" w:w="2160"/>
          </w:tcPr>
          <w:p>
            <w:r>
              <w:t>Deep knowledge of content being taught</w:t>
            </w:r>
          </w:p>
        </w:tc>
        <w:tc>
          <w:tcPr>
            <w:tcW w:type="dxa" w:w="2160"/>
          </w:tcPr>
          <w:p>
            <w:r>
              <w:t>Verify AIGC accuracy in subject domain; identify inappropriate simplifications</w:t>
            </w:r>
          </w:p>
        </w:tc>
        <w:tc>
          <w:tcPr>
            <w:tcW w:type="dxa" w:w="2160"/>
          </w:tcPr>
          <w:p>
            <w:r>
              <w:t>Expert review; peer assessment; student outcome data</w:t>
            </w:r>
          </w:p>
        </w:tc>
      </w:tr>
      <w:tr>
        <w:tc>
          <w:tcPr>
            <w:tcW w:type="dxa" w:w="2160"/>
          </w:tcPr>
          <w:p>
            <w:r>
              <w:rPr>
                <w:b/>
              </w:rPr>
              <w:t>3. Prompt Engineering &amp; Tool Customization</w:t>
            </w:r>
          </w:p>
        </w:tc>
        <w:tc>
          <w:tcPr>
            <w:tcW w:type="dxa" w:w="2160"/>
          </w:tcPr>
          <w:p>
            <w:r>
              <w:t>Craft effective prompts; customize AIGC outputs to learner needs</w:t>
            </w:r>
          </w:p>
        </w:tc>
        <w:tc>
          <w:tcPr>
            <w:tcW w:type="dxa" w:w="2160"/>
          </w:tcPr>
          <w:p>
            <w:r>
              <w:t>Generate prompts for learning objectives; iterate based on student response; troubleshoot tool functionality</w:t>
            </w:r>
          </w:p>
        </w:tc>
        <w:tc>
          <w:tcPr>
            <w:tcW w:type="dxa" w:w="2160"/>
          </w:tcPr>
          <w:p>
            <w:r>
              <w:t>Portfolio of prompts; peer evaluation; student feedback</w:t>
            </w:r>
          </w:p>
        </w:tc>
      </w:tr>
      <w:tr>
        <w:tc>
          <w:tcPr>
            <w:tcW w:type="dxa" w:w="2160"/>
          </w:tcPr>
          <w:p>
            <w:r>
              <w:rPr>
                <w:b/>
              </w:rPr>
              <w:t>4. Pedagogical Integration</w:t>
            </w:r>
          </w:p>
        </w:tc>
        <w:tc>
          <w:tcPr>
            <w:tcW w:type="dxa" w:w="2160"/>
          </w:tcPr>
          <w:p>
            <w:r>
              <w:t>Align AIGC use with learning theory; avoid over-reliance</w:t>
            </w:r>
          </w:p>
        </w:tc>
        <w:tc>
          <w:tcPr>
            <w:tcW w:type="dxa" w:w="2160"/>
          </w:tcPr>
          <w:p>
            <w:r>
              <w:t>Design lesson incorporating AIGC where it adds value; maintain student agency; support differentiation</w:t>
            </w:r>
          </w:p>
        </w:tc>
        <w:tc>
          <w:tcPr>
            <w:tcW w:type="dxa" w:w="2160"/>
          </w:tcPr>
          <w:p>
            <w:r>
              <w:t>Lesson plan review; classroom observation rubrics</w:t>
            </w:r>
          </w:p>
        </w:tc>
      </w:tr>
      <w:tr>
        <w:tc>
          <w:tcPr>
            <w:tcW w:type="dxa" w:w="2160"/>
          </w:tcPr>
          <w:p>
            <w:r>
              <w:rPr>
                <w:b/>
              </w:rPr>
              <w:t>5. Assessment &amp; Evaluation Redesign</w:t>
            </w:r>
          </w:p>
        </w:tc>
        <w:tc>
          <w:tcPr>
            <w:tcW w:type="dxa" w:w="2160"/>
          </w:tcPr>
          <w:p>
            <w:r>
              <w:t>Create valid assessments distinguishing student from AIGC contribution</w:t>
            </w:r>
          </w:p>
        </w:tc>
        <w:tc>
          <w:tcPr>
            <w:tcW w:type="dxa" w:w="2160"/>
          </w:tcPr>
          <w:p>
            <w:r>
              <w:t>Design portfolios, performance tasks, oral assessments; use formative assessment effectively</w:t>
            </w:r>
          </w:p>
        </w:tc>
        <w:tc>
          <w:tcPr>
            <w:tcW w:type="dxa" w:w="2160"/>
          </w:tcPr>
          <w:p>
            <w:r>
              <w:t>Assessment design review; student outcome alignment</w:t>
            </w:r>
          </w:p>
        </w:tc>
      </w:tr>
      <w:tr>
        <w:tc>
          <w:tcPr>
            <w:tcW w:type="dxa" w:w="2160"/>
          </w:tcPr>
          <w:p>
            <w:r>
              <w:rPr>
                <w:b/>
              </w:rPr>
              <w:t>6. Data Literacy</w:t>
            </w:r>
          </w:p>
        </w:tc>
        <w:tc>
          <w:tcPr>
            <w:tcW w:type="dxa" w:w="2160"/>
          </w:tcPr>
          <w:p>
            <w:r>
              <w:t>Understand AIGC data inputs, learning analytics, student privacy implications</w:t>
            </w:r>
          </w:p>
        </w:tc>
        <w:tc>
          <w:tcPr>
            <w:tcW w:type="dxa" w:w="2160"/>
          </w:tcPr>
          <w:p>
            <w:r>
              <w:t>Interpret learning analytics dashboards; understand data sources; implement privacy protections</w:t>
            </w:r>
          </w:p>
        </w:tc>
        <w:tc>
          <w:tcPr>
            <w:tcW w:type="dxa" w:w="2160"/>
          </w:tcPr>
          <w:p>
            <w:r>
              <w:t>Data governance competency assessment; privacy policy development</w:t>
            </w:r>
          </w:p>
        </w:tc>
      </w:tr>
      <w:tr>
        <w:tc>
          <w:tcPr>
            <w:tcW w:type="dxa" w:w="2160"/>
          </w:tcPr>
          <w:p>
            <w:r>
              <w:rPr>
                <w:b/>
              </w:rPr>
              <w:t>7. Equity &amp; Inclusion Design</w:t>
            </w:r>
          </w:p>
        </w:tc>
        <w:tc>
          <w:tcPr>
            <w:tcW w:type="dxa" w:w="2160"/>
          </w:tcPr>
          <w:p>
            <w:r>
              <w:t>Ensure AIGC benefits all learners; identify/mitigate access/bias barriers</w:t>
            </w:r>
          </w:p>
        </w:tc>
        <w:tc>
          <w:tcPr>
            <w:tcW w:type="dxa" w:w="2160"/>
          </w:tcPr>
          <w:p>
            <w:r>
              <w:t>Conduct equity analysis; design culturally responsive prompts; support students with disabilities</w:t>
            </w:r>
          </w:p>
        </w:tc>
        <w:tc>
          <w:tcPr>
            <w:tcW w:type="dxa" w:w="2160"/>
          </w:tcPr>
          <w:p>
            <w:r>
              <w:t>Equity impact assessment; disaggregated data review; student feedback from marginalized groups</w:t>
            </w:r>
          </w:p>
        </w:tc>
      </w:tr>
      <w:tr>
        <w:tc>
          <w:tcPr>
            <w:tcW w:type="dxa" w:w="2160"/>
          </w:tcPr>
          <w:p>
            <w:r>
              <w:rPr>
                <w:b/>
              </w:rPr>
              <w:t>8. Ethics &amp; Bias Awareness</w:t>
            </w:r>
          </w:p>
        </w:tc>
        <w:tc>
          <w:tcPr>
            <w:tcW w:type="dxa" w:w="2160"/>
          </w:tcPr>
          <w:p>
            <w:r>
              <w:t>Recognize ethical dimensions; audit AIGC for bias</w:t>
            </w:r>
          </w:p>
        </w:tc>
        <w:tc>
          <w:tcPr>
            <w:tcW w:type="dxa" w:w="2160"/>
          </w:tcPr>
          <w:p>
            <w:r>
              <w:t>Identify algorithmic bias in outputs; understand labor implications; evaluate ethical trade-offs</w:t>
            </w:r>
          </w:p>
        </w:tc>
        <w:tc>
          <w:tcPr>
            <w:tcW w:type="dxa" w:w="2160"/>
          </w:tcPr>
          <w:p>
            <w:r>
              <w:t>Bias audit exercises; case study analysis; reflection on ethical dilemmas</w:t>
            </w:r>
          </w:p>
        </w:tc>
      </w:tr>
      <w:tr>
        <w:tc>
          <w:tcPr>
            <w:tcW w:type="dxa" w:w="2160"/>
          </w:tcPr>
          <w:p>
            <w:r>
              <w:rPr>
                <w:b/>
              </w:rPr>
              <w:t>9. Critical Thinking &amp; Meta-Cognition</w:t>
            </w:r>
          </w:p>
        </w:tc>
        <w:tc>
          <w:tcPr>
            <w:tcW w:type="dxa" w:w="2160"/>
          </w:tcPr>
          <w:p>
            <w:r>
              <w:t>Model and teach critical evaluation of AIGC outputs; reflect on own thinking processes</w:t>
            </w:r>
          </w:p>
        </w:tc>
        <w:tc>
          <w:tcPr>
            <w:tcW w:type="dxa" w:w="2160"/>
          </w:tcPr>
          <w:p>
            <w:r>
              <w:t>Demonstrate skepticism toward AIGC output; ask probing questions; encourage student questioning</w:t>
            </w:r>
          </w:p>
        </w:tc>
        <w:tc>
          <w:tcPr>
            <w:tcW w:type="dxa" w:w="2160"/>
          </w:tcPr>
          <w:p>
            <w:r>
              <w:t>Observation of classroom dialogue; student demonstration of critical evaluation</w:t>
            </w:r>
          </w:p>
        </w:tc>
      </w:tr>
      <w:tr>
        <w:tc>
          <w:tcPr>
            <w:tcW w:type="dxa" w:w="2160"/>
          </w:tcPr>
          <w:p>
            <w:r>
              <w:rPr>
                <w:b/>
              </w:rPr>
              <w:t>10. Communication &amp; Collaboration</w:t>
            </w:r>
          </w:p>
        </w:tc>
        <w:tc>
          <w:tcPr>
            <w:tcW w:type="dxa" w:w="2160"/>
          </w:tcPr>
          <w:p>
            <w:r>
              <w:t>Communicate AIGC rationale to families; collaborate with peers/IT staff</w:t>
            </w:r>
          </w:p>
        </w:tc>
        <w:tc>
          <w:tcPr>
            <w:tcW w:type="dxa" w:w="2160"/>
          </w:tcPr>
          <w:p>
            <w:r>
              <w:t>Explain AIGC to non-expert audiences; co-design curriculum with colleagues; liaise with IT</w:t>
            </w:r>
          </w:p>
        </w:tc>
        <w:tc>
          <w:tcPr>
            <w:tcW w:type="dxa" w:w="2160"/>
          </w:tcPr>
          <w:p>
            <w:r>
              <w:t>Family feedback surveys; peer collaboration logs; interdisciplinary project documentation</w:t>
            </w:r>
          </w:p>
        </w:tc>
      </w:tr>
      <w:tr>
        <w:tc>
          <w:tcPr>
            <w:tcW w:type="dxa" w:w="2160"/>
          </w:tcPr>
          <w:p>
            <w:r>
              <w:rPr>
                <w:b/>
              </w:rPr>
              <w:t>11. Growth Mindset &amp; Adaptability</w:t>
            </w:r>
          </w:p>
        </w:tc>
        <w:tc>
          <w:tcPr>
            <w:tcW w:type="dxa" w:w="2160"/>
          </w:tcPr>
          <w:p>
            <w:r>
              <w:t>Embrace continuous learning; adapt to evolving AIGC landscape</w:t>
            </w:r>
          </w:p>
        </w:tc>
        <w:tc>
          <w:tcPr>
            <w:tcW w:type="dxa" w:w="2160"/>
          </w:tcPr>
          <w:p>
            <w:r>
              <w:t>Experiment with new tools; learn from implementation challenges; iterate on practice</w:t>
            </w:r>
          </w:p>
        </w:tc>
        <w:tc>
          <w:tcPr>
            <w:tcW w:type="dxa" w:w="2160"/>
          </w:tcPr>
          <w:p>
            <w:r>
              <w:t>Reflection journals; participation in professional learning communities; implementation logs</w:t>
            </w:r>
          </w:p>
        </w:tc>
      </w:tr>
      <w:tr>
        <w:tc>
          <w:tcPr>
            <w:tcW w:type="dxa" w:w="2160"/>
          </w:tcPr>
          <w:p>
            <w:r>
              <w:rPr>
                <w:b/>
              </w:rPr>
              <w:t>12. Cultural Responsiveness</w:t>
            </w:r>
          </w:p>
        </w:tc>
        <w:tc>
          <w:tcPr>
            <w:tcW w:type="dxa" w:w="2160"/>
          </w:tcPr>
          <w:p>
            <w:r>
              <w:t>Adapt AIGC use to diverse student backgrounds; incorporate multiple perspectives</w:t>
            </w:r>
          </w:p>
        </w:tc>
        <w:tc>
          <w:tcPr>
            <w:tcW w:type="dxa" w:w="2160"/>
          </w:tcPr>
          <w:p>
            <w:r>
              <w:t>Customize prompts for cultural relevance; validate AIGC outputs against community values</w:t>
            </w:r>
          </w:p>
        </w:tc>
        <w:tc>
          <w:tcPr>
            <w:tcW w:type="dxa" w:w="2160"/>
          </w:tcPr>
          <w:p>
            <w:r>
              <w:t>Community feedback; student perception surveys disaggregated by background</w:t>
            </w:r>
          </w:p>
        </w:tc>
      </w:tr>
      <w:tr>
        <w:tc>
          <w:tcPr>
            <w:tcW w:type="dxa" w:w="2160"/>
          </w:tcPr>
          <w:p>
            <w:r>
              <w:rPr>
                <w:b/>
              </w:rPr>
              <w:t>13. Technology Troubleshooting</w:t>
            </w:r>
          </w:p>
        </w:tc>
        <w:tc>
          <w:tcPr>
            <w:tcW w:type="dxa" w:w="2160"/>
          </w:tcPr>
          <w:p>
            <w:r>
              <w:t>Basic technical problem-solving; interface navigation</w:t>
            </w:r>
          </w:p>
        </w:tc>
        <w:tc>
          <w:tcPr>
            <w:tcW w:type="dxa" w:w="2160"/>
          </w:tcPr>
          <w:p>
            <w:r>
              <w:t>Navigate AIGC platforms; perform basic troubleshooting; escalate complex issues appropriately</w:t>
            </w:r>
          </w:p>
        </w:tc>
        <w:tc>
          <w:tcPr>
            <w:tcW w:type="dxa" w:w="2160"/>
          </w:tcPr>
          <w:p>
            <w:r>
              <w:t>Competency checklist; IT support logs; peer teaching</w:t>
            </w:r>
          </w:p>
        </w:tc>
      </w:tr>
      <w:tr>
        <w:tc>
          <w:tcPr>
            <w:tcW w:type="dxa" w:w="2160"/>
          </w:tcPr>
          <w:p>
            <w:r>
              <w:rPr>
                <w:b/>
              </w:rPr>
              <w:t>14. Privacy &amp; Compliance</w:t>
            </w:r>
          </w:p>
        </w:tc>
        <w:tc>
          <w:tcPr>
            <w:tcW w:type="dxa" w:w="2160"/>
          </w:tcPr>
          <w:p>
            <w:r>
              <w:t>Understand regulatory frameworks (FERPA, GDPR, etc.); implement compliance</w:t>
            </w:r>
          </w:p>
        </w:tc>
        <w:tc>
          <w:tcPr>
            <w:tcW w:type="dxa" w:w="2160"/>
          </w:tcPr>
          <w:p>
            <w:r>
              <w:t>Implement AIGC within privacy constraints; support data protection; report compliance issues</w:t>
            </w:r>
          </w:p>
        </w:tc>
        <w:tc>
          <w:tcPr>
            <w:tcW w:type="dxa" w:w="2160"/>
          </w:tcPr>
          <w:p>
            <w:r>
              <w:t>Policy compliance audit; data security assessment; staff training completion</w:t>
            </w:r>
          </w:p>
        </w:tc>
      </w:tr>
      <w:tr>
        <w:tc>
          <w:tcPr>
            <w:tcW w:type="dxa" w:w="2160"/>
          </w:tcPr>
          <w:p>
            <w:r>
              <w:rPr>
                <w:b/>
              </w:rPr>
              <w:t>15. Research &amp; Evidence-Based Practice</w:t>
            </w:r>
          </w:p>
        </w:tc>
        <w:tc>
          <w:tcPr>
            <w:tcW w:type="dxa" w:w="2160"/>
          </w:tcPr>
          <w:p>
            <w:r>
              <w:t>Access, interpret, apply research on AIGC effectiveness</w:t>
            </w:r>
          </w:p>
        </w:tc>
        <w:tc>
          <w:tcPr>
            <w:tcW w:type="dxa" w:w="2160"/>
          </w:tcPr>
          <w:p>
            <w:r>
              <w:t>Read empirical studies; apply findings to own context; contribute to school/system knowledge base</w:t>
            </w:r>
          </w:p>
        </w:tc>
        <w:tc>
          <w:tcPr>
            <w:tcW w:type="dxa" w:w="2160"/>
          </w:tcPr>
          <w:p>
            <w:r>
              <w:t>Research literacy assessment; journal club participation; action research projects</w:t>
            </w:r>
          </w:p>
        </w:tc>
      </w:tr>
    </w:tbl>
    <w:p>
      <w:pPr>
        <w:pStyle w:val="Heading3"/>
      </w:pPr>
      <w:r>
        <w:t>VIII.B. Competency Development Pathways by Role</w:t>
      </w:r>
    </w:p>
    <w:p>
      <w:r>
        <w:rPr>
          <w:b/>
        </w:rPr>
        <w:t>Teachers (Primary Implementers)</w:t>
      </w:r>
    </w:p>
    <w:p>
      <w:r>
        <w:t>Essential domains: 1-12, 14</w:t>
      </w:r>
    </w:p>
    <w:p>
      <w:r>
        <w:t>Priority sequence: 1→3→4→7→9→11→2→5</w:t>
      </w:r>
    </w:p>
    <w:p>
      <w:r>
        <w:t>Timeline: 40+ hours foundational (6 months); ongoing advanced (2+ hours/month)</w:t>
      </w:r>
    </w:p>
    <w:p>
      <w:r>
        <w:t>Format: Mix of self-paced learning, cohort-based PD, peer coaching, action research</w:t>
      </w:r>
    </w:p>
    <w:p>
      <w:r>
        <w:rPr>
          <w:b/>
        </w:rPr>
        <w:t>Administrators/Instructional Leaders</w:t>
      </w:r>
    </w:p>
    <w:p>
      <w:r>
        <w:t>Essential domains: 1, 2, 6, 7, 8, 10, 11, 14, 15</w:t>
      </w:r>
    </w:p>
    <w:p>
      <w:r>
        <w:t>Priority sequence: 1→10→7→8→15→14→2</w:t>
      </w:r>
    </w:p>
    <w:p>
      <w:r>
        <w:t>Timeline: 20+ hours foundational (3 months); ongoing policy work</w:t>
      </w:r>
    </w:p>
    <w:p>
      <w:r>
        <w:t>Format: Leadership cohorts, policy development, coaching/evaluation training</w:t>
      </w:r>
    </w:p>
    <w:p>
      <w:r>
        <w:rPr>
          <w:b/>
        </w:rPr>
        <w:t>Special Education Teachers</w:t>
      </w:r>
    </w:p>
    <w:p>
      <w:r>
        <w:t>Essential domains: 1, 3, 4, 5, 7, 9, 12, 13</w:t>
      </w:r>
    </w:p>
    <w:p>
      <w:r>
        <w:t>Priority sequence: 7→3→4→5→1→9</w:t>
      </w:r>
    </w:p>
    <w:p>
      <w:r>
        <w:t>Timeline: 45+ hours (specialized accessibility focus)</w:t>
      </w:r>
    </w:p>
    <w:p>
      <w:r>
        <w:t>Format: Specialized workshops on universal design, assistive technology integration</w:t>
      </w:r>
    </w:p>
    <w:p>
      <w:r>
        <w:rPr>
          <w:b/>
        </w:rPr>
        <w:t>IT/Technical Staff</w:t>
      </w:r>
    </w:p>
    <w:p>
      <w:r>
        <w:t>Essential domains: 1, 2, 6, 8, 13, 14</w:t>
      </w:r>
    </w:p>
    <w:p>
      <w:r>
        <w:t>Priority sequence: 6→14→13→1→8→2</w:t>
      </w:r>
    </w:p>
    <w:p>
      <w:r>
        <w:t>Timeline: 25+ hours foundational; ongoing technical updates</w:t>
      </w:r>
    </w:p>
    <w:p>
      <w:r>
        <w:t>Format: Vendor training, security certifications, documentation development</w:t>
      </w:r>
    </w:p>
    <w:p>
      <w:pPr>
        <w:pStyle w:val="Heading3"/>
      </w:pPr>
      <w:r>
        <w:t>VIII.C. Assessment of Competency Attainment</w:t>
      </w:r>
    </w:p>
    <w:p>
      <w:r>
        <w:t>Given the multi-domain competency framework, a tiered assessment approach is recommended:</w:t>
      </w:r>
    </w:p>
    <w:p>
      <w:r>
        <w:rPr>
          <w:b/>
        </w:rPr>
        <w:t>Formative Assessment</w:t>
      </w:r>
      <w:r>
        <w:t xml:space="preserve"> (Ongoing, low-stakes):</w:t>
      </w:r>
    </w:p>
    <w:p>
      <w:pPr>
        <w:pStyle w:val="ListBullet"/>
      </w:pPr>
      <w:r>
        <w:t>Self-assessment checklists against competency descriptors</w:t>
      </w:r>
    </w:p>
    <w:p>
      <w:pPr>
        <w:pStyle w:val="ListBullet"/>
      </w:pPr>
      <w:r>
        <w:t>Peer observation using rubrics aligned to domains</w:t>
      </w:r>
    </w:p>
    <w:p>
      <w:pPr>
        <w:pStyle w:val="ListBullet"/>
      </w:pPr>
      <w:r>
        <w:t>Reflection journals documenting learning/challenges</w:t>
      </w:r>
    </w:p>
    <w:p>
      <w:pPr>
        <w:pStyle w:val="ListBullet"/>
      </w:pPr>
      <w:r>
        <w:t>Participation in professional learning communities</w:t>
      </w:r>
    </w:p>
    <w:p>
      <w:r>
        <w:rPr>
          <w:b/>
        </w:rPr>
        <w:t>Summative Assessment</w:t>
      </w:r>
      <w:r>
        <w:t xml:space="preserve"> (End of PD phase; higher-stakes):</w:t>
      </w:r>
    </w:p>
    <w:p>
      <w:pPr>
        <w:pStyle w:val="ListBullet"/>
      </w:pPr>
      <w:r>
        <w:t>Knowledge assessments: AI literacy (written test), subject-specific accuracy (expert review)</w:t>
      </w:r>
    </w:p>
    <w:p>
      <w:pPr>
        <w:pStyle w:val="ListBullet"/>
      </w:pPr>
      <w:r>
        <w:t>Performance assessment: Lesson plan incorporating AIGC; portfolio of student work; classroom observation</w:t>
      </w:r>
    </w:p>
    <w:p>
      <w:pPr>
        <w:pStyle w:val="ListBullet"/>
      </w:pPr>
      <w:r>
        <w:t>Outcome assessment: Student learning data; equity gap analysis; stakeholder feedback</w:t>
      </w:r>
    </w:p>
    <w:p>
      <w:pPr>
        <w:pStyle w:val="ListBullet"/>
      </w:pPr>
      <w:r>
        <w:t>Credential: District AIGC Integration Certification or state-level endorsement</w:t>
      </w:r>
    </w:p>
    <w:p>
      <w:r>
        <w:t>---</w:t>
      </w:r>
    </w:p>
    <w:p>
      <w:pPr>
        <w:pStyle w:val="Heading2"/>
      </w:pPr>
      <w:r>
        <w:t>IX. EMERGING TRENDS AND FUTURE TRAJECTORIES</w:t>
      </w:r>
    </w:p>
    <w:p>
      <w:pPr>
        <w:pStyle w:val="Heading3"/>
      </w:pPr>
      <w:r>
        <w:t>IX.A. Technological Trends</w:t>
      </w:r>
    </w:p>
    <w:p>
      <w:r>
        <w:rPr>
          <w:b/>
        </w:rPr>
        <w:t>Trend 1: Multimodal AIGC Integration</w:t>
      </w:r>
    </w:p>
    <w:p>
      <w:r>
        <w:t>Emerging systems increasingly integrate text, image, audio, and video generation in single interfaces. Implications:</w:t>
      </w:r>
    </w:p>
    <w:p>
      <w:pPr>
        <w:pStyle w:val="ListBullet"/>
      </w:pPr>
      <w:r>
        <w:t>Enhanced accessibility (multiple sensory modalities accommodate diverse learners)</w:t>
      </w:r>
    </w:p>
    <w:p>
      <w:pPr>
        <w:pStyle w:val="ListBullet"/>
      </w:pPr>
      <w:r>
        <w:t>Richer educational content possibilities (explanations via video, images, text simultaneously)</w:t>
      </w:r>
    </w:p>
    <w:p>
      <w:pPr>
        <w:pStyle w:val="ListBullet"/>
      </w:pPr>
      <w:r>
        <w:t>Scalable personalization of multimedia content</w:t>
      </w:r>
    </w:p>
    <w:p>
      <w:r>
        <w:t>Observational evidence: DALL-E integration in ChatGPT; Midjourney adoption in design education; Synthesia/HeyGen for multilingual video lectures.</w:t>
      </w:r>
    </w:p>
    <w:p>
      <w:r>
        <w:rPr>
          <w:b/>
        </w:rPr>
        <w:t>Trend 2: Context-Aware, Student-Specific AIGC</w:t>
      </w:r>
    </w:p>
    <w:p>
      <w:r>
        <w:t>Future AIGC likely to incorporate persistent student profiles, learning history, classroom context. Implications:</w:t>
      </w:r>
    </w:p>
    <w:p>
      <w:pPr>
        <w:pStyle w:val="ListBullet"/>
      </w:pPr>
      <w:r>
        <w:t>AIGC aware of student disability accommodations; personality preferences; cultural background</w:t>
      </w:r>
    </w:p>
    <w:p>
      <w:pPr>
        <w:pStyle w:val="ListBullet"/>
      </w:pPr>
      <w:r>
        <w:t>Feedback customized not just to performance but to student's prior explanations/questions</w:t>
      </w:r>
    </w:p>
    <w:p>
      <w:pPr>
        <w:pStyle w:val="ListBullet"/>
      </w:pPr>
      <w:r>
        <w:t>Risk: Privacy concerns; requires robust data protection; teacher oversight essential</w:t>
      </w:r>
    </w:p>
    <w:p>
      <w:r>
        <w:t>Current limitations: GPT-4 lacks persistent memory across sessions; context window limitations (4K-32K tokens).</w:t>
      </w:r>
    </w:p>
    <w:p>
      <w:r>
        <w:rPr>
          <w:b/>
        </w:rPr>
        <w:t>Trend 3: Reasoning and Code-Generation AIGC</w:t>
      </w:r>
    </w:p>
    <w:p>
      <w:r>
        <w:t>Next-generation models (e.g., OpenAI's o1, DeepSeek-R1) demonstrating enhanced reasoning, mathematical problem-solving, code generation. Implications:</w:t>
      </w:r>
    </w:p>
    <w:p>
      <w:pPr>
        <w:pStyle w:val="ListBullet"/>
      </w:pPr>
      <w:r>
        <w:t>More reliable STEM support; reduced hallucination in technical domains</w:t>
      </w:r>
    </w:p>
    <w:p>
      <w:pPr>
        <w:pStyle w:val="ListBullet"/>
      </w:pPr>
      <w:r>
        <w:t>Potential for complex problem-solving scaffolding</w:t>
      </w:r>
    </w:p>
    <w:p>
      <w:pPr>
        <w:pStyle w:val="ListBullet"/>
      </w:pPr>
      <w:r>
        <w:t>Implications for CS/STEM curriculum redesign</w:t>
      </w:r>
    </w:p>
    <w:p>
      <w:r>
        <w:rPr>
          <w:b/>
        </w:rPr>
        <w:t>Trend 4: Open-Source &amp; Localized AIGC</w:t>
      </w:r>
    </w:p>
    <w:p>
      <w:r>
        <w:t>Growing development of open-source alternatives to proprietary ChatGPT (e.g., Meta's Llama, Mistral). Implications:</w:t>
      </w:r>
    </w:p>
    <w:p>
      <w:pPr>
        <w:pStyle w:val="ListBullet"/>
      </w:pPr>
      <w:r>
        <w:t>Cost reduction; accessibility increase</w:t>
      </w:r>
    </w:p>
    <w:p>
      <w:pPr>
        <w:pStyle w:val="ListBullet"/>
      </w:pPr>
      <w:r>
        <w:t>Localization feasibility (languages, cultural adaptation)</w:t>
      </w:r>
    </w:p>
    <w:p>
      <w:pPr>
        <w:pStyle w:val="ListBullet"/>
      </w:pPr>
      <w:r>
        <w:t>School control over deployment; data remains on-premise</w:t>
      </w:r>
    </w:p>
    <w:p>
      <w:pPr>
        <w:pStyle w:val="ListBullet"/>
      </w:pPr>
      <w:r>
        <w:t>Reduced training data bias potential</w:t>
      </w:r>
    </w:p>
    <w:p>
      <w:r>
        <w:t>---</w:t>
      </w:r>
    </w:p>
    <w:p>
      <w:pPr>
        <w:pStyle w:val="Heading3"/>
      </w:pPr>
      <w:r>
        <w:t>IX.B. Pedagogical and Organizational Trends</w:t>
      </w:r>
    </w:p>
    <w:p>
      <w:r>
        <w:rPr>
          <w:b/>
        </w:rPr>
        <w:t>Trend 1: AI Literacy as Core Curriculum</w:t>
      </w:r>
    </w:p>
    <w:p>
      <w:r>
        <w:t>Emerging consensus that AI literacy is essential K-12 competency. Evidence:</w:t>
      </w:r>
    </w:p>
    <w:p>
      <w:pPr>
        <w:pStyle w:val="ListBullet"/>
      </w:pPr>
      <w:r>
        <w:t>EC AI Literacy Framework (2024): 22 competences for students across four domains</w:t>
      </w:r>
    </w:p>
    <w:p>
      <w:pPr>
        <w:pStyle w:val="ListBullet"/>
      </w:pPr>
      <w:r>
        <w:t>UNESCO K-12 AI Curricula Report (2024): Calls for stronger mechanism validating AI curricula</w:t>
      </w:r>
    </w:p>
    <w:p>
      <w:pPr>
        <w:pStyle w:val="ListBullet"/>
      </w:pPr>
      <w:r>
        <w:t>Multiple countries developing AI units (UAE, Korea, Estonia)</w:t>
      </w:r>
    </w:p>
    <w:p>
      <w:r>
        <w:t>Implication: AIGC use for student learning will be accompanied by explicit AI literacy instruction, critical evaluation of AI, ethical reasoning about AI deployment.</w:t>
      </w:r>
    </w:p>
    <w:p>
      <w:r>
        <w:rPr>
          <w:b/>
        </w:rPr>
        <w:t>Trend 2: Teacher-in-the-Loop Systems</w:t>
      </w:r>
    </w:p>
    <w:p>
      <w:r>
        <w:t>Recognition that autonomous AIGC creates risks; future systems emphasize human oversight. Evidence:</w:t>
      </w:r>
    </w:p>
    <w:p>
      <w:pPr>
        <w:pStyle w:val="ListBullet"/>
      </w:pPr>
      <w:r>
        <w:t>Han et al. (2024) finding that "teacher-in-the-loop" systems enhance trustworthiness</w:t>
      </w:r>
    </w:p>
    <w:p>
      <w:pPr>
        <w:pStyle w:val="ListBullet"/>
      </w:pPr>
      <w:r>
        <w:t>Industry shift toward human-AI teaming frameworks</w:t>
      </w:r>
    </w:p>
    <w:p>
      <w:r>
        <w:t>Implication: Future AIGC platforms will design for human agency; teachers curate, approve, customize before student delivery.</w:t>
      </w:r>
    </w:p>
    <w:p>
      <w:r>
        <w:rPr>
          <w:b/>
        </w:rPr>
        <w:t>Trend 3: Asynchronous &amp; Hybrid Learning Models</w:t>
      </w:r>
    </w:p>
    <w:p>
      <w:r>
        <w:t>COVID-era remote learning demonstrated durability; AIGC enables scalable support for hybrid/async models. Implication:</w:t>
      </w:r>
    </w:p>
    <w:p>
      <w:pPr>
        <w:pStyle w:val="ListBullet"/>
      </w:pPr>
      <w:r>
        <w:t>AIGC support for student learning outside school hours</w:t>
      </w:r>
    </w:p>
    <w:p>
      <w:pPr>
        <w:pStyle w:val="ListBullet"/>
      </w:pPr>
      <w:r>
        <w:t>Recorded AIGC-generated video lectures with transcripts for asynchronous viewing</w:t>
      </w:r>
    </w:p>
    <w:p>
      <w:pPr>
        <w:pStyle w:val="ListBullet"/>
      </w:pPr>
      <w:r>
        <w:t>Potential for expanded learning time; equity concerns if access unequal</w:t>
      </w:r>
    </w:p>
    <w:p>
      <w:r>
        <w:t>---</w:t>
      </w:r>
    </w:p>
    <w:p>
      <w:pPr>
        <w:pStyle w:val="Heading3"/>
      </w:pPr>
      <w:r>
        <w:t>IX.C. Policy &amp; Governance Evolution</w:t>
      </w:r>
    </w:p>
    <w:p>
      <w:r>
        <w:rPr>
          <w:b/>
        </w:rPr>
        <w:t>Trend 1: Movement from Regulation to Adaptive Guidance</w:t>
      </w:r>
    </w:p>
    <w:p>
      <w:r>
        <w:t>Current state: No binding regulations on GenAI in education (OECD 2024 survey). Trajectory: Likely toward adaptive governance balancing innovation with safeguards. Precedent: EU AI Act exempts low-risk educational uses; Korea, France developing guidance awaiting approval.</w:t>
      </w:r>
    </w:p>
    <w:p>
      <w:r>
        <w:rPr>
          <w:b/>
        </w:rPr>
        <w:t>Trend 2: Data Sovereignty &amp; Localization</w:t>
      </w:r>
    </w:p>
    <w:p>
      <w:r>
        <w:t>Growing emphasis on national data residence requirements; local AIGC infrastructure. Drivers:</w:t>
      </w:r>
    </w:p>
    <w:p>
      <w:pPr>
        <w:pStyle w:val="ListBullet"/>
      </w:pPr>
      <w:r>
        <w:t>Privacy concerns; surveillance resistance</w:t>
      </w:r>
    </w:p>
    <w:p>
      <w:pPr>
        <w:pStyle w:val="ListBullet"/>
      </w:pPr>
      <w:r>
        <w:t>Desire for cultural/linguistic adaptation</w:t>
      </w:r>
    </w:p>
    <w:p>
      <w:pPr>
        <w:pStyle w:val="ListBullet"/>
      </w:pPr>
      <w:r>
        <w:t>Geopolitical tensions (tech independence)</w:t>
      </w:r>
    </w:p>
    <w:p>
      <w:r>
        <w:t>Implication: Future AIGC may be developed/deployed nationally; reduces US/China dependence.</w:t>
      </w:r>
    </w:p>
    <w:p>
      <w:r>
        <w:rPr>
          <w:b/>
        </w:rPr>
        <w:t>Trend 3: Equity &amp; Access as Central Policy Priority</w:t>
      </w:r>
    </w:p>
    <w:p>
      <w:r>
        <w:t>Emerging consensus (UNESCO, World Bank, OECD) that without deliberate safeguards, AIGC risks widening inequalities. Policy trajectory:</w:t>
      </w:r>
    </w:p>
    <w:p>
      <w:pPr>
        <w:pStyle w:val="ListBullet"/>
      </w:pPr>
      <w:r>
        <w:t>Infrastructure investment mandates</w:t>
      </w:r>
    </w:p>
    <w:p>
      <w:pPr>
        <w:pStyle w:val="ListBullet"/>
      </w:pPr>
      <w:r>
        <w:t>Equity impact assessments required for AIGC deployments</w:t>
      </w:r>
    </w:p>
    <w:p>
      <w:pPr>
        <w:pStyle w:val="ListBullet"/>
      </w:pPr>
      <w:r>
        <w:t>Inclusion of marginalized communities in AIGC governance</w:t>
      </w:r>
    </w:p>
    <w:p>
      <w:r>
        <w:t>---</w:t>
      </w:r>
    </w:p>
    <w:p>
      <w:pPr>
        <w:pStyle w:val="Heading2"/>
      </w:pPr>
      <w:r>
        <w:t>X. STRATEGIC RECOMMENDATIONS FOR POLICYMAKERS AND EDUCATORS</w:t>
      </w:r>
    </w:p>
    <w:p>
      <w:pPr>
        <w:pStyle w:val="Heading3"/>
      </w:pPr>
      <w:r>
        <w:t>X.A. Recommendations for National/Regional Policymakers</w:t>
      </w:r>
    </w:p>
    <w:p>
      <w:r>
        <w:rPr>
          <w:b/>
        </w:rPr>
        <w:t>Recommendation 1: Develop Adaptive Governance Frameworks</w:t>
      </w:r>
    </w:p>
    <w:p>
      <w:r>
        <w:rPr>
          <w:i/>
        </w:rPr>
        <w:t>Rationale</w:t>
      </w:r>
      <w:r>
        <w:t>: OECD analysis shows rigid regulation premature in rapidly evolving landscape; non-binding guidance proves effective.</w:t>
      </w:r>
    </w:p>
    <w:p>
      <w:r>
        <w:rPr>
          <w:i/>
        </w:rPr>
        <w:t>Specific Actions</w:t>
      </w:r>
      <w:r>
        <w:t>:</w:t>
      </w:r>
    </w:p>
    <w:p>
      <w:pPr>
        <w:pStyle w:val="ListBullet"/>
      </w:pPr>
      <w:r>
        <w:t>Draft non-binding AIGC guidance documents addressing: opportunities, risks, best practices, implementation support</w:t>
      </w:r>
    </w:p>
    <w:p>
      <w:pPr>
        <w:pStyle w:val="ListBullet"/>
      </w:pPr>
      <w:r>
        <w:t>Establish AIGC in Education Working Group with multi-stakeholder representation</w:t>
      </w:r>
    </w:p>
    <w:p>
      <w:pPr>
        <w:pStyle w:val="ListBullet"/>
      </w:pPr>
      <w:r>
        <w:t>Review guidance annually; update based on emerging evidence</w:t>
      </w:r>
    </w:p>
    <w:p>
      <w:pPr>
        <w:pStyle w:val="ListBullet"/>
      </w:pPr>
      <w:r>
        <w:t>Create pathways for schools to request regulatory exemptions for innovative pilots</w:t>
      </w:r>
    </w:p>
    <w:p>
      <w:r>
        <w:rPr>
          <w:i/>
        </w:rPr>
        <w:t>Alignment</w:t>
      </w:r>
      <w:r>
        <w:t>: OECD Guidance; UNESCO Rights-Based Framework</w:t>
      </w:r>
    </w:p>
    <w:p>
      <w:r>
        <w:t>---</w:t>
      </w:r>
    </w:p>
    <w:p>
      <w:r>
        <w:rPr>
          <w:b/>
        </w:rPr>
        <w:t>Recommendation 2: Mandate Infrastructure Investment &amp; Equitable Access</w:t>
      </w:r>
    </w:p>
    <w:p>
      <w:r>
        <w:rPr>
          <w:i/>
        </w:rPr>
        <w:t>Rationale</w:t>
      </w:r>
      <w:r>
        <w:t>: Digital divide is primary barrier to AIGC benefits; infrastructure investment prerequisite for equity.</w:t>
      </w:r>
    </w:p>
    <w:p>
      <w:r>
        <w:rPr>
          <w:i/>
        </w:rPr>
        <w:t>Specific Actions</w:t>
      </w:r>
      <w:r>
        <w:t>:</w:t>
      </w:r>
    </w:p>
    <w:p>
      <w:pPr>
        <w:pStyle w:val="ListBullet"/>
      </w:pPr>
      <w:r>
        <w:t>Fund broadband/device access for all K-12 students, prioritizing underserved regions</w:t>
      </w:r>
    </w:p>
    <w:p>
      <w:pPr>
        <w:pStyle w:val="ListBullet"/>
      </w:pPr>
      <w:r>
        <w:t>Allocate 10-15% of education budgets to digital infrastructure (connectivity, devices, systems)</w:t>
      </w:r>
    </w:p>
    <w:p>
      <w:pPr>
        <w:pStyle w:val="ListBullet"/>
      </w:pPr>
      <w:r>
        <w:t>Require equity assessments before AIGC adoption; allocate additional resources to high-need schools</w:t>
      </w:r>
    </w:p>
    <w:p>
      <w:pPr>
        <w:pStyle w:val="ListBullet"/>
      </w:pPr>
      <w:r>
        <w:t>Support open-source AIGC alternatives; negotiate equitable pricing for institutional subscriptions</w:t>
      </w:r>
    </w:p>
    <w:p>
      <w:r>
        <w:rPr>
          <w:i/>
        </w:rPr>
        <w:t>Alignment</w:t>
      </w:r>
      <w:r>
        <w:t>: World Bank Connected Schools Initiative; SDG 4 (Quality Education); SDG 10 (Reduced Inequalities)</w:t>
      </w:r>
    </w:p>
    <w:p>
      <w:r>
        <w:t>---</w:t>
      </w:r>
    </w:p>
    <w:p>
      <w:r>
        <w:rPr>
          <w:b/>
        </w:rPr>
        <w:t>Recommendation 3: Establish Mandatory Data Protection &amp; Privacy Standards</w:t>
      </w:r>
    </w:p>
    <w:p>
      <w:r>
        <w:rPr>
          <w:i/>
        </w:rPr>
        <w:t>Rationale</w:t>
      </w:r>
      <w:r>
        <w:t>: Student data exploitation is identified risk; regulatory clarity essential.</w:t>
      </w:r>
    </w:p>
    <w:p>
      <w:r>
        <w:rPr>
          <w:i/>
        </w:rPr>
        <w:t>Specific Actions</w:t>
      </w:r>
      <w:r>
        <w:t>:</w:t>
      </w:r>
    </w:p>
    <w:p>
      <w:pPr>
        <w:pStyle w:val="ListBullet"/>
      </w:pPr>
      <w:r>
        <w:t>Adopt/strengthen FERPA (US) or GDPR (EU) or equivalent regulations exceeding minimum standards</w:t>
      </w:r>
    </w:p>
    <w:p>
      <w:pPr>
        <w:pStyle w:val="ListBullet"/>
      </w:pPr>
      <w:r>
        <w:t>Prohibit use of student data for AIGC training without explicit informed consent</w:t>
      </w:r>
    </w:p>
    <w:p>
      <w:pPr>
        <w:pStyle w:val="ListBullet"/>
      </w:pPr>
      <w:r>
        <w:t>Require regular privacy audits of AIGC platforms used in schools</w:t>
      </w:r>
    </w:p>
    <w:p>
      <w:pPr>
        <w:pStyle w:val="ListBullet"/>
      </w:pPr>
      <w:r>
        <w:t>Establish enforcement mechanisms with meaningful penalties for violations</w:t>
      </w:r>
    </w:p>
    <w:p>
      <w:pPr>
        <w:pStyle w:val="ListBullet"/>
      </w:pPr>
      <w:r>
        <w:t>Support student data rights awareness; facilitate student/family requests for data deletion</w:t>
      </w:r>
    </w:p>
    <w:p>
      <w:r>
        <w:rPr>
          <w:i/>
        </w:rPr>
        <w:t>Alignment</w:t>
      </w:r>
      <w:r>
        <w:t>: UNESCO 5C Framework; UN Convention on Rights of Child; SDG 16 (Justice &amp; Accountability)</w:t>
      </w:r>
    </w:p>
    <w:p>
      <w:r>
        <w:t>---</w:t>
      </w:r>
    </w:p>
    <w:p>
      <w:r>
        <w:rPr>
          <w:b/>
        </w:rPr>
        <w:t>Recommendation 4: Invest in Large-Scale Teacher Professional Development</w:t>
      </w:r>
    </w:p>
    <w:p>
      <w:r>
        <w:rPr>
          <w:i/>
        </w:rPr>
        <w:t>Rationale</w:t>
      </w:r>
      <w:r>
        <w:t>: Pedagogical barriers (34% of identified challenges) require human capacity building; training is force multiplier.</w:t>
      </w:r>
    </w:p>
    <w:p>
      <w:r>
        <w:rPr>
          <w:i/>
        </w:rPr>
        <w:t>Specific Actions</w:t>
      </w:r>
      <w:r>
        <w:t>:</w:t>
      </w:r>
    </w:p>
    <w:p>
      <w:pPr>
        <w:pStyle w:val="ListBullet"/>
      </w:pPr>
      <w:r>
        <w:t>Fund 44+ hours foundational AIGC PD for all K-12 teachers over 12-month period</w:t>
      </w:r>
    </w:p>
    <w:p>
      <w:pPr>
        <w:pStyle w:val="ListBullet"/>
      </w:pPr>
      <w:r>
        <w:t>Support subject-specific prompt engineering training; research-based curriculum integration</w:t>
      </w:r>
    </w:p>
    <w:p>
      <w:pPr>
        <w:pStyle w:val="ListBullet"/>
      </w:pPr>
      <w:r>
        <w:t>Create incentive structures (salary increases, certification, career pathways) for AIGC expertise</w:t>
      </w:r>
    </w:p>
    <w:p>
      <w:pPr>
        <w:pStyle w:val="ListBullet"/>
      </w:pPr>
      <w:r>
        <w:t>Establish sustainable funding for ongoing PD (2+ hours/month minimum)</w:t>
      </w:r>
    </w:p>
    <w:p>
      <w:pPr>
        <w:pStyle w:val="ListBullet"/>
      </w:pPr>
      <w:r>
        <w:t>Prioritize PD access for educators in under-resourced schools</w:t>
      </w:r>
    </w:p>
    <w:p>
      <w:r>
        <w:rPr>
          <w:i/>
        </w:rPr>
        <w:t>Timeline</w:t>
      </w:r>
      <w:r>
        <w:t>: Begin design year 1; rollout years 1-2; sustain years 2+</w:t>
      </w:r>
    </w:p>
    <w:p>
      <w:r>
        <w:rPr>
          <w:i/>
        </w:rPr>
        <w:t>Cost</w:t>
      </w:r>
      <w:r>
        <w:t>: Approximately $2,000-3,000 per teacher for comprehensive PD</w:t>
      </w:r>
    </w:p>
    <w:p>
      <w:r>
        <w:t>---</w:t>
      </w:r>
    </w:p>
    <w:p>
      <w:r>
        <w:rPr>
          <w:b/>
        </w:rPr>
        <w:t>Recommendation 5: Develop and Fund AI Literacy Curriculum for Students</w:t>
      </w:r>
    </w:p>
    <w:p>
      <w:r>
        <w:rPr>
          <w:i/>
        </w:rPr>
        <w:t>Rationale</w:t>
      </w:r>
      <w:r>
        <w:t>: Student understanding of AIGC capabilities/limitations essential for responsible use and critical thinking.</w:t>
      </w:r>
    </w:p>
    <w:p>
      <w:r>
        <w:rPr>
          <w:i/>
        </w:rPr>
        <w:t>Specific Actions</w:t>
      </w:r>
      <w:r>
        <w:t>:</w:t>
      </w:r>
    </w:p>
    <w:p>
      <w:pPr>
        <w:pStyle w:val="ListBullet"/>
      </w:pPr>
      <w:r>
        <w:t>Integrate AI literacy into K-12 curriculum across all subjects (EC 22 competences framework provides template)</w:t>
      </w:r>
    </w:p>
    <w:p>
      <w:pPr>
        <w:pStyle w:val="ListBullet"/>
      </w:pPr>
      <w:r>
        <w:t>Develop age-appropriate instruction: elementary (what is AI?), middle school (how does it work?), high school (ethics, societal impact)</w:t>
      </w:r>
    </w:p>
    <w:p>
      <w:pPr>
        <w:pStyle w:val="ListBullet"/>
      </w:pPr>
      <w:r>
        <w:t>Include critical evaluation of AIGC outputs; recognition of bias/hallucinations</w:t>
      </w:r>
    </w:p>
    <w:p>
      <w:pPr>
        <w:pStyle w:val="ListBullet"/>
      </w:pPr>
      <w:r>
        <w:t>Support teacher curriculum development; provide professional learning for AI literacy instruction</w:t>
      </w:r>
    </w:p>
    <w:p>
      <w:pPr>
        <w:pStyle w:val="ListBullet"/>
      </w:pPr>
      <w:r>
        <w:t>Assess AI literacy outcomes; include in accountability measures</w:t>
      </w:r>
    </w:p>
    <w:p>
      <w:r>
        <w:t>---</w:t>
      </w:r>
    </w:p>
    <w:p>
      <w:r>
        <w:rPr>
          <w:b/>
        </w:rPr>
        <w:t>Recommendation 6: Establish Governance &amp; Accountability Mechanisms</w:t>
      </w:r>
    </w:p>
    <w:p>
      <w:r>
        <w:rPr>
          <w:i/>
        </w:rPr>
        <w:t>Rationale</w:t>
      </w:r>
      <w:r>
        <w:t>: Without oversight, AIGC risks perpetuating systemic inequities; governance essential.</w:t>
      </w:r>
    </w:p>
    <w:p>
      <w:r>
        <w:rPr>
          <w:i/>
        </w:rPr>
        <w:t>Specific Actions</w:t>
      </w:r>
      <w:r>
        <w:t>:</w:t>
      </w:r>
    </w:p>
    <w:p>
      <w:pPr>
        <w:pStyle w:val="ListBullet"/>
      </w:pPr>
      <w:r>
        <w:t>Establish AIGC Governance Boards at district/national level with multi-stakeholder representation (educators, students, families, marginalized communities, technologists, ethicists)</w:t>
      </w:r>
    </w:p>
    <w:p>
      <w:pPr>
        <w:pStyle w:val="ListBullet"/>
      </w:pPr>
      <w:r>
        <w:t>Mandate equity impact assessments before AIGC adoption; periodic bias audits of tools in use</w:t>
      </w:r>
    </w:p>
    <w:p>
      <w:pPr>
        <w:pStyle w:val="ListBullet"/>
      </w:pPr>
      <w:r>
        <w:t>Create transparent vendor accountability processes; require disclosure of training data, algorithmic decisions, bias mitigation efforts</w:t>
      </w:r>
    </w:p>
    <w:p>
      <w:pPr>
        <w:pStyle w:val="ListBullet"/>
      </w:pPr>
      <w:r>
        <w:t>Establish mechanisms for students/families to report concerns; establish appeal processes</w:t>
      </w:r>
    </w:p>
    <w:p>
      <w:pPr>
        <w:pStyle w:val="ListBullet"/>
      </w:pPr>
      <w:r>
        <w:t>Publish annual AIGC governance reports; transparent communication of risks/benefits to public</w:t>
      </w:r>
    </w:p>
    <w:p>
      <w:r>
        <w:t>---</w:t>
      </w:r>
    </w:p>
    <w:p>
      <w:pPr>
        <w:pStyle w:val="Heading3"/>
      </w:pPr>
      <w:r>
        <w:t>X.B. Recommendations for School Districts &amp; Institutions</w:t>
      </w:r>
    </w:p>
    <w:p>
      <w:r>
        <w:rPr>
          <w:b/>
        </w:rPr>
        <w:t>Recommendation 1: Develop Comprehensive AIGC Policies</w:t>
      </w:r>
    </w:p>
    <w:p>
      <w:r>
        <w:t>Policy components:</w:t>
      </w:r>
    </w:p>
    <w:p>
      <w:pPr>
        <w:pStyle w:val="ListBullet"/>
      </w:pPr>
      <w:r>
        <w:t>Academic integrity: Clear definitions of acceptable AIGC use by students; consequences for violations</w:t>
      </w:r>
    </w:p>
    <w:p>
      <w:pPr>
        <w:pStyle w:val="ListBullet"/>
      </w:pPr>
      <w:r>
        <w:t>Privacy &amp; data protection: Student consent processes; vendor assessment criteria; data retention schedules</w:t>
      </w:r>
    </w:p>
    <w:p>
      <w:pPr>
        <w:pStyle w:val="ListBullet"/>
      </w:pPr>
      <w:r>
        <w:t>Equity: Ensuring equal access; addressing bias in AIGC outputs; inclusion of marginalized students in decision-making</w:t>
      </w:r>
    </w:p>
    <w:p>
      <w:pPr>
        <w:pStyle w:val="ListBullet"/>
      </w:pPr>
      <w:r>
        <w:t>Transparency: Communication to families about AIGC uses, risks, benefits; opt-out provisions</w:t>
      </w:r>
    </w:p>
    <w:p>
      <w:pPr>
        <w:pStyle w:val="ListBullet"/>
      </w:pPr>
      <w:r>
        <w:t>Teacher agency: Protecting teacher autonomy in AIGC integration decisions</w:t>
      </w:r>
    </w:p>
    <w:p>
      <w:pPr>
        <w:pStyle w:val="ListBullet"/>
      </w:pPr>
      <w:r>
        <w:t>Monitoring &amp; accountability: Data collection; regular review; adjustments based on evidence</w:t>
      </w:r>
    </w:p>
    <w:p>
      <w:r>
        <w:t>---</w:t>
      </w:r>
    </w:p>
    <w:p>
      <w:r>
        <w:rPr>
          <w:b/>
        </w:rPr>
        <w:t>Recommendation 2: Create Phased Implementation Model</w:t>
      </w:r>
    </w:p>
    <w:p>
      <w:r>
        <w:t>Structure: 4-phase approach over 18-24 months</w:t>
      </w:r>
    </w:p>
    <w:p>
      <w:pPr>
        <w:pStyle w:val="ListBullet"/>
      </w:pPr>
      <w:r>
        <w:t>Phase 1 (Months 1-3): Pilot &amp; experimentation</w:t>
      </w:r>
    </w:p>
    <w:p>
      <w:pPr>
        <w:pStyle w:val="ListBullet"/>
      </w:pPr>
      <w:r>
        <w:t>Phase 2 (Months 3-6): Intensive PD &amp; capacity building</w:t>
      </w:r>
    </w:p>
    <w:p>
      <w:pPr>
        <w:pStyle w:val="ListBullet"/>
      </w:pPr>
      <w:r>
        <w:t>Phase 3 (Months 6-12): Scaled implementation with monitoring</w:t>
      </w:r>
    </w:p>
    <w:p>
      <w:pPr>
        <w:pStyle w:val="ListBullet"/>
      </w:pPr>
      <w:r>
        <w:t>Phase 4 (Year 2+): Continuous improvement &amp; sustainability</w:t>
      </w:r>
    </w:p>
    <w:p>
      <w:r>
        <w:t>---</w:t>
      </w:r>
    </w:p>
    <w:p>
      <w:r>
        <w:rPr>
          <w:b/>
        </w:rPr>
        <w:t>Recommendation 3: Establish Teacher Leadership &amp; Learning Communities</w:t>
      </w:r>
    </w:p>
    <w:p>
      <w:r>
        <w:t>Structures:</w:t>
      </w:r>
    </w:p>
    <w:p>
      <w:pPr>
        <w:pStyle w:val="ListBullet"/>
      </w:pPr>
      <w:r>
        <w:t>AIGC Integration Leadership Team (cross-subject, cross-grade)</w:t>
      </w:r>
    </w:p>
    <w:p>
      <w:pPr>
        <w:pStyle w:val="ListBullet"/>
      </w:pPr>
      <w:r>
        <w:t>Subject-specific prompt engineering communities of practice</w:t>
      </w:r>
    </w:p>
    <w:p>
      <w:pPr>
        <w:pStyle w:val="ListBullet"/>
      </w:pPr>
      <w:r>
        <w:t>Regular professional learning sessions (monthly minimum)</w:t>
      </w:r>
    </w:p>
    <w:p>
      <w:pPr>
        <w:pStyle w:val="ListBullet"/>
      </w:pPr>
      <w:r>
        <w:t>Peer observation/coaching protocols</w:t>
      </w:r>
    </w:p>
    <w:p>
      <w:pPr>
        <w:pStyle w:val="ListBullet"/>
      </w:pPr>
      <w:r>
        <w:t>Action research opportunities for interested teachers</w:t>
      </w:r>
    </w:p>
    <w:p>
      <w:r>
        <w:t>---</w:t>
      </w:r>
    </w:p>
    <w:p>
      <w:r>
        <w:rPr>
          <w:b/>
        </w:rPr>
        <w:t>Recommendation 4: Implement Robust Monitoring &amp; Evaluation</w:t>
      </w:r>
    </w:p>
    <w:p>
      <w:r>
        <w:t>Data collection:</w:t>
      </w:r>
    </w:p>
    <w:p>
      <w:pPr>
        <w:pStyle w:val="ListBullet"/>
      </w:pPr>
      <w:r>
        <w:t>Learning outcomes (achievement, engagement, attendance): Track by demographics; monitor equity gaps</w:t>
      </w:r>
    </w:p>
    <w:p>
      <w:pPr>
        <w:pStyle w:val="ListBullet"/>
      </w:pPr>
      <w:r>
        <w:t>Teacher outcomes (efficacy, confidence, job satisfaction): Pre/post surveys; qualitative feedback</w:t>
      </w:r>
    </w:p>
    <w:p>
      <w:pPr>
        <w:pStyle w:val="ListBullet"/>
      </w:pPr>
      <w:r>
        <w:t>Student experiences (perception, critical thinking development, motivation): Surveys, focus groups, classroom observation</w:t>
      </w:r>
    </w:p>
    <w:p>
      <w:pPr>
        <w:pStyle w:val="ListBullet"/>
      </w:pPr>
      <w:r>
        <w:t>Family/community perspective: Surveys; stakeholder input processes</w:t>
      </w:r>
    </w:p>
    <w:p>
      <w:pPr>
        <w:pStyle w:val="ListBullet"/>
      </w:pPr>
      <w:r>
        <w:t>AIGC-specific metrics: Accuracy of outputs; bias audit results; usage patterns by student demographic</w:t>
      </w:r>
    </w:p>
    <w:p>
      <w:r>
        <w:t>Analysis &amp; action: Quarterly data review; stakeholder communication; adjustments to implementation based on evidence.</w:t>
      </w:r>
    </w:p>
    <w:p>
      <w:r>
        <w:t>---</w:t>
      </w:r>
    </w:p>
    <w:p>
      <w:pPr>
        <w:pStyle w:val="Heading3"/>
      </w:pPr>
      <w:r>
        <w:t>X.C. Recommendations for Individual Educators</w:t>
      </w:r>
    </w:p>
    <w:p>
      <w:r>
        <w:rPr>
          <w:b/>
        </w:rPr>
        <w:t>Recommendation 1: Develop Personal AIGC Competency Plan</w:t>
      </w:r>
    </w:p>
    <w:p>
      <w:r>
        <w:t>Self-assessment against 15 competency domains (Section VIII.A); identify priority areas for growth; engage in targeted learning; document evidence of competency attainment through teaching portfolio.</w:t>
      </w:r>
    </w:p>
    <w:p>
      <w:r>
        <w:t>---</w:t>
      </w:r>
    </w:p>
    <w:p>
      <w:r>
        <w:rPr>
          <w:b/>
        </w:rPr>
        <w:t>Recommendation 2: Adopt Experimental Stance; Start Small</w:t>
      </w:r>
    </w:p>
    <w:p>
      <w:r>
        <w:t>Rather than wholesale classroom redesign, experiment with AIGC in limited, bounded ways:</w:t>
      </w:r>
    </w:p>
    <w:p>
      <w:pPr>
        <w:pStyle w:val="ListBullet"/>
      </w:pPr>
      <w:r>
        <w:t>Choose one lesson per unit using AIGC as supplement</w:t>
      </w:r>
    </w:p>
    <w:p>
      <w:pPr>
        <w:pStyle w:val="ListBullet"/>
      </w:pPr>
      <w:r>
        <w:t>Evaluate student outcomes, equity impacts, unintended consequences</w:t>
      </w:r>
    </w:p>
    <w:p>
      <w:pPr>
        <w:pStyle w:val="ListBullet"/>
      </w:pPr>
      <w:r>
        <w:t>Solicit student/family feedback</w:t>
      </w:r>
    </w:p>
    <w:p>
      <w:pPr>
        <w:pStyle w:val="ListBullet"/>
      </w:pPr>
      <w:r>
        <w:t>Iterate based on evidence</w:t>
      </w:r>
    </w:p>
    <w:p>
      <w:pPr>
        <w:pStyle w:val="ListBullet"/>
      </w:pPr>
      <w:r>
        <w:t>Scale gradually as confidence and data support</w:t>
      </w:r>
    </w:p>
    <w:p>
      <w:r>
        <w:t>---</w:t>
      </w:r>
    </w:p>
    <w:p>
      <w:r>
        <w:rPr>
          <w:b/>
        </w:rPr>
        <w:t>Recommendation 3: Maintain Critical Stance; Prioritize Student Agency</w:t>
      </w:r>
    </w:p>
    <w:p>
      <w:r>
        <w:t>AIGC should enhance, not replace, human connection or critical thinking:</w:t>
      </w:r>
    </w:p>
    <w:p>
      <w:pPr>
        <w:pStyle w:val="ListBullet"/>
      </w:pPr>
      <w:r>
        <w:t>Require students to evaluate AIGC outputs for accuracy/bias</w:t>
      </w:r>
    </w:p>
    <w:p>
      <w:pPr>
        <w:pStyle w:val="ListBullet"/>
      </w:pPr>
      <w:r>
        <w:t>Use AIGC as thought partner, not solution provider</w:t>
      </w:r>
    </w:p>
    <w:p>
      <w:pPr>
        <w:pStyle w:val="ListBullet"/>
      </w:pPr>
      <w:r>
        <w:t>Maintain regular teacher-student interaction; human feedback remains essential</w:t>
      </w:r>
    </w:p>
    <w:p>
      <w:pPr>
        <w:pStyle w:val="ListBullet"/>
      </w:pPr>
      <w:r>
        <w:t>Design assessment emphasizing student thinking, not reproduction of AIGC outputs</w:t>
      </w:r>
    </w:p>
    <w:p>
      <w:r>
        <w:t>---</w:t>
      </w:r>
    </w:p>
    <w:p>
      <w:r>
        <w:rPr>
          <w:b/>
        </w:rPr>
        <w:t>Recommendation 4: Engage Families; Communicate Transparently</w:t>
      </w:r>
    </w:p>
    <w:p>
      <w:r>
        <w:t>Proactive communication reduces resistance; builds trust:</w:t>
      </w:r>
    </w:p>
    <w:p>
      <w:pPr>
        <w:pStyle w:val="ListBullet"/>
      </w:pPr>
      <w:r>
        <w:t>Explain AIGC rationale: What learning objectives does it serve?</w:t>
      </w:r>
    </w:p>
    <w:p>
      <w:pPr>
        <w:pStyle w:val="ListBullet"/>
      </w:pPr>
      <w:r>
        <w:t>Address concerns openly: What are risks? How are they mitigated?</w:t>
      </w:r>
    </w:p>
    <w:p>
      <w:pPr>
        <w:pStyle w:val="ListBullet"/>
      </w:pPr>
      <w:r>
        <w:t>Invite family input: How do you want your child's AIGC use monitored?</w:t>
      </w:r>
    </w:p>
    <w:p>
      <w:pPr>
        <w:pStyle w:val="ListBullet"/>
      </w:pPr>
      <w:r>
        <w:t>Provide opt-out options: Respect family preferences regarding AIGC</w:t>
      </w:r>
    </w:p>
    <w:p>
      <w:pPr>
        <w:pStyle w:val="ListBullet"/>
      </w:pPr>
      <w:r>
        <w:t>Share outcomes: How does AIGC impact your student's learning?</w:t>
      </w:r>
    </w:p>
    <w:p>
      <w:r>
        <w:t>---</w:t>
      </w:r>
    </w:p>
    <w:p>
      <w:pPr>
        <w:pStyle w:val="Heading2"/>
      </w:pPr>
      <w:r>
        <w:t>XI. ALIGNMENT WITH SUSTAINABLE DEVELOPMENT GOALS &amp; STRATEGIC ELEVATION</w:t>
      </w:r>
    </w:p>
    <w:p>
      <w:pPr>
        <w:pStyle w:val="Heading3"/>
      </w:pPr>
      <w:r>
        <w:t>XI.A. SDG 4 (Quality Education) and AIGC</w:t>
      </w:r>
    </w:p>
    <w:p>
      <w:r>
        <w:rPr>
          <w:b/>
        </w:rPr>
        <w:t>SDG 4 Target 4.1</w:t>
      </w:r>
      <w:r>
        <w:t>: Ensure free primary and secondary education; quality, relevant learning opportunities</w:t>
      </w:r>
    </w:p>
    <w:p>
      <w:r>
        <w:t>AIGC application:</w:t>
      </w:r>
    </w:p>
    <w:p>
      <w:pPr>
        <w:pStyle w:val="ListBullet"/>
      </w:pPr>
      <w:r>
        <w:t>Personalized learning can increase achievement in under-resourced schools (via adaptive scaffolding, efficient teacher support)</w:t>
      </w:r>
    </w:p>
    <w:p>
      <w:pPr>
        <w:pStyle w:val="ListBullet"/>
      </w:pPr>
      <w:r>
        <w:t>Cost-effective content generation reduces resource constraints</w:t>
      </w:r>
    </w:p>
    <w:p>
      <w:pPr>
        <w:pStyle w:val="ListBullet"/>
      </w:pPr>
      <w:r>
        <w:t>BUT: Without infrastructure investment, AIGC widens inequality</w:t>
      </w:r>
    </w:p>
    <w:p>
      <w:r>
        <w:t>Recommendation: Couple AIGC with infrastructure investment, teacher training, equity-focused implementation.</w:t>
      </w:r>
    </w:p>
    <w:p>
      <w:r>
        <w:t>---</w:t>
      </w:r>
    </w:p>
    <w:p>
      <w:r>
        <w:rPr>
          <w:b/>
        </w:rPr>
        <w:t>SDG 4 Target 4.5</w:t>
      </w:r>
      <w:r>
        <w:t>: Eliminate education disparities; provide quality education for vulnerable populations</w:t>
      </w:r>
    </w:p>
    <w:p>
      <w:r>
        <w:t>AIGC application:</w:t>
      </w:r>
    </w:p>
    <w:p>
      <w:pPr>
        <w:pStyle w:val="ListBullet"/>
      </w:pPr>
      <w:r>
        <w:t>Multimodal content accommodates diverse learners (visual, auditory, kinesthetic)</w:t>
      </w:r>
    </w:p>
    <w:p>
      <w:pPr>
        <w:pStyle w:val="ListBullet"/>
      </w:pPr>
      <w:r>
        <w:t>Personalization supports students with disabilities, learning differences</w:t>
      </w:r>
    </w:p>
    <w:p>
      <w:pPr>
        <w:pStyle w:val="ListBullet"/>
      </w:pPr>
      <w:r>
        <w:t>Language support aids ELL students</w:t>
      </w:r>
    </w:p>
    <w:p>
      <w:r>
        <w:t>BUT: Requires intentional universal design; not automatic.</w:t>
      </w:r>
    </w:p>
    <w:p>
      <w:r>
        <w:t>Recommendation: Center equity in AIGC design; include students with disabilities in pilot testing; conduct bias audits.</w:t>
      </w:r>
    </w:p>
    <w:p>
      <w:r>
        <w:t>---</w:t>
      </w:r>
    </w:p>
    <w:p>
      <w:r>
        <w:rPr>
          <w:b/>
        </w:rPr>
        <w:t>SDG 4 Target 4.7</w:t>
      </w:r>
      <w:r>
        <w:t>: Ensure all students acquire knowledge/skills for sustainable development; global citizenship; human rights</w:t>
      </w:r>
    </w:p>
    <w:p>
      <w:r>
        <w:t>AIGC application:</w:t>
      </w:r>
    </w:p>
    <w:p>
      <w:pPr>
        <w:pStyle w:val="ListBullet"/>
      </w:pPr>
      <w:r>
        <w:t>AI literacy curriculum develops critical thinking about technology's role</w:t>
      </w:r>
    </w:p>
    <w:p>
      <w:pPr>
        <w:pStyle w:val="ListBullet"/>
      </w:pPr>
      <w:r>
        <w:t>AIGC can expose diverse perspectives; counter echo chambers</w:t>
      </w:r>
    </w:p>
    <w:p>
      <w:pPr>
        <w:pStyle w:val="ListBullet"/>
      </w:pPr>
      <w:r>
        <w:t>Supports contextualized, culturally relevant learning</w:t>
      </w:r>
    </w:p>
    <w:p>
      <w:r>
        <w:t>Recommendation: Integrate AI literacy across curriculum; teach critical evaluation of AIGC; include multiple perspectives in AIGC-generated content.</w:t>
      </w:r>
    </w:p>
    <w:p>
      <w:r>
        <w:t>---</w:t>
      </w:r>
    </w:p>
    <w:p>
      <w:pPr>
        <w:pStyle w:val="Heading3"/>
      </w:pPr>
      <w:r>
        <w:t>XI.B. Supporting SDGs via AIGC-Enhanced Education</w:t>
      </w:r>
    </w:p>
    <w:p>
      <w:r>
        <w:rPr>
          <w:b/>
        </w:rPr>
        <w:t>SDG 5 (Gender Equality)</w:t>
      </w:r>
      <w:r>
        <w:t>: AIGC can personalize learning, reducing gender-based achievement gaps; BUT biased training data perpetuates gender stereotypes. Mitigation: Bias audits; inclusive AIGC design; critical gender literacy.</w:t>
      </w:r>
    </w:p>
    <w:p>
      <w:r>
        <w:rPr>
          <w:b/>
        </w:rPr>
        <w:t>SDG 10 (Reduced Inequalities)</w:t>
      </w:r>
      <w:r>
        <w:t>: AIGC enables personalization, bridging achievement gaps; BUT infrastructure and cost barriers deepen inequality without deliberate action. Mitigation: Infrastructure investment; equitable access; monitoring of equity impacts.</w:t>
      </w:r>
    </w:p>
    <w:p>
      <w:r>
        <w:rPr>
          <w:b/>
        </w:rPr>
        <w:t>SDG 16 (Peace, Justice, Institutions)</w:t>
      </w:r>
      <w:r>
        <w:t>: AI governance, transparency, accountability are justice issues. AIGC should operate within transparent governance frameworks; respect student rights; enable inclusive decision-making.</w:t>
      </w:r>
    </w:p>
    <w:p>
      <w:r>
        <w:t>---</w:t>
      </w:r>
    </w:p>
    <w:p>
      <w:pPr>
        <w:pStyle w:val="Heading3"/>
      </w:pPr>
      <w:r>
        <w:t>XI.C. Connecting to Broader Educational Transformation Agenda</w:t>
      </w:r>
    </w:p>
    <w:p>
      <w:r>
        <w:t>AIGC is one element within broader digital transformation agenda. Holistic strategy integrates:</w:t>
      </w:r>
    </w:p>
    <w:p>
      <w:pPr>
        <w:pStyle w:val="ListNumber"/>
      </w:pPr>
      <w:r>
        <w:rPr>
          <w:b/>
        </w:rPr>
        <w:t>Infrastructure</w:t>
      </w:r>
      <w:r>
        <w:t>: Broadband, devices, systems supporting all students</w:t>
      </w:r>
    </w:p>
    <w:p>
      <w:pPr>
        <w:pStyle w:val="ListNumber"/>
      </w:pPr>
      <w:r>
        <w:rPr>
          <w:b/>
        </w:rPr>
        <w:t>Teacher development</w:t>
      </w:r>
      <w:r>
        <w:t>: Comprehensive PD; technology + pedagogy + ethics integration</w:t>
      </w:r>
    </w:p>
    <w:p>
      <w:pPr>
        <w:pStyle w:val="ListNumber"/>
      </w:pPr>
      <w:r>
        <w:rPr>
          <w:b/>
        </w:rPr>
        <w:t>Curriculum</w:t>
      </w:r>
      <w:r>
        <w:t>: AI literacy, critical thinking, digital citizenship alongside subject content</w:t>
      </w:r>
    </w:p>
    <w:p>
      <w:pPr>
        <w:pStyle w:val="ListNumber"/>
      </w:pPr>
      <w:r>
        <w:rPr>
          <w:b/>
        </w:rPr>
        <w:t>Governance</w:t>
      </w:r>
      <w:r>
        <w:t>: Transparent, equitable, accountable AIGC deployment</w:t>
      </w:r>
    </w:p>
    <w:p>
      <w:pPr>
        <w:pStyle w:val="ListNumber"/>
      </w:pPr>
      <w:r>
        <w:rPr>
          <w:b/>
        </w:rPr>
        <w:t>Family/Community</w:t>
      </w:r>
      <w:r>
        <w:t>: Engaged, informed partners in AIGC decisions</w:t>
      </w:r>
    </w:p>
    <w:p>
      <w:pPr>
        <w:pStyle w:val="ListNumber"/>
      </w:pPr>
      <w:r>
        <w:rPr>
          <w:b/>
        </w:rPr>
        <w:t>Research</w:t>
      </w:r>
      <w:r>
        <w:t>: Continuous learning about AIGC effectiveness, equity impacts, long-term outcomes</w:t>
      </w:r>
    </w:p>
    <w:p>
      <w:r>
        <w:t>This holistic approach maximizes probability of realizing AIGC's potential for SDG 4 achievement while mitigating risks.</w:t>
      </w:r>
    </w:p>
    <w:p>
      <w:r>
        <w:t>---</w:t>
      </w:r>
    </w:p>
    <w:p>
      <w:pPr>
        <w:pStyle w:val="Heading2"/>
      </w:pPr>
      <w:r>
        <w:t>XII. CONCLUSION</w:t>
      </w:r>
    </w:p>
    <w:p>
      <w:r>
        <w:t>The integration of Artificial Intelligence-Generated Content into K-12 educational systems represents a significant pedagogical, technical, and societal undertaking with implications extending far beyond the classroom. The synthesis of evidence from authoritative international bodies (UNESCO, OECD, World Bank) and 30 peer-reviewed empirical studies reveals a landscape characterized by both substantial promise and considerable risk.</w:t>
      </w:r>
    </w:p>
    <w:p>
      <w:pPr>
        <w:pStyle w:val="Heading3"/>
      </w:pPr>
      <w:r>
        <w:t>XII.A. Key Conclusions</w:t>
      </w:r>
    </w:p>
    <w:p>
      <w:r>
        <w:rPr>
          <w:b/>
        </w:rPr>
        <w:t>Finding 1: AIGC offers transformative potential for personalized, equitable learning—IF deliberately designed and deployed within robust governance frameworks.</w:t>
      </w:r>
    </w:p>
    <w:p>
      <w:r>
        <w:t>Evidence demonstrates that adaptive learning systems powered by AIGC can increase engagement, improve comprehension, reduce achievement gaps, and support students with diverse learning needs. Examples from Taiwan, China, and the United States show AIGC enhancing pedagogical effectiveness when implemented with teacher oversight and student critical evaluation. However, this potential is contingent on intentional design; without safeguards, AIGC risks perpetuating and amplifying existing inequities.</w:t>
      </w:r>
    </w:p>
    <w:p>
      <w:r>
        <w:rPr>
          <w:b/>
        </w:rPr>
        <w:t>Finding 2: Pedagogical and implementation challenges substantially outweigh technical barriers; successful AIGC integration depends primarily on teacher capacity, curriculum alignment, and ethical governance.</w:t>
      </w:r>
    </w:p>
    <w:p>
      <w:r>
        <w:t>Analysis of 30 implementation studies identifies pedagogical barriers (34% of challenges) as primary concern, followed by access/equity issues (19%). Technical constraints account for only 16% of identified barriers. This finding has profound implications: technology alone is insufficient; systematic investment in teacher professional development, curriculum redesign, and governance frameworks is essential.</w:t>
      </w:r>
    </w:p>
    <w:p>
      <w:r>
        <w:rPr>
          <w:b/>
        </w:rPr>
        <w:t>Finding 3: Teacher professional development represents the highest-leverage intervention; estimated 44+ hours foundational PD per educator is necessary and achievable.</w:t>
      </w:r>
    </w:p>
    <w:p>
      <w:r>
        <w:t>Comprehensive PD addressing AI literacy, subject-specific prompting, pedagogical integration, ethics, and data literacy can position teachers as effective AIGC implementers. The cost (approximately $2,000-3,000 per teacher) represents manageable investment relative to education budgets and ROI potential.</w:t>
      </w:r>
    </w:p>
    <w:p>
      <w:r>
        <w:rPr>
          <w:b/>
        </w:rPr>
        <w:t>Finding 4: Equity must be centered, not peripheral, in AIGC deployment; without deliberate safeguards, technology will widen opportunity gaps.</w:t>
      </w:r>
    </w:p>
    <w:p>
      <w:r>
        <w:t>Digital divide, teacher capacity disparities, language barriers, and algorithm bias create multiple pathways through which AIGC can exacerbate inequality. UNESCO's warning that "AI risks deepening inequality" without safeguards is fully justified by evidence. Mitigation requires: infrastructure investment prioritizing underserved regions; culturally responsive implementation; bias audits; and monitoring of equity impacts.</w:t>
      </w:r>
    </w:p>
    <w:p>
      <w:r>
        <w:rPr>
          <w:b/>
        </w:rPr>
        <w:t>Finding 5: Governance frameworks, policy clarity, and institutional accountability are prerequisites for responsible AIGC integration.</w:t>
      </w:r>
    </w:p>
    <w:p>
      <w:r>
        <w:t>Current state of governance (no binding regulations in any country; only 9 of 18 OECD nations with non-binding guidance) creates vacuum in which schools/vendors operate with minimal oversight. Adaptive governance frameworks—combining non-binding guidance, transparent accountability, regular audit cycles, and multi-stakeholder input—offer promising model. Data protection, student privacy, algorithm transparency, and vendor accountability must be mandated.</w:t>
      </w:r>
    </w:p>
    <w:p>
      <w:r>
        <w:t>---</w:t>
      </w:r>
    </w:p>
    <w:p>
      <w:pPr>
        <w:pStyle w:val="Heading3"/>
      </w:pPr>
      <w:r>
        <w:t>XII.B. Vision for K-12 AIGC Integration in 2030</w:t>
      </w:r>
    </w:p>
    <w:p>
      <w:r>
        <w:t>If evidence-based recommendations in this report are implemented, K-12 systems in 2030 may realize AIGC as:</w:t>
      </w:r>
    </w:p>
    <w:p>
      <w:pPr>
        <w:pStyle w:val="ListBullet"/>
      </w:pPr>
      <w:r>
        <w:rPr>
          <w:b/>
        </w:rPr>
        <w:t>Pedagogical tool</w:t>
      </w:r>
      <w:r>
        <w:t>: AIGC supports personalized learning pathways; teachers maintain agency; human connection remains central</w:t>
      </w:r>
    </w:p>
    <w:p>
      <w:pPr>
        <w:pStyle w:val="ListBullet"/>
      </w:pPr>
      <w:r>
        <w:rPr>
          <w:b/>
        </w:rPr>
        <w:t>Equitable lever</w:t>
      </w:r>
      <w:r>
        <w:t>: Broadband access universal; infrastructure supports all students; AIGC benefits reach marginalized populations</w:t>
      </w:r>
    </w:p>
    <w:p>
      <w:pPr>
        <w:pStyle w:val="ListBullet"/>
      </w:pPr>
      <w:r>
        <w:rPr>
          <w:b/>
        </w:rPr>
        <w:t>Literacy imperative</w:t>
      </w:r>
      <w:r>
        <w:t>: All students possess AI literacy; understand capabilities/limitations; evaluate AIGC outputs critically</w:t>
      </w:r>
    </w:p>
    <w:p>
      <w:pPr>
        <w:pStyle w:val="ListBullet"/>
      </w:pPr>
      <w:r>
        <w:rPr>
          <w:b/>
        </w:rPr>
        <w:t>Teacher augmentation</w:t>
      </w:r>
      <w:r>
        <w:t>: Teachers empowered with AIGC tools; professional autonomy protected; time freed for human interaction</w:t>
      </w:r>
    </w:p>
    <w:p>
      <w:pPr>
        <w:pStyle w:val="ListBullet"/>
      </w:pPr>
      <w:r>
        <w:rPr>
          <w:b/>
        </w:rPr>
        <w:t>Governed responsibly</w:t>
      </w:r>
      <w:r>
        <w:t>: Transparent policies; student data protected; bias audited regularly; multi-stakeholder accountability</w:t>
      </w:r>
    </w:p>
    <w:p>
      <w:r>
        <w:t>Realization of this vision requires immediate action: governance frameworks established now will shape technology trajectory for decade. Delay in policy development risks allowing market forces and technological momentum to determine AIGC deployment, potentially at expense of equity and human flourishing.</w:t>
      </w:r>
    </w:p>
    <w:p>
      <w:r>
        <w:t>---</w:t>
      </w:r>
    </w:p>
    <w:p>
      <w:pPr>
        <w:pStyle w:val="Heading3"/>
      </w:pPr>
      <w:r>
        <w:t>XII.C. Call to Action</w:t>
      </w:r>
    </w:p>
    <w:p>
      <w:r>
        <w:rPr>
          <w:b/>
        </w:rPr>
        <w:t>For Policymakers</w:t>
      </w:r>
      <w:r>
        <w:t>: Develop adaptive governance frameworks now. Infrastructure investment cannot wait; teacher PD must begin immediately. Equity impact assessments should be mandatory for all AIGC deployments.</w:t>
      </w:r>
    </w:p>
    <w:p>
      <w:r>
        <w:rPr>
          <w:b/>
        </w:rPr>
        <w:t>For School Leaders</w:t>
      </w:r>
      <w:r>
        <w:t>: Begin pilots in Year 1; invest substantially in teacher PD; establish governance structures. Monitor equity impacts rigorously; be prepared to adjust or halt if data shows harm.</w:t>
      </w:r>
    </w:p>
    <w:p>
      <w:r>
        <w:rPr>
          <w:b/>
        </w:rPr>
        <w:t>For Teachers</w:t>
      </w:r>
      <w:r>
        <w:t>: Engage professional development; experiment thoughtfully; maintain critical stance toward AIGC; prioritize student agency and human connection. Your expertise and judgment remain central to effective learning.</w:t>
      </w:r>
    </w:p>
    <w:p>
      <w:r>
        <w:rPr>
          <w:b/>
        </w:rPr>
        <w:t>For Researchers</w:t>
      </w:r>
      <w:r>
        <w:t>: Conduct longitudinal studies; assess long-term impacts on critical thinking, equity, student well-being; include diverse populations; publish findings rapidly to inform practice.</w:t>
      </w:r>
    </w:p>
    <w:p>
      <w:r>
        <w:rPr>
          <w:b/>
        </w:rPr>
        <w:t>For Students &amp; Families</w:t>
      </w:r>
      <w:r>
        <w:t>: Engage with AIGC thoughtfully; develop AI literacy; hold institutions accountable; participate in governance processes; your voice matters.</w:t>
      </w:r>
    </w:p>
    <w:p>
      <w:r>
        <w:t>---</w:t>
      </w:r>
    </w:p>
    <w:p>
      <w:pPr>
        <w:pStyle w:val="Heading2"/>
      </w:pPr>
      <w:r>
        <w:t>REFERENCES</w:t>
      </w:r>
    </w:p>
    <w:p>
      <w:r>
        <w:t>[1] UNESCO. (2024). AI and Education: Guidance for Policy-Makers. UNESCO Artificial Intelligence in Education Initiative.</w:t>
      </w:r>
    </w:p>
    <w:p>
      <w:r>
        <w:t>[2] OECD. (2024). Emerging Governance of Generative AI in Education: An Overview of 18 Countries. Digital Education Outlook 2023.</w:t>
      </w:r>
    </w:p>
    <w:p>
      <w:r>
        <w:t>[3] Vorobyeva, K. I., et al. (2025). Personalized Learning through AI: Pedagogical Approaches and Critical Insights. Contemporary Educational Technology, 17(2), ep574.</w:t>
      </w:r>
    </w:p>
    <w:p>
      <w:r>
        <w:t>[4] World Bank &amp; Inter-American Development Bank. (2023). Connected: Digital Transformation to Accelerate Learning. Connected Schools for All Initiative.</w:t>
      </w:r>
    </w:p>
    <w:p>
      <w:r>
        <w:t>[5] Xie, H., et al. (2019). Constructivist Learning and Personalized Learning in the AI Age. Educational Technology Research and Development, 67(3), 589-603.</w:t>
      </w:r>
    </w:p>
    <w:p>
      <w:r>
        <w:t>[6] Holmes, K., Bialik, M., &amp; Fadel, C. (2019). Artificial Intelligence in Education: Promises and Implications. Center for Curriculum Redesign.</w:t>
      </w:r>
    </w:p>
    <w:p>
      <w:r>
        <w:t>[7] Alfarwan, A. (2025). Generative AI Use in K-12 Education: A Systematic Review. Frontiers in Education, 10, 1647573.</w:t>
      </w:r>
    </w:p>
    <w:p>
      <w:r>
        <w:t>[8] Kochmar, E., et al. (2022). Artificial Intelligence for Education: What and How. Proceedings of ACL Tutorial.</w:t>
      </w:r>
    </w:p>
    <w:p>
      <w:r>
        <w:t>[9] UNESCO. (2021). K-12 AI Curricula: A Mapping of Government-Endorsed AI Curricula. UNESCO Report.</w:t>
      </w:r>
    </w:p>
    <w:p>
      <w:r>
        <w:t>[10] Panorama Education. (2025). Generative AI in Education: A Guide for District Leaders. Panorama Educational Research.</w:t>
      </w:r>
    </w:p>
    <w:p>
      <w:r>
        <w:t>[11] Yang, et al. (2025a). Generative AI and Elementary Literacy Education: A Qualitative Study. Journal of Educational Technology &amp; Society.</w:t>
      </w:r>
    </w:p>
    <w:p>
      <w:r>
        <w:t>---</w:t>
      </w:r>
    </w:p>
    <w:p>
      <w:r>
        <w:rPr>
          <w:b/>
        </w:rPr>
        <w:t>Document Control</w:t>
      </w:r>
    </w:p>
    <w:p>
      <w:pPr>
        <w:pStyle w:val="ListBullet"/>
      </w:pPr>
      <w:r>
        <w:t>Classification: Professional Research &amp; Analysis</w:t>
      </w:r>
    </w:p>
    <w:p>
      <w:pPr>
        <w:pStyle w:val="ListBullet"/>
      </w:pPr>
      <w:r>
        <w:t>Version: 1.0</w:t>
      </w:r>
    </w:p>
    <w:p>
      <w:pPr>
        <w:pStyle w:val="ListBullet"/>
      </w:pPr>
      <w:r>
        <w:t>Date: December 31, 2025</w:t>
      </w:r>
    </w:p>
    <w:p>
      <w:pPr>
        <w:pStyle w:val="ListBullet"/>
      </w:pPr>
      <w:r>
        <w:t>Intended Audience: Educational policymakers, K-12 administrators, teachers, education researchers</w:t>
      </w:r>
    </w:p>
    <w:p>
      <w:pPr>
        <w:pStyle w:val="ListBullet"/>
      </w:pPr>
      <w:r>
        <w:t>Citation: Senior Educational Technology Analyst. (2025). AI-Generated Content in K-12 Education: Global Case Studies, Application Frameworks, and Strategic Implementation Guidelines. Professional Research Report.</w:t>
      </w:r>
    </w:p>
    <w:p>
      <w:r>
        <w:t>---</w:t>
      </w:r>
    </w:p>
    <w:p>
      <w:r>
        <w:rPr>
          <w:b/>
        </w:rPr>
        <w:t>APPENDIX A: Recommended Tools and Platforms</w:t>
      </w:r>
    </w:p>
    <w:p>
      <w:r>
        <w:rPr>
          <w:i/>
        </w:rPr>
        <w:t>Note: This appendix provides information current as of December 2025; tools evolve rapidly. Institutions should conduct their own assessments of alignment with local needs, privacy/security standards, and equity considerations.</w:t>
      </w:r>
    </w:p>
    <w:p>
      <w:pPr>
        <w:pStyle w:val="Heading3"/>
      </w:pPr>
      <w:r>
        <w:t>Free/Freemium Generative AI Tools</w:t>
      </w:r>
    </w:p>
    <w:p>
      <w:pPr>
        <w:pStyle w:val="ListBullet"/>
      </w:pPr>
      <w:r>
        <w:rPr>
          <w:b/>
        </w:rPr>
        <w:t>ChatGPT (OpenAI)</w:t>
      </w:r>
      <w:r>
        <w:t>: Text generation; requires free account; GPT-3.5 free; GPT-4 subscription</w:t>
      </w:r>
    </w:p>
    <w:p>
      <w:pPr>
        <w:pStyle w:val="ListBullet"/>
      </w:pPr>
      <w:r>
        <w:rPr>
          <w:b/>
        </w:rPr>
        <w:t>Google Gemini</w:t>
      </w:r>
      <w:r>
        <w:t>: Free tier available; multimodal capabilities</w:t>
      </w:r>
    </w:p>
    <w:p>
      <w:pPr>
        <w:pStyle w:val="ListBullet"/>
      </w:pPr>
      <w:r>
        <w:rPr>
          <w:b/>
        </w:rPr>
        <w:t>Microsoft Copilot</w:t>
      </w:r>
      <w:r>
        <w:t>: Free; integrated with Office 365</w:t>
      </w:r>
    </w:p>
    <w:p>
      <w:pPr>
        <w:pStyle w:val="Heading3"/>
      </w:pPr>
      <w:r>
        <w:t>Education-Specific Platforms</w:t>
      </w:r>
    </w:p>
    <w:p>
      <w:pPr>
        <w:pStyle w:val="ListBullet"/>
      </w:pPr>
      <w:r>
        <w:rPr>
          <w:b/>
        </w:rPr>
        <w:t>Khanmigo</w:t>
      </w:r>
      <w:r>
        <w:t>: Free with Khan Academy; AI tutor + personalization</w:t>
      </w:r>
    </w:p>
    <w:p>
      <w:pPr>
        <w:pStyle w:val="ListBullet"/>
      </w:pPr>
      <w:r>
        <w:rPr>
          <w:b/>
        </w:rPr>
        <w:t>Curipod</w:t>
      </w:r>
      <w:r>
        <w:t>: Free tier for lesson slide generation with interactive elements</w:t>
      </w:r>
    </w:p>
    <w:p>
      <w:pPr>
        <w:pStyle w:val="ListBullet"/>
      </w:pPr>
      <w:r>
        <w:rPr>
          <w:b/>
        </w:rPr>
        <w:t>MagicSchool.ai</w:t>
      </w:r>
      <w:r>
        <w:t>: Subscription; district-aligned; privacy-focused</w:t>
      </w:r>
    </w:p>
    <w:p>
      <w:pPr>
        <w:pStyle w:val="ListBullet"/>
      </w:pPr>
      <w:r>
        <w:rPr>
          <w:b/>
        </w:rPr>
        <w:t>Diffit</w:t>
      </w:r>
      <w:r>
        <w:t>: Free tier for leveled resource generation</w:t>
      </w:r>
    </w:p>
    <w:p>
      <w:pPr>
        <w:pStyle w:val="ListBullet"/>
      </w:pPr>
      <w:r>
        <w:rPr>
          <w:b/>
        </w:rPr>
        <w:t>QuestionWell</w:t>
      </w:r>
      <w:r>
        <w:t>: Assessment question generation</w:t>
      </w:r>
    </w:p>
    <w:p>
      <w:pPr>
        <w:pStyle w:val="Heading3"/>
      </w:pPr>
      <w:r>
        <w:t>Adaptive Learning Systems</w:t>
      </w:r>
    </w:p>
    <w:p>
      <w:pPr>
        <w:pStyle w:val="ListBullet"/>
      </w:pPr>
      <w:r>
        <w:rPr>
          <w:b/>
        </w:rPr>
        <w:t>Dream Box</w:t>
      </w:r>
      <w:r>
        <w:t>: Adaptive math for grades K-8; subscription</w:t>
      </w:r>
    </w:p>
    <w:p>
      <w:pPr>
        <w:pStyle w:val="ListBullet"/>
      </w:pPr>
      <w:r>
        <w:rPr>
          <w:b/>
        </w:rPr>
        <w:t>Smart Sparrow</w:t>
      </w:r>
      <w:r>
        <w:t>: Adaptive science content; institutional licensing</w:t>
      </w:r>
    </w:p>
    <w:p>
      <w:pPr>
        <w:pStyle w:val="ListBullet"/>
      </w:pPr>
      <w:r>
        <w:rPr>
          <w:b/>
        </w:rPr>
        <w:t>Carnegie Learning</w:t>
      </w:r>
      <w:r>
        <w:t>: High school STEM; subscription model</w:t>
      </w:r>
    </w:p>
    <w:p>
      <w:pPr>
        <w:pStyle w:val="Heading3"/>
      </w:pPr>
      <w:r>
        <w:t>Specialist Tools</w:t>
      </w:r>
    </w:p>
    <w:p>
      <w:pPr>
        <w:pStyle w:val="ListBullet"/>
      </w:pPr>
      <w:r>
        <w:rPr>
          <w:b/>
        </w:rPr>
        <w:t>Duolingo</w:t>
      </w:r>
      <w:r>
        <w:t>: Language learning; freemium model</w:t>
      </w:r>
    </w:p>
    <w:p>
      <w:pPr>
        <w:pStyle w:val="ListBullet"/>
      </w:pPr>
      <w:r>
        <w:rPr>
          <w:b/>
        </w:rPr>
        <w:t>Synthesia/HeyGen</w:t>
      </w:r>
      <w:r>
        <w:t>: AI video generation; subscription</w:t>
      </w:r>
    </w:p>
    <w:p>
      <w:pPr>
        <w:pStyle w:val="ListBullet"/>
      </w:pPr>
      <w:r>
        <w:rPr>
          <w:b/>
        </w:rPr>
        <w:t>Canva Magic Write</w:t>
      </w:r>
      <w:r>
        <w:t>: Design + text generation; subscription</w:t>
      </w:r>
    </w:p>
    <w:p>
      <w:r>
        <w:t>---</w:t>
      </w:r>
    </w:p>
    <w:p>
      <w:r>
        <w:rPr>
          <w:b/>
        </w:rPr>
        <w:t>APPENDIX B: Sample AIGC Implementation Timeline (12-Month Model)</w:t>
      </w:r>
    </w:p>
    <w:p>
      <w:r>
        <w:rPr>
          <w:b/>
        </w:rPr>
        <w:t>MONTHS 1-3: Planning &amp; Pilot</w:t>
      </w:r>
    </w:p>
    <w:p>
      <w:pPr>
        <w:pStyle w:val="ListBullet"/>
      </w:pPr>
      <w:r>
        <w:t>Form AIGC governance committee</w:t>
      </w:r>
    </w:p>
    <w:p>
      <w:pPr>
        <w:pStyle w:val="ListBullet"/>
      </w:pPr>
      <w:r>
        <w:t>Conduct readiness assessment (infrastructure, teacher capacity, policy)</w:t>
      </w:r>
    </w:p>
    <w:p>
      <w:pPr>
        <w:pStyle w:val="ListBullet"/>
      </w:pPr>
      <w:r>
        <w:t>Establish baseline: learning outcomes, teacher efficacy, equity metrics</w:t>
      </w:r>
    </w:p>
    <w:p>
      <w:pPr>
        <w:pStyle w:val="ListBullet"/>
      </w:pPr>
      <w:r>
        <w:t>Select 2-3 pilot schools; recruit volunteer teachers</w:t>
      </w:r>
    </w:p>
    <w:p>
      <w:pPr>
        <w:pStyle w:val="ListBullet"/>
      </w:pPr>
      <w:r>
        <w:t>Begin foundational teacher PD (AI literacy basics)</w:t>
      </w:r>
    </w:p>
    <w:p>
      <w:pPr>
        <w:pStyle w:val="ListBullet"/>
      </w:pPr>
      <w:r>
        <w:t>Identify open-source/free AIGC tools; test with small student groups</w:t>
      </w:r>
    </w:p>
    <w:p>
      <w:r>
        <w:rPr>
          <w:b/>
        </w:rPr>
        <w:t>MONTHS 4-6: Capacity Building</w:t>
      </w:r>
    </w:p>
    <w:p>
      <w:pPr>
        <w:pStyle w:val="ListBullet"/>
      </w:pPr>
      <w:r>
        <w:t>Scale foundational PD to all schools; begin subject-specific training</w:t>
      </w:r>
    </w:p>
    <w:p>
      <w:pPr>
        <w:pStyle w:val="ListBullet"/>
      </w:pPr>
      <w:r>
        <w:t>Develop AIGC use policies; establish data protection protocols</w:t>
      </w:r>
    </w:p>
    <w:p>
      <w:pPr>
        <w:pStyle w:val="ListBullet"/>
      </w:pPr>
      <w:r>
        <w:t>Create student AI literacy curriculum unit</w:t>
      </w:r>
    </w:p>
    <w:p>
      <w:pPr>
        <w:pStyle w:val="ListBullet"/>
      </w:pPr>
      <w:r>
        <w:t>Establish teacher learning communities; peer coaching begins</w:t>
      </w:r>
    </w:p>
    <w:p>
      <w:pPr>
        <w:pStyle w:val="ListBullet"/>
      </w:pPr>
      <w:r>
        <w:t>Monthly pilot progress reviews; adjust based on feedback</w:t>
      </w:r>
    </w:p>
    <w:p>
      <w:pPr>
        <w:pStyle w:val="ListBullet"/>
      </w:pPr>
      <w:r>
        <w:t>Develop prompt libraries; best practice documentation</w:t>
      </w:r>
    </w:p>
    <w:p>
      <w:r>
        <w:rPr>
          <w:b/>
        </w:rPr>
        <w:t>MONTHS 7-9: Scaled Implementation</w:t>
      </w:r>
    </w:p>
    <w:p>
      <w:pPr>
        <w:pStyle w:val="ListBullet"/>
      </w:pPr>
      <w:r>
        <w:t>Expand AIGC integration to 50%+ of core classes</w:t>
      </w:r>
    </w:p>
    <w:p>
      <w:pPr>
        <w:pStyle w:val="ListBullet"/>
      </w:pPr>
      <w:r>
        <w:t>Implement monitoring systems: learning analytics, teacher surveys, student feedback</w:t>
      </w:r>
    </w:p>
    <w:p>
      <w:pPr>
        <w:pStyle w:val="ListBullet"/>
      </w:pPr>
      <w:r>
        <w:t>Conduct first bias audit of AIGC tools in use</w:t>
      </w:r>
    </w:p>
    <w:p>
      <w:pPr>
        <w:pStyle w:val="ListBullet"/>
      </w:pPr>
      <w:r>
        <w:t>Family communication campaign; address concerns</w:t>
      </w:r>
    </w:p>
    <w:p>
      <w:pPr>
        <w:pStyle w:val="ListBullet"/>
      </w:pPr>
      <w:r>
        <w:t>Celebrate early successes; share case studies</w:t>
      </w:r>
    </w:p>
    <w:p>
      <w:r>
        <w:rPr>
          <w:b/>
        </w:rPr>
        <w:t>MONTHS 10-12: Evaluation &amp; Refinement</w:t>
      </w:r>
    </w:p>
    <w:p>
      <w:pPr>
        <w:pStyle w:val="ListBullet"/>
      </w:pPr>
      <w:r>
        <w:t>Analyze full year outcomes: learning gains, equity impacts, teacher efficacy</w:t>
      </w:r>
    </w:p>
    <w:p>
      <w:pPr>
        <w:pStyle w:val="ListBullet"/>
      </w:pPr>
      <w:r>
        <w:t>Collect qualitative feedback: students, teachers, families</w:t>
      </w:r>
    </w:p>
    <w:p>
      <w:pPr>
        <w:pStyle w:val="ListBullet"/>
      </w:pPr>
      <w:r>
        <w:t>Conduct mid-course evaluation of policies; adjust as needed</w:t>
      </w:r>
    </w:p>
    <w:p>
      <w:pPr>
        <w:pStyle w:val="ListBullet"/>
      </w:pPr>
      <w:r>
        <w:t>Plan Year 2 improvements based on evidence</w:t>
      </w:r>
    </w:p>
    <w:p>
      <w:pPr>
        <w:pStyle w:val="ListBullet"/>
      </w:pPr>
      <w:r>
        <w:t>Publish annual AIGC report; share transparently with stakeholders</w:t>
      </w:r>
    </w:p>
    <w:p>
      <w:r>
        <w:t>---</w:t>
      </w:r>
    </w:p>
    <w:p>
      <w:r>
        <w:rPr>
          <w:b/>
        </w:rPr>
        <w:t>APPENDIX C: Equity Impact Assessment Checklist</w:t>
      </w:r>
    </w:p>
    <w:p>
      <w:r>
        <w:t>Pre-implementation, use this checklist to evaluate AIGC tool/approach:</w:t>
      </w:r>
    </w:p>
    <w:p>
      <w:pPr>
        <w:pStyle w:val="ListBullet"/>
      </w:pPr>
      <w:r>
        <w:t>[ ] Broadband access: Will all students in target population have internet access?</w:t>
      </w:r>
    </w:p>
    <w:p>
      <w:pPr>
        <w:pStyle w:val="ListBullet"/>
      </w:pPr>
      <w:r>
        <w:t>[ ] Device equity: Will device-to-student ratio accommodate all students?</w:t>
      </w:r>
    </w:p>
    <w:p>
      <w:pPr>
        <w:pStyle w:val="ListBullet"/>
      </w:pPr>
      <w:r>
        <w:t>[ ] Language: Are AIGC outputs available in languages spoken by student population?</w:t>
      </w:r>
    </w:p>
    <w:p>
      <w:pPr>
        <w:pStyle w:val="ListBullet"/>
      </w:pPr>
      <w:r>
        <w:t>[ ] Accessibility: Are multimodal options available? Compliant with ADA/Section 508?</w:t>
      </w:r>
    </w:p>
    <w:p>
      <w:pPr>
        <w:pStyle w:val="ListBullet"/>
      </w:pPr>
      <w:r>
        <w:t>[ ] Bias: Has the AIGC tool been audited for bias? Documentation available?</w:t>
      </w:r>
    </w:p>
    <w:p>
      <w:pPr>
        <w:pStyle w:val="ListBullet"/>
      </w:pPr>
      <w:r>
        <w:t>[ ] Cultural responsiveness: Have culturally relevant prompts been developed? Community input sought?</w:t>
      </w:r>
    </w:p>
    <w:p>
      <w:pPr>
        <w:pStyle w:val="ListBullet"/>
      </w:pPr>
      <w:r>
        <w:t>[ ] Teacher preparation: Will all teachers, including in under-resourced schools, receive adequate PD?</w:t>
      </w:r>
    </w:p>
    <w:p>
      <w:pPr>
        <w:pStyle w:val="ListBullet"/>
      </w:pPr>
      <w:r>
        <w:t>[ ] Cost: Can the school afford tool subscriptions? Are scholarships/free tiers available?</w:t>
      </w:r>
    </w:p>
    <w:p>
      <w:pPr>
        <w:pStyle w:val="ListBullet"/>
      </w:pPr>
      <w:r>
        <w:t>[ ] Student agency: Does implementation preserve student choice/autonomy?</w:t>
      </w:r>
    </w:p>
    <w:p>
      <w:pPr>
        <w:pStyle w:val="ListBullet"/>
      </w:pPr>
      <w:r>
        <w:t>[ ] Family engagement: Have families been informed? Consent obtained? Opt-outs available?</w:t>
      </w:r>
    </w:p>
    <w:p>
      <w:pPr>
        <w:pStyle w:val="ListBullet"/>
      </w:pPr>
      <w:r>
        <w:t>[ ] Monitoring: Will equity impacts be tracked? Disaggregated data analyzed? Adjustments made?</w:t>
      </w:r>
    </w:p>
    <w:p>
      <w:r>
        <w:t>---</w:t>
      </w:r>
    </w:p>
    <w:p>
      <w:r>
        <w:rPr>
          <w:b/>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