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9E1CA">
      <w:pPr>
        <w:spacing w:after="210" w:line="360" w:lineRule="auto"/>
      </w:pPr>
      <w:r>
        <w:rPr>
          <w:rFonts w:ascii="Georgia" w:hAnsi="Georgia" w:eastAsia="Georgia" w:cs="Georgia"/>
          <w:color w:val="000000"/>
        </w:rPr>
        <w:t>Middle Eastern and North African (MENA) films with transgender themes form a small but increasingly visible corpus that negotiates restrictive legal regimes, strong social taboos and complex histories of colonialism, religion and gendered power. Within this landscape, filmmakers deploy documentary portraiture, experimental reenactment, and coming‑of‑age melodrama to render trans lives visible while also protecting their subjects from danger. These works invite us to read them through both trans studies—concerned with embodiment, subjectivity and the politics of recognition—and film theory, particularly debates over realism, spectatorship and the ethics of representation.</w:t>
      </w:r>
    </w:p>
    <w:p w14:paraId="63FECAD0">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70F8BCF8">
      <w:pPr>
        <w:spacing w:before="315" w:after="105" w:line="360" w:lineRule="auto"/>
        <w:ind w:left="-30"/>
        <w:jc w:val="left"/>
      </w:pPr>
      <w:bookmarkStart w:id="0" w:name="mena_socio_cultural_and_legal_context"/>
      <w:r>
        <w:rPr>
          <w:rFonts w:ascii="Georgia" w:hAnsi="Georgia" w:eastAsia="Georgia" w:cs="Georgia"/>
          <w:b/>
          <w:color w:val="000000"/>
          <w:sz w:val="24"/>
        </w:rPr>
        <w:t>MENA socio‑cultural and legal context</w:t>
      </w:r>
      <w:bookmarkEnd w:id="0"/>
    </w:p>
    <w:p w14:paraId="6097EC52">
      <w:pPr>
        <w:spacing w:after="210" w:line="360" w:lineRule="auto"/>
      </w:pPr>
      <w:r>
        <w:rPr>
          <w:rFonts w:ascii="Georgia" w:hAnsi="Georgia" w:eastAsia="Georgia" w:cs="Georgia"/>
          <w:color w:val="000000"/>
        </w:rPr>
        <w:t>Across much of the MENA region, non‑normative gender and sex</w:t>
      </w:r>
      <w:bookmarkStart w:id="128" w:name="_GoBack"/>
      <w:bookmarkEnd w:id="128"/>
      <w:r>
        <w:rPr>
          <w:rFonts w:ascii="Georgia" w:hAnsi="Georgia" w:eastAsia="Georgia" w:cs="Georgia"/>
          <w:color w:val="000000"/>
        </w:rPr>
        <w:t>uality remain heavily stigmatized and in many jurisdictions criminalized under a mix of colonial‑era penal codes, Islamic jurisprudence, and contemporary morality laws. In the Maghreb, for example, same‑sex relations are criminalized and queer sexualities “largely exist in silence,” which pushes filmmakers toward coded and indirect strategies for depicting sexuality and gender variance. Similar dynamics hold in many Arab states, where queer people often face overlapping forms of marginalization—on gendered, sexual, and class lines—and where censorship boards can ban or cut films that appear to “promote” non‑heteronormative identities.</w:t>
      </w:r>
      <w:bookmarkStart w:id="1" w:name="fnref1"/>
      <w:bookmarkEnd w:id="1"/>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bookmarkStart w:id="2" w:name="fnref2"/>
      <w:bookmarkEnd w:id="2"/>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p>
    <w:p w14:paraId="19970BB7">
      <w:pPr>
        <w:spacing w:after="210" w:line="360" w:lineRule="auto"/>
      </w:pPr>
      <w:r>
        <w:rPr>
          <w:rFonts w:ascii="Georgia" w:hAnsi="Georgia" w:eastAsia="Georgia" w:cs="Georgia"/>
          <w:color w:val="000000"/>
        </w:rPr>
        <w:t>At the same time, there are important regional variations. Lebanon, for instance, combines an active queer scene and independent film culture with periodic crackdowns, enabling the emergence of experimental documentaries about trans women in Beirut that might not be possible elsewhere. Iran prohibits homosexuality but, notoriously, permits and even subsidizes certain forms of gender‑affirming surgery, producing a paradoxical legal space in which some trans subjects can gain recognition while others are coerced into transition as a “solution” to non‑normative sexuality. These socio‑legal configurations shape what can be shown on screen, how, and at what risk, and they inform the aesthetic and narrative strategies of MENA films with trans themes.</w:t>
      </w:r>
      <w:bookmarkStart w:id="3" w:name="fnref3"/>
      <w:bookmarkEnd w:id="3"/>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4" w:name="fnref4"/>
      <w:bookmarkEnd w:id="4"/>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5" w:name="fnref5"/>
      <w:bookmarkEnd w:id="5"/>
      <w:r>
        <w:fldChar w:fldCharType="begin"/>
      </w:r>
      <w:r>
        <w:instrText xml:space="preserve"> HYPERLINK \l "fn5" \h </w:instrText>
      </w:r>
      <w:r>
        <w:fldChar w:fldCharType="separate"/>
      </w:r>
      <w:r>
        <w:rPr>
          <w:rFonts w:ascii="helvetica neue" w:hAnsi="helvetica neue" w:eastAsia="helvetica neue" w:cs="helvetica neue"/>
          <w:color w:val="000000"/>
          <w:u w:val="single"/>
          <w:vertAlign w:val="superscript"/>
        </w:rPr>
        <w:t>[5]</w:t>
      </w:r>
      <w:r>
        <w:rPr>
          <w:rFonts w:ascii="helvetica neue" w:hAnsi="helvetica neue" w:eastAsia="helvetica neue" w:cs="helvetica neue"/>
          <w:color w:val="000000"/>
          <w:u w:val="single"/>
          <w:vertAlign w:val="superscript"/>
        </w:rPr>
        <w:fldChar w:fldCharType="end"/>
      </w:r>
      <w:bookmarkStart w:id="6" w:name="fnref6"/>
      <w:bookmarkEnd w:id="6"/>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p>
    <w:p w14:paraId="171013D7">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747089DD">
      <w:pPr>
        <w:spacing w:before="315" w:after="105" w:line="360" w:lineRule="auto"/>
        <w:ind w:left="-30"/>
        <w:jc w:val="left"/>
      </w:pPr>
      <w:bookmarkStart w:id="7" w:name="overview_of_mena_films_with_trans_ab46c4"/>
      <w:r>
        <w:rPr>
          <w:rFonts w:ascii="Georgia" w:hAnsi="Georgia" w:eastAsia="Georgia" w:cs="Georgia"/>
          <w:b/>
          <w:color w:val="000000"/>
          <w:sz w:val="24"/>
        </w:rPr>
        <w:t>Overview of MENA films with transgender themes</w:t>
      </w:r>
      <w:bookmarkEnd w:id="7"/>
    </w:p>
    <w:p w14:paraId="3D19C76D">
      <w:pPr>
        <w:spacing w:after="210" w:line="360" w:lineRule="auto"/>
      </w:pPr>
      <w:r>
        <w:rPr>
          <w:rFonts w:ascii="Georgia" w:hAnsi="Georgia" w:eastAsia="Georgia" w:cs="Georgia"/>
          <w:color w:val="000000"/>
        </w:rPr>
        <w:t xml:space="preserve">Compared with North American or Western European “trans cinema,” MENA films featuring transgender themes are fewer in number, often circulate in festival and art‑house circuits rather than commercial multiplexes, and frequently blur boundaries between documentary and fiction for both artistic and protective reasons. A 2017 call for chapters for </w:t>
      </w:r>
      <w:r>
        <w:rPr>
          <w:rFonts w:ascii="Georgia" w:hAnsi="Georgia" w:eastAsia="Georgia" w:cs="Georgia"/>
          <w:i/>
          <w:color w:val="000000"/>
        </w:rPr>
        <w:t>The Handbook of Trans Cinema</w:t>
      </w:r>
      <w:r>
        <w:rPr>
          <w:rFonts w:ascii="Georgia" w:hAnsi="Georgia" w:eastAsia="Georgia" w:cs="Georgia"/>
          <w:color w:val="000000"/>
        </w:rPr>
        <w:t xml:space="preserve"> explicitly highlighted the need for national overviews of “Trans Cinema from Algeria … Egypt … Lebanon … Morocco … Palestine … Turkey … and Yemen,” underscoring both the scarcity of scholarship and the growing recognition that such films exist across the region.</w:t>
      </w:r>
      <w:bookmarkStart w:id="8" w:name="fnref7"/>
      <w:bookmarkEnd w:id="8"/>
      <w:r>
        <w:fldChar w:fldCharType="begin"/>
      </w:r>
      <w:r>
        <w:instrText xml:space="preserve"> HYPERLINK \l "fn7" \h </w:instrText>
      </w:r>
      <w:r>
        <w:fldChar w:fldCharType="separate"/>
      </w:r>
      <w:r>
        <w:rPr>
          <w:rFonts w:ascii="helvetica neue" w:hAnsi="helvetica neue" w:eastAsia="helvetica neue" w:cs="helvetica neue"/>
          <w:color w:val="000000"/>
          <w:u w:val="single"/>
          <w:vertAlign w:val="superscript"/>
        </w:rPr>
        <w:t>[7]</w:t>
      </w:r>
      <w:r>
        <w:rPr>
          <w:rFonts w:ascii="helvetica neue" w:hAnsi="helvetica neue" w:eastAsia="helvetica neue" w:cs="helvetica neue"/>
          <w:color w:val="000000"/>
          <w:u w:val="single"/>
          <w:vertAlign w:val="superscript"/>
        </w:rPr>
        <w:fldChar w:fldCharType="end"/>
      </w:r>
      <w:bookmarkStart w:id="9" w:name="fnref8"/>
      <w:bookmarkEnd w:id="9"/>
      <w:r>
        <w:fldChar w:fldCharType="begin"/>
      </w:r>
      <w:r>
        <w:instrText xml:space="preserve"> HYPERLINK \l "fn8" \h </w:instrText>
      </w:r>
      <w:r>
        <w:fldChar w:fldCharType="separate"/>
      </w:r>
      <w:r>
        <w:rPr>
          <w:rFonts w:ascii="helvetica neue" w:hAnsi="helvetica neue" w:eastAsia="helvetica neue" w:cs="helvetica neue"/>
          <w:color w:val="000000"/>
          <w:u w:val="single"/>
          <w:vertAlign w:val="superscript"/>
        </w:rPr>
        <w:t>[8]</w:t>
      </w:r>
      <w:r>
        <w:rPr>
          <w:rFonts w:ascii="helvetica neue" w:hAnsi="helvetica neue" w:eastAsia="helvetica neue" w:cs="helvetica neue"/>
          <w:color w:val="000000"/>
          <w:u w:val="single"/>
          <w:vertAlign w:val="superscript"/>
        </w:rPr>
        <w:fldChar w:fldCharType="end"/>
      </w:r>
    </w:p>
    <w:p w14:paraId="66266ED3">
      <w:pPr>
        <w:spacing w:after="210" w:line="360" w:lineRule="auto"/>
      </w:pPr>
      <w:r>
        <w:rPr>
          <w:rFonts w:ascii="Georgia" w:hAnsi="Georgia" w:eastAsia="Georgia" w:cs="Georgia"/>
          <w:color w:val="000000"/>
        </w:rPr>
        <w:t xml:space="preserve">Examples range from early and under‑studied works like </w:t>
      </w:r>
      <w:r>
        <w:rPr>
          <w:rFonts w:ascii="Georgia" w:hAnsi="Georgia" w:eastAsia="Georgia" w:cs="Georgia"/>
          <w:i/>
          <w:color w:val="000000"/>
        </w:rPr>
        <w:t>Cinema Fouad</w:t>
      </w:r>
      <w:r>
        <w:rPr>
          <w:rFonts w:ascii="Georgia" w:hAnsi="Georgia" w:eastAsia="Georgia" w:cs="Georgia"/>
          <w:color w:val="000000"/>
        </w:rPr>
        <w:t xml:space="preserve"> (Mohamed Soueid, Lebanon, 1993), a documentary portrait of a Syrian trans woman in Beirut, to contemporary shorts such as </w:t>
      </w:r>
      <w:r>
        <w:rPr>
          <w:rFonts w:ascii="Georgia" w:hAnsi="Georgia" w:eastAsia="Georgia" w:cs="Georgia"/>
          <w:i/>
          <w:color w:val="000000"/>
        </w:rPr>
        <w:t>Adjustment</w:t>
      </w:r>
      <w:r>
        <w:rPr>
          <w:rFonts w:ascii="Georgia" w:hAnsi="Georgia" w:eastAsia="Georgia" w:cs="Georgia"/>
          <w:color w:val="000000"/>
        </w:rPr>
        <w:t xml:space="preserve"> (Mehrdad Hasani, Iran, 2022), about a nine‑year‑old child asserting a transfeminine identity in a rural village, and </w:t>
      </w:r>
      <w:r>
        <w:rPr>
          <w:rFonts w:ascii="Georgia" w:hAnsi="Georgia" w:eastAsia="Georgia" w:cs="Georgia"/>
          <w:i/>
          <w:color w:val="000000"/>
        </w:rPr>
        <w:t>La Grande Safae / The Great Safae</w:t>
      </w:r>
      <w:r>
        <w:rPr>
          <w:rFonts w:ascii="Georgia" w:hAnsi="Georgia" w:eastAsia="Georgia" w:cs="Georgia"/>
          <w:color w:val="000000"/>
        </w:rPr>
        <w:t xml:space="preserve"> (Randa Maroufi, 2014), an experimental Moroccan‑French portrait of a domestic worker and “transvestite” whose gendered past is reconstructed through multiple performers. Newer works continue this trend: the queer‑film list curated by the Arab Film Institute includes </w:t>
      </w:r>
      <w:r>
        <w:rPr>
          <w:rFonts w:ascii="Georgia" w:hAnsi="Georgia" w:eastAsia="Georgia" w:cs="Georgia"/>
          <w:i/>
          <w:color w:val="000000"/>
        </w:rPr>
        <w:t>Cinema Fouad</w:t>
      </w:r>
      <w:r>
        <w:rPr>
          <w:rFonts w:ascii="Georgia" w:hAnsi="Georgia" w:eastAsia="Georgia" w:cs="Georgia"/>
          <w:color w:val="000000"/>
        </w:rPr>
        <w:t xml:space="preserve"> and </w:t>
      </w:r>
      <w:r>
        <w:rPr>
          <w:rFonts w:ascii="Georgia" w:hAnsi="Georgia" w:eastAsia="Georgia" w:cs="Georgia"/>
          <w:i/>
          <w:color w:val="000000"/>
        </w:rPr>
        <w:t>The Great Safae</w:t>
      </w:r>
      <w:r>
        <w:rPr>
          <w:rFonts w:ascii="Georgia" w:hAnsi="Georgia" w:eastAsia="Georgia" w:cs="Georgia"/>
          <w:color w:val="000000"/>
        </w:rPr>
        <w:t xml:space="preserve"> alongside other documentaries and shorts about trans and gender‑variant figures in Tunisia and Lebanon, while festival programs of “queer shorts from the Middle East and North Africa” feature films like </w:t>
      </w:r>
      <w:r>
        <w:rPr>
          <w:rFonts w:ascii="Georgia" w:hAnsi="Georgia" w:eastAsia="Georgia" w:cs="Georgia"/>
          <w:i/>
          <w:color w:val="000000"/>
        </w:rPr>
        <w:t>Adjustment</w:t>
      </w:r>
      <w:r>
        <w:rPr>
          <w:rFonts w:ascii="Georgia" w:hAnsi="Georgia" w:eastAsia="Georgia" w:cs="Georgia"/>
          <w:color w:val="000000"/>
        </w:rPr>
        <w:t xml:space="preserve"> in curated selections foregrounding transphobia and gender dysphoria.</w:t>
      </w:r>
      <w:bookmarkStart w:id="10" w:name="fnref9"/>
      <w:bookmarkEnd w:id="10"/>
      <w:r>
        <w:fldChar w:fldCharType="begin"/>
      </w:r>
      <w:r>
        <w:instrText xml:space="preserve"> HYPERLINK \l "fn9" \h </w:instrText>
      </w:r>
      <w:r>
        <w:fldChar w:fldCharType="separate"/>
      </w:r>
      <w:r>
        <w:rPr>
          <w:rFonts w:ascii="helvetica neue" w:hAnsi="helvetica neue" w:eastAsia="helvetica neue" w:cs="helvetica neue"/>
          <w:color w:val="000000"/>
          <w:u w:val="single"/>
          <w:vertAlign w:val="superscript"/>
        </w:rPr>
        <w:t>[9]</w:t>
      </w:r>
      <w:r>
        <w:rPr>
          <w:rFonts w:ascii="helvetica neue" w:hAnsi="helvetica neue" w:eastAsia="helvetica neue" w:cs="helvetica neue"/>
          <w:color w:val="000000"/>
          <w:u w:val="single"/>
          <w:vertAlign w:val="superscript"/>
        </w:rPr>
        <w:fldChar w:fldCharType="end"/>
      </w:r>
      <w:bookmarkStart w:id="11" w:name="fnref10"/>
      <w:bookmarkEnd w:id="11"/>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bookmarkStart w:id="12" w:name="fnref4_1"/>
      <w:bookmarkEnd w:id="12"/>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13" w:name="fnref11"/>
      <w:bookmarkEnd w:id="13"/>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14" w:name="fnref12"/>
      <w:bookmarkEnd w:id="14"/>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15" w:name="fnref13"/>
      <w:bookmarkEnd w:id="15"/>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bookmarkStart w:id="16" w:name="fnref14"/>
      <w:bookmarkEnd w:id="16"/>
      <w:r>
        <w:fldChar w:fldCharType="begin"/>
      </w:r>
      <w:r>
        <w:instrText xml:space="preserve"> HYPERLINK \l "fn14" \h </w:instrText>
      </w:r>
      <w:r>
        <w:fldChar w:fldCharType="separate"/>
      </w:r>
      <w:r>
        <w:rPr>
          <w:rFonts w:ascii="helvetica neue" w:hAnsi="helvetica neue" w:eastAsia="helvetica neue" w:cs="helvetica neue"/>
          <w:color w:val="000000"/>
          <w:u w:val="single"/>
          <w:vertAlign w:val="superscript"/>
        </w:rPr>
        <w:t>[14]</w:t>
      </w:r>
      <w:r>
        <w:rPr>
          <w:rFonts w:ascii="helvetica neue" w:hAnsi="helvetica neue" w:eastAsia="helvetica neue" w:cs="helvetica neue"/>
          <w:color w:val="000000"/>
          <w:u w:val="single"/>
          <w:vertAlign w:val="superscript"/>
        </w:rPr>
        <w:fldChar w:fldCharType="end"/>
      </w:r>
      <w:bookmarkStart w:id="17" w:name="fnref15"/>
      <w:bookmarkEnd w:id="17"/>
      <w:r>
        <w:fldChar w:fldCharType="begin"/>
      </w:r>
      <w:r>
        <w:instrText xml:space="preserve"> HYPERLINK \l "fn15" \h </w:instrText>
      </w:r>
      <w:r>
        <w:fldChar w:fldCharType="separate"/>
      </w:r>
      <w:r>
        <w:rPr>
          <w:rFonts w:ascii="helvetica neue" w:hAnsi="helvetica neue" w:eastAsia="helvetica neue" w:cs="helvetica neue"/>
          <w:color w:val="000000"/>
          <w:u w:val="single"/>
          <w:vertAlign w:val="superscript"/>
        </w:rPr>
        <w:t>[15]</w:t>
      </w:r>
      <w:r>
        <w:rPr>
          <w:rFonts w:ascii="helvetica neue" w:hAnsi="helvetica neue" w:eastAsia="helvetica neue" w:cs="helvetica neue"/>
          <w:color w:val="000000"/>
          <w:u w:val="single"/>
          <w:vertAlign w:val="superscript"/>
        </w:rPr>
        <w:fldChar w:fldCharType="end"/>
      </w:r>
      <w:bookmarkStart w:id="18" w:name="fnref6_1"/>
      <w:bookmarkEnd w:id="18"/>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bookmarkStart w:id="19" w:name="fnref3_1"/>
      <w:bookmarkEnd w:id="19"/>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p>
    <w:p w14:paraId="7C8FD183">
      <w:pPr>
        <w:spacing w:after="210" w:line="360" w:lineRule="auto"/>
      </w:pPr>
      <w:r>
        <w:rPr>
          <w:rFonts w:ascii="Georgia" w:hAnsi="Georgia" w:eastAsia="Georgia" w:cs="Georgia"/>
          <w:color w:val="000000"/>
        </w:rPr>
        <w:t>Common thematic through‑lines across this body of work include: the negotiation of family, kinship and domestic labor; migration and exile (often to Europe); the politics of passing and visibility; and the entanglement of transness with war, displacement and post‑conflict urban life. Formally, these films often mobilize close‑up portraiture, voice‑over testimony, reenactment and controlled mise‑en‑scène to construct what we might call “intimate realism,” amplifying the everyday gestures of their protagonists within highly constrained social worlds.</w:t>
      </w:r>
      <w:bookmarkStart w:id="20" w:name="fnref1_1"/>
      <w:bookmarkEnd w:id="20"/>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bookmarkStart w:id="21" w:name="fnref3_2"/>
      <w:bookmarkEnd w:id="21"/>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p>
    <w:p w14:paraId="73F60BB0">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3D2AA5F0">
      <w:pPr>
        <w:spacing w:before="315" w:after="105" w:line="360" w:lineRule="auto"/>
        <w:ind w:left="-30"/>
        <w:jc w:val="left"/>
      </w:pPr>
      <w:bookmarkStart w:id="22" w:name="theoretical_framework_trans_studi_6b8577"/>
      <w:r>
        <w:rPr>
          <w:rFonts w:ascii="Georgia" w:hAnsi="Georgia" w:eastAsia="Georgia" w:cs="Georgia"/>
          <w:b/>
          <w:color w:val="000000"/>
          <w:sz w:val="24"/>
        </w:rPr>
        <w:t>Theoretical framework: trans studies and film theory</w:t>
      </w:r>
      <w:bookmarkEnd w:id="22"/>
    </w:p>
    <w:p w14:paraId="53EEB435">
      <w:pPr>
        <w:spacing w:after="210" w:line="360" w:lineRule="auto"/>
      </w:pPr>
      <w:r>
        <w:rPr>
          <w:rFonts w:ascii="Georgia" w:hAnsi="Georgia" w:eastAsia="Georgia" w:cs="Georgia"/>
          <w:color w:val="000000"/>
        </w:rPr>
        <w:t>Trans studies scholars such as Susan Stryker, C. Riley Snorton, Jack (J.) Halberstam and Cáel M. Keegan have argued that transness is not only an identity but also a method—a way of thinking about embodiment, time, space, and social legibility under regimes of normativity and violence. Concepts like “trans embodiment,” “trans of color critique,” and “transing” (as a verb) are useful for understanding how MENA films foreground corporeality, voice and movement as sites of both discipline and agency. These frameworks are especially important in postcolonial contexts, where gender variance is entangled with racialization, Orientalist fantasies and global circuits of human rights discourse.</w:t>
      </w:r>
    </w:p>
    <w:p w14:paraId="3340915B">
      <w:pPr>
        <w:spacing w:after="210" w:line="360" w:lineRule="auto"/>
      </w:pPr>
      <w:r>
        <w:rPr>
          <w:rFonts w:ascii="Georgia" w:hAnsi="Georgia" w:eastAsia="Georgia" w:cs="Georgia"/>
          <w:color w:val="000000"/>
        </w:rPr>
        <w:t xml:space="preserve">From the side of film theory, several strands are particularly relevant. First, realist theories (André Bazin) and documentary theory (Bill Nichols’s modes) help us parse how films like </w:t>
      </w:r>
      <w:r>
        <w:rPr>
          <w:rFonts w:ascii="Georgia" w:hAnsi="Georgia" w:eastAsia="Georgia" w:cs="Georgia"/>
          <w:i/>
          <w:color w:val="000000"/>
        </w:rPr>
        <w:t>Cinema Fouad</w:t>
      </w:r>
      <w:r>
        <w:rPr>
          <w:rFonts w:ascii="Georgia" w:hAnsi="Georgia" w:eastAsia="Georgia" w:cs="Georgia"/>
          <w:color w:val="000000"/>
        </w:rPr>
        <w:t xml:space="preserve"> and </w:t>
      </w:r>
      <w:r>
        <w:rPr>
          <w:rFonts w:ascii="Georgia" w:hAnsi="Georgia" w:eastAsia="Georgia" w:cs="Georgia"/>
          <w:i/>
          <w:color w:val="000000"/>
        </w:rPr>
        <w:t>La Grande Safae</w:t>
      </w:r>
      <w:r>
        <w:rPr>
          <w:rFonts w:ascii="Georgia" w:hAnsi="Georgia" w:eastAsia="Georgia" w:cs="Georgia"/>
          <w:color w:val="000000"/>
        </w:rPr>
        <w:t xml:space="preserve"> balance observational intimacy with staged or reflexive strategies when representing vulnerable subjects. Second, feminist film theory and critiques of the gaze (Laura Mulvey) can be reworked through trans perspectives to question who looks at whom, and under what power relations, in scenes that frame trans bodies as objects of desire, pity, or identification. Third, more recent work in “trans cinema” studies (e.g., Laura Horak, Keegan) emphasizes questions of casting, authorship, and spectatorship: what does it mean when trans subjects appear as themselves, as characters played by cis actors, or as absent but implied figures within a film’s diegesis?</w:t>
      </w:r>
    </w:p>
    <w:p w14:paraId="515F50D8">
      <w:pPr>
        <w:spacing w:after="210" w:line="360" w:lineRule="auto"/>
      </w:pPr>
      <w:r>
        <w:rPr>
          <w:rFonts w:ascii="Georgia" w:hAnsi="Georgia" w:eastAsia="Georgia" w:cs="Georgia"/>
          <w:color w:val="000000"/>
        </w:rPr>
        <w:t>In what follows, I apply these theoretical lenses to three case studies—</w:t>
      </w:r>
      <w:r>
        <w:rPr>
          <w:rFonts w:ascii="Georgia" w:hAnsi="Georgia" w:eastAsia="Georgia" w:cs="Georgia"/>
          <w:i/>
          <w:color w:val="000000"/>
        </w:rPr>
        <w:t>Cinema Fouad</w:t>
      </w:r>
      <w:r>
        <w:rPr>
          <w:rFonts w:ascii="Georgia" w:hAnsi="Georgia" w:eastAsia="Georgia" w:cs="Georgia"/>
          <w:color w:val="000000"/>
        </w:rPr>
        <w:t xml:space="preserve">, </w:t>
      </w:r>
      <w:r>
        <w:rPr>
          <w:rFonts w:ascii="Georgia" w:hAnsi="Georgia" w:eastAsia="Georgia" w:cs="Georgia"/>
          <w:i/>
          <w:color w:val="000000"/>
        </w:rPr>
        <w:t>La Grande Safae</w:t>
      </w:r>
      <w:r>
        <w:rPr>
          <w:rFonts w:ascii="Georgia" w:hAnsi="Georgia" w:eastAsia="Georgia" w:cs="Georgia"/>
          <w:color w:val="000000"/>
        </w:rPr>
        <w:t xml:space="preserve"> and </w:t>
      </w:r>
      <w:r>
        <w:rPr>
          <w:rFonts w:ascii="Georgia" w:hAnsi="Georgia" w:eastAsia="Georgia" w:cs="Georgia"/>
          <w:i/>
          <w:color w:val="000000"/>
        </w:rPr>
        <w:t>Adjustment</w:t>
      </w:r>
      <w:r>
        <w:rPr>
          <w:rFonts w:ascii="Georgia" w:hAnsi="Georgia" w:eastAsia="Georgia" w:cs="Georgia"/>
          <w:color w:val="000000"/>
        </w:rPr>
        <w:t>—to show how MENA films with transgender themes negotiate questions of subjectivity, embodiment and political legibility.</w:t>
      </w:r>
    </w:p>
    <w:p w14:paraId="4647C6EF">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6BF18F01">
      <w:pPr>
        <w:spacing w:before="315" w:after="105" w:line="360" w:lineRule="auto"/>
        <w:ind w:left="-30"/>
        <w:jc w:val="left"/>
      </w:pPr>
      <w:bookmarkStart w:id="23" w:name="case_study_i_cinema_fouad_lebanon_1993"/>
      <w:r>
        <w:rPr>
          <w:rFonts w:ascii="Georgia" w:hAnsi="Georgia" w:eastAsia="Georgia" w:cs="Georgia"/>
          <w:b/>
          <w:color w:val="000000"/>
          <w:sz w:val="24"/>
        </w:rPr>
        <w:t xml:space="preserve">Case study I: </w:t>
      </w:r>
      <w:r>
        <w:rPr>
          <w:rFonts w:ascii="Georgia" w:hAnsi="Georgia" w:eastAsia="Georgia" w:cs="Georgia"/>
          <w:b/>
          <w:i/>
          <w:color w:val="000000"/>
          <w:sz w:val="24"/>
        </w:rPr>
        <w:t>Cinema Fouad</w:t>
      </w:r>
      <w:r>
        <w:rPr>
          <w:rFonts w:ascii="Georgia" w:hAnsi="Georgia" w:eastAsia="Georgia" w:cs="Georgia"/>
          <w:b/>
          <w:color w:val="000000"/>
          <w:sz w:val="24"/>
        </w:rPr>
        <w:t xml:space="preserve"> (Lebanon, 1993)</w:t>
      </w:r>
      <w:bookmarkEnd w:id="23"/>
    </w:p>
    <w:p w14:paraId="57F8EC76">
      <w:pPr>
        <w:spacing w:before="315" w:after="105" w:line="360" w:lineRule="auto"/>
        <w:ind w:left="-30"/>
        <w:jc w:val="left"/>
      </w:pPr>
      <w:bookmarkStart w:id="24" w:name="synopsis_and_context"/>
      <w:r>
        <w:rPr>
          <w:rFonts w:ascii="Georgia" w:hAnsi="Georgia" w:eastAsia="Georgia" w:cs="Georgia"/>
          <w:b/>
          <w:color w:val="000000"/>
          <w:sz w:val="24"/>
        </w:rPr>
        <w:t>Synopsis and context</w:t>
      </w:r>
      <w:bookmarkEnd w:id="24"/>
    </w:p>
    <w:p w14:paraId="09453755">
      <w:pPr>
        <w:spacing w:after="210" w:line="360" w:lineRule="auto"/>
      </w:pPr>
      <w:r>
        <w:rPr>
          <w:rFonts w:ascii="Georgia" w:hAnsi="Georgia" w:eastAsia="Georgia" w:cs="Georgia"/>
          <w:i/>
          <w:color w:val="000000"/>
        </w:rPr>
        <w:t>Cinema Fouad</w:t>
      </w:r>
      <w:r>
        <w:rPr>
          <w:rFonts w:ascii="Georgia" w:hAnsi="Georgia" w:eastAsia="Georgia" w:cs="Georgia"/>
          <w:color w:val="000000"/>
        </w:rPr>
        <w:t xml:space="preserve"> is a documentary by Lebanese filmmaker Mohamed Soueid that portrays Khaled El Kurdi, a young Syrian trans woman living in Beirut. The film follows her trajectory from soldier to cabaret dancer as she attempts to raise funds for gender‑affirming surgery, interweaving scenes of domestic life—eating, putting on make‑up, dancing in her bedroom—with reflective monologues about her dreams, her past, and the violence she faces. She describes both the aggressions encountered in public space and the loss of her lover, a Palestinian freedom fighter, situating her trans experience within a broader landscape of war, displacement and cross‑border solidarity.</w:t>
      </w:r>
      <w:bookmarkStart w:id="25" w:name="fnref16"/>
      <w:bookmarkEnd w:id="25"/>
      <w:r>
        <w:fldChar w:fldCharType="begin"/>
      </w:r>
      <w:r>
        <w:instrText xml:space="preserve"> HYPERLINK \l "fn16" \h </w:instrText>
      </w:r>
      <w:r>
        <w:fldChar w:fldCharType="separate"/>
      </w:r>
      <w:r>
        <w:rPr>
          <w:rFonts w:ascii="helvetica neue" w:hAnsi="helvetica neue" w:eastAsia="helvetica neue" w:cs="helvetica neue"/>
          <w:color w:val="000000"/>
          <w:u w:val="single"/>
          <w:vertAlign w:val="superscript"/>
        </w:rPr>
        <w:t>[16]</w:t>
      </w:r>
      <w:r>
        <w:rPr>
          <w:rFonts w:ascii="helvetica neue" w:hAnsi="helvetica neue" w:eastAsia="helvetica neue" w:cs="helvetica neue"/>
          <w:color w:val="000000"/>
          <w:u w:val="single"/>
          <w:vertAlign w:val="superscript"/>
        </w:rPr>
        <w:fldChar w:fldCharType="end"/>
      </w:r>
      <w:bookmarkStart w:id="26" w:name="fnref4_2"/>
      <w:bookmarkEnd w:id="26"/>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27" w:name="fnref17"/>
      <w:bookmarkEnd w:id="27"/>
      <w:r>
        <w:fldChar w:fldCharType="begin"/>
      </w:r>
      <w:r>
        <w:instrText xml:space="preserve"> HYPERLINK \l "fn17" \h </w:instrText>
      </w:r>
      <w:r>
        <w:fldChar w:fldCharType="separate"/>
      </w:r>
      <w:r>
        <w:rPr>
          <w:rFonts w:ascii="helvetica neue" w:hAnsi="helvetica neue" w:eastAsia="helvetica neue" w:cs="helvetica neue"/>
          <w:color w:val="000000"/>
          <w:u w:val="single"/>
          <w:vertAlign w:val="superscript"/>
        </w:rPr>
        <w:t>[17]</w:t>
      </w:r>
      <w:r>
        <w:rPr>
          <w:rFonts w:ascii="helvetica neue" w:hAnsi="helvetica neue" w:eastAsia="helvetica neue" w:cs="helvetica neue"/>
          <w:color w:val="000000"/>
          <w:u w:val="single"/>
          <w:vertAlign w:val="superscript"/>
        </w:rPr>
        <w:fldChar w:fldCharType="end"/>
      </w:r>
      <w:bookmarkStart w:id="28" w:name="fnref18"/>
      <w:bookmarkEnd w:id="28"/>
      <w:r>
        <w:fldChar w:fldCharType="begin"/>
      </w:r>
      <w:r>
        <w:instrText xml:space="preserve"> HYPERLINK \l "fn18" \h </w:instrText>
      </w:r>
      <w:r>
        <w:fldChar w:fldCharType="separate"/>
      </w:r>
      <w:r>
        <w:rPr>
          <w:rFonts w:ascii="helvetica neue" w:hAnsi="helvetica neue" w:eastAsia="helvetica neue" w:cs="helvetica neue"/>
          <w:color w:val="000000"/>
          <w:u w:val="single"/>
          <w:vertAlign w:val="superscript"/>
        </w:rPr>
        <w:t>[18]</w:t>
      </w:r>
      <w:r>
        <w:rPr>
          <w:rFonts w:ascii="helvetica neue" w:hAnsi="helvetica neue" w:eastAsia="helvetica neue" w:cs="helvetica neue"/>
          <w:color w:val="000000"/>
          <w:u w:val="single"/>
          <w:vertAlign w:val="superscript"/>
        </w:rPr>
        <w:fldChar w:fldCharType="end"/>
      </w:r>
      <w:bookmarkStart w:id="29" w:name="fnref15_1"/>
      <w:bookmarkEnd w:id="29"/>
      <w:r>
        <w:fldChar w:fldCharType="begin"/>
      </w:r>
      <w:r>
        <w:instrText xml:space="preserve"> HYPERLINK \l "fn15" \h </w:instrText>
      </w:r>
      <w:r>
        <w:fldChar w:fldCharType="separate"/>
      </w:r>
      <w:r>
        <w:rPr>
          <w:rFonts w:ascii="helvetica neue" w:hAnsi="helvetica neue" w:eastAsia="helvetica neue" w:cs="helvetica neue"/>
          <w:color w:val="000000"/>
          <w:u w:val="single"/>
          <w:vertAlign w:val="superscript"/>
        </w:rPr>
        <w:t>[15]</w:t>
      </w:r>
      <w:r>
        <w:rPr>
          <w:rFonts w:ascii="helvetica neue" w:hAnsi="helvetica neue" w:eastAsia="helvetica neue" w:cs="helvetica neue"/>
          <w:color w:val="000000"/>
          <w:u w:val="single"/>
          <w:vertAlign w:val="superscript"/>
        </w:rPr>
        <w:fldChar w:fldCharType="end"/>
      </w:r>
    </w:p>
    <w:p w14:paraId="2D3B113E">
      <w:pPr>
        <w:spacing w:after="210" w:line="360" w:lineRule="auto"/>
      </w:pPr>
      <w:r>
        <w:rPr>
          <w:rFonts w:ascii="Georgia" w:hAnsi="Georgia" w:eastAsia="Georgia" w:cs="Georgia"/>
          <w:color w:val="000000"/>
        </w:rPr>
        <w:t>Produced in the early 1990s and shot in Beirut’s post‑civil war milieu, the film emerges from a moment when Lebanese urban culture was reopening to experimental media but queer and trans lives were still largely underground, criminalized or pathologized. The documentary thus occupies a liminal space: it makes visible a trans woman’s life at a time when such representation in the Arab world was extremely rare, yet it does so within a social context of intense vulnerability.</w:t>
      </w:r>
    </w:p>
    <w:p w14:paraId="33A758A3">
      <w:pPr>
        <w:spacing w:before="315" w:after="105" w:line="360" w:lineRule="auto"/>
        <w:ind w:left="-30"/>
        <w:jc w:val="left"/>
      </w:pPr>
      <w:bookmarkStart w:id="30" w:name="trans_theory_subjectivity_narrati_4963c3"/>
      <w:r>
        <w:rPr>
          <w:rFonts w:ascii="Georgia" w:hAnsi="Georgia" w:eastAsia="Georgia" w:cs="Georgia"/>
          <w:b/>
          <w:color w:val="000000"/>
          <w:sz w:val="24"/>
        </w:rPr>
        <w:t>Trans theory: subjectivity, narration and the politics of voice</w:t>
      </w:r>
      <w:bookmarkEnd w:id="30"/>
    </w:p>
    <w:p w14:paraId="0F50FD89">
      <w:pPr>
        <w:spacing w:after="210" w:line="360" w:lineRule="auto"/>
      </w:pPr>
      <w:r>
        <w:rPr>
          <w:rFonts w:ascii="Georgia" w:hAnsi="Georgia" w:eastAsia="Georgia" w:cs="Georgia"/>
          <w:color w:val="000000"/>
        </w:rPr>
        <w:t xml:space="preserve">From a trans‑studies perspective, </w:t>
      </w:r>
      <w:r>
        <w:rPr>
          <w:rFonts w:ascii="Georgia" w:hAnsi="Georgia" w:eastAsia="Georgia" w:cs="Georgia"/>
          <w:i/>
          <w:color w:val="000000"/>
        </w:rPr>
        <w:t>Cinema Fouad</w:t>
      </w:r>
      <w:r>
        <w:rPr>
          <w:rFonts w:ascii="Georgia" w:hAnsi="Georgia" w:eastAsia="Georgia" w:cs="Georgia"/>
          <w:color w:val="000000"/>
        </w:rPr>
        <w:t xml:space="preserve"> foregrounds Khaled’s self‑narration as a central site of agency. Much as Stryker emphasizes the importance of trans people “speaking for ourselves,” the film structures Khaled’s monologues as the primary channel through which we learn about her history, desires and fears, rather than relying on external experts or medical authorities. Her stated wish to undergo gender‑affirming surgery, and the economic precarity that turns cabaret performance into a survival strategy, exemplify the entanglement of embodiment with class and migration in trans lives.</w:t>
      </w:r>
    </w:p>
    <w:p w14:paraId="5255C559">
      <w:pPr>
        <w:spacing w:after="210" w:line="360" w:lineRule="auto"/>
      </w:pPr>
      <w:r>
        <w:rPr>
          <w:rFonts w:ascii="Georgia" w:hAnsi="Georgia" w:eastAsia="Georgia" w:cs="Georgia"/>
          <w:color w:val="000000"/>
        </w:rPr>
        <w:t>At the same time, the dynamic between subject and filmmaker is not free of tension. Descriptions of Khaled’s “adept defiance in the face of some of Soueid’s more goading questions” underline how the interview format can reproduce everyday aggressions, even in ostensibly sympathetic portraits. This invites a reading through trans of color critique: the camera does not simply “give voice” but also enacts a set of demands upon the trans subject, who must negotiate being legible enough to merit sympathy yet not so radically different as to be unintelligible.</w:t>
      </w:r>
      <w:bookmarkStart w:id="31" w:name="fnref17_1"/>
      <w:bookmarkEnd w:id="31"/>
      <w:r>
        <w:fldChar w:fldCharType="begin"/>
      </w:r>
      <w:r>
        <w:instrText xml:space="preserve"> HYPERLINK \l "fn17" \h </w:instrText>
      </w:r>
      <w:r>
        <w:fldChar w:fldCharType="separate"/>
      </w:r>
      <w:r>
        <w:rPr>
          <w:rFonts w:ascii="helvetica neue" w:hAnsi="helvetica neue" w:eastAsia="helvetica neue" w:cs="helvetica neue"/>
          <w:color w:val="000000"/>
          <w:u w:val="single"/>
          <w:vertAlign w:val="superscript"/>
        </w:rPr>
        <w:t>[17]</w:t>
      </w:r>
      <w:r>
        <w:rPr>
          <w:rFonts w:ascii="helvetica neue" w:hAnsi="helvetica neue" w:eastAsia="helvetica neue" w:cs="helvetica neue"/>
          <w:color w:val="000000"/>
          <w:u w:val="single"/>
          <w:vertAlign w:val="superscript"/>
        </w:rPr>
        <w:fldChar w:fldCharType="end"/>
      </w:r>
      <w:bookmarkStart w:id="32" w:name="fnref18_1"/>
      <w:bookmarkEnd w:id="32"/>
      <w:r>
        <w:fldChar w:fldCharType="begin"/>
      </w:r>
      <w:r>
        <w:instrText xml:space="preserve"> HYPERLINK \l "fn18" \h </w:instrText>
      </w:r>
      <w:r>
        <w:fldChar w:fldCharType="separate"/>
      </w:r>
      <w:r>
        <w:rPr>
          <w:rFonts w:ascii="helvetica neue" w:hAnsi="helvetica neue" w:eastAsia="helvetica neue" w:cs="helvetica neue"/>
          <w:color w:val="000000"/>
          <w:u w:val="single"/>
          <w:vertAlign w:val="superscript"/>
        </w:rPr>
        <w:t>[18]</w:t>
      </w:r>
      <w:r>
        <w:rPr>
          <w:rFonts w:ascii="helvetica neue" w:hAnsi="helvetica neue" w:eastAsia="helvetica neue" w:cs="helvetica neue"/>
          <w:color w:val="000000"/>
          <w:u w:val="single"/>
          <w:vertAlign w:val="superscript"/>
        </w:rPr>
        <w:fldChar w:fldCharType="end"/>
      </w:r>
      <w:bookmarkStart w:id="33" w:name="fnref16_1"/>
      <w:bookmarkEnd w:id="33"/>
      <w:r>
        <w:fldChar w:fldCharType="begin"/>
      </w:r>
      <w:r>
        <w:instrText xml:space="preserve"> HYPERLINK \l "fn16" \h </w:instrText>
      </w:r>
      <w:r>
        <w:fldChar w:fldCharType="separate"/>
      </w:r>
      <w:r>
        <w:rPr>
          <w:rFonts w:ascii="helvetica neue" w:hAnsi="helvetica neue" w:eastAsia="helvetica neue" w:cs="helvetica neue"/>
          <w:color w:val="000000"/>
          <w:u w:val="single"/>
          <w:vertAlign w:val="superscript"/>
        </w:rPr>
        <w:t>[16]</w:t>
      </w:r>
      <w:r>
        <w:rPr>
          <w:rFonts w:ascii="helvetica neue" w:hAnsi="helvetica neue" w:eastAsia="helvetica neue" w:cs="helvetica neue"/>
          <w:color w:val="000000"/>
          <w:u w:val="single"/>
          <w:vertAlign w:val="superscript"/>
        </w:rPr>
        <w:fldChar w:fldCharType="end"/>
      </w:r>
    </w:p>
    <w:p w14:paraId="7B636497">
      <w:pPr>
        <w:spacing w:before="315" w:after="105" w:line="360" w:lineRule="auto"/>
        <w:ind w:left="-30"/>
        <w:jc w:val="left"/>
      </w:pPr>
      <w:bookmarkStart w:id="34" w:name="film_theory_documentary_modes_rea_64edde"/>
      <w:r>
        <w:rPr>
          <w:rFonts w:ascii="Georgia" w:hAnsi="Georgia" w:eastAsia="Georgia" w:cs="Georgia"/>
          <w:b/>
          <w:color w:val="000000"/>
          <w:sz w:val="24"/>
        </w:rPr>
        <w:t>Film theory: documentary modes, realism and the ethics of the close‑up</w:t>
      </w:r>
      <w:bookmarkEnd w:id="34"/>
    </w:p>
    <w:p w14:paraId="673930B1">
      <w:pPr>
        <w:spacing w:after="210" w:line="360" w:lineRule="auto"/>
      </w:pPr>
      <w:r>
        <w:rPr>
          <w:rFonts w:ascii="Georgia" w:hAnsi="Georgia" w:eastAsia="Georgia" w:cs="Georgia"/>
          <w:color w:val="000000"/>
        </w:rPr>
        <w:t xml:space="preserve">In Nichols’s vocabulary, </w:t>
      </w:r>
      <w:r>
        <w:rPr>
          <w:rFonts w:ascii="Georgia" w:hAnsi="Georgia" w:eastAsia="Georgia" w:cs="Georgia"/>
          <w:i/>
          <w:color w:val="000000"/>
        </w:rPr>
        <w:t>Cinema Fouad</w:t>
      </w:r>
      <w:r>
        <w:rPr>
          <w:rFonts w:ascii="Georgia" w:hAnsi="Georgia" w:eastAsia="Georgia" w:cs="Georgia"/>
          <w:color w:val="000000"/>
        </w:rPr>
        <w:t xml:space="preserve"> oscillates between the participatory and reflexive documentary modes: Soueid appears as an audible, sometimes provocatively present interviewer; yet the film also foregrounds its construction through edits and juxtapositions that highlight the gap between representation and lived experience. The heavy use of domestic close‑ups—the camera lingering on Khaled’s face as she applies make‑up, or on her body as she dances alone—engages Bazinian realism in one sense (the camera “respecting” real time and space) while simultaneously raising Mulveyan questions about the gaze.</w:t>
      </w:r>
      <w:bookmarkStart w:id="35" w:name="fnref15_2"/>
      <w:bookmarkEnd w:id="35"/>
      <w:r>
        <w:fldChar w:fldCharType="begin"/>
      </w:r>
      <w:r>
        <w:instrText xml:space="preserve"> HYPERLINK \l "fn15" \h </w:instrText>
      </w:r>
      <w:r>
        <w:fldChar w:fldCharType="separate"/>
      </w:r>
      <w:r>
        <w:rPr>
          <w:rFonts w:ascii="helvetica neue" w:hAnsi="helvetica neue" w:eastAsia="helvetica neue" w:cs="helvetica neue"/>
          <w:color w:val="000000"/>
          <w:u w:val="single"/>
          <w:vertAlign w:val="superscript"/>
        </w:rPr>
        <w:t>[15]</w:t>
      </w:r>
      <w:r>
        <w:rPr>
          <w:rFonts w:ascii="helvetica neue" w:hAnsi="helvetica neue" w:eastAsia="helvetica neue" w:cs="helvetica neue"/>
          <w:color w:val="000000"/>
          <w:u w:val="single"/>
          <w:vertAlign w:val="superscript"/>
        </w:rPr>
        <w:fldChar w:fldCharType="end"/>
      </w:r>
    </w:p>
    <w:p w14:paraId="45D36789">
      <w:pPr>
        <w:spacing w:after="210" w:line="360" w:lineRule="auto"/>
      </w:pPr>
      <w:r>
        <w:rPr>
          <w:rFonts w:ascii="Georgia" w:hAnsi="Georgia" w:eastAsia="Georgia" w:cs="Georgia"/>
          <w:color w:val="000000"/>
        </w:rPr>
        <w:t>Is Khaled here predominantly the object of a voyeuristic gaze, framed for the pleasure (or pity) of a presumably cisgender spectator? Or does the film, by so insistently locating her in her own spaces and staging her as a performer with agency over when and how she is seen, also invite identifications that destabilize heteronormative subject positions? The ambiguity is productive: it drives the spectator to confront their own position in relation to the trans feminine body on screen.</w:t>
      </w:r>
    </w:p>
    <w:p w14:paraId="344DA7AB">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5C09DC05">
      <w:pPr>
        <w:spacing w:before="315" w:after="105" w:line="360" w:lineRule="auto"/>
        <w:ind w:left="-30"/>
        <w:jc w:val="left"/>
      </w:pPr>
      <w:bookmarkStart w:id="36" w:name="case_study_ii_la_grande_safae_the_a4f65d"/>
      <w:r>
        <w:rPr>
          <w:rFonts w:ascii="Georgia" w:hAnsi="Georgia" w:eastAsia="Georgia" w:cs="Georgia"/>
          <w:b/>
          <w:color w:val="000000"/>
          <w:sz w:val="24"/>
        </w:rPr>
        <w:t xml:space="preserve">Case study II: </w:t>
      </w:r>
      <w:r>
        <w:rPr>
          <w:rFonts w:ascii="Georgia" w:hAnsi="Georgia" w:eastAsia="Georgia" w:cs="Georgia"/>
          <w:b/>
          <w:i/>
          <w:color w:val="000000"/>
          <w:sz w:val="24"/>
        </w:rPr>
        <w:t>La Grande Safae / The Great Safae</w:t>
      </w:r>
      <w:r>
        <w:rPr>
          <w:rFonts w:ascii="Georgia" w:hAnsi="Georgia" w:eastAsia="Georgia" w:cs="Georgia"/>
          <w:b/>
          <w:color w:val="000000"/>
          <w:sz w:val="24"/>
        </w:rPr>
        <w:t xml:space="preserve"> (Morocco/France, 2014)</w:t>
      </w:r>
      <w:bookmarkEnd w:id="36"/>
    </w:p>
    <w:p w14:paraId="6EA5A994">
      <w:pPr>
        <w:spacing w:before="315" w:after="105" w:line="360" w:lineRule="auto"/>
        <w:ind w:left="-30"/>
        <w:jc w:val="left"/>
      </w:pPr>
      <w:bookmarkStart w:id="37" w:name="synopsis_and_hybrid_form"/>
      <w:r>
        <w:rPr>
          <w:rFonts w:ascii="Georgia" w:hAnsi="Georgia" w:eastAsia="Georgia" w:cs="Georgia"/>
          <w:b/>
          <w:color w:val="000000"/>
          <w:sz w:val="24"/>
        </w:rPr>
        <w:t>Synopsis and hybrid form</w:t>
      </w:r>
      <w:bookmarkEnd w:id="37"/>
    </w:p>
    <w:p w14:paraId="1E1C382C">
      <w:pPr>
        <w:spacing w:after="210" w:line="360" w:lineRule="auto"/>
      </w:pPr>
      <w:r>
        <w:rPr>
          <w:rFonts w:ascii="Georgia" w:hAnsi="Georgia" w:eastAsia="Georgia" w:cs="Georgia"/>
          <w:i/>
          <w:color w:val="000000"/>
        </w:rPr>
        <w:t>La Grande Safae</w:t>
      </w:r>
      <w:r>
        <w:rPr>
          <w:rFonts w:ascii="Georgia" w:hAnsi="Georgia" w:eastAsia="Georgia" w:cs="Georgia"/>
          <w:color w:val="000000"/>
        </w:rPr>
        <w:t xml:space="preserve"> is a 15‑minute experimental documentary by Moroccan artist and filmmaker Randa Maroufi, produced at Le Fresnoy in France. The film is “freely inspired” by a figure known as “La Grande Safae,” a transvestite or possibly trans person who worked as a domestic servant for Maroufi’s family in Morocco in the 1980s; the family reportedly remained unaware of Safae’s “real” gender identity. In the film, real witnesses and actors recount anecdotes and describe this enigmatic character, while three performers—two women and one man—take turns embodying Safae, creating an intentionally unstable portrait of a person who has since disappeared.</w:t>
      </w:r>
      <w:bookmarkStart w:id="38" w:name="fnref11_1"/>
      <w:bookmarkEnd w:id="38"/>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39" w:name="fnref12_1"/>
      <w:bookmarkEnd w:id="39"/>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40" w:name="fnref14_1"/>
      <w:bookmarkEnd w:id="40"/>
      <w:r>
        <w:fldChar w:fldCharType="begin"/>
      </w:r>
      <w:r>
        <w:instrText xml:space="preserve"> HYPERLINK \l "fn14" \h </w:instrText>
      </w:r>
      <w:r>
        <w:fldChar w:fldCharType="separate"/>
      </w:r>
      <w:r>
        <w:rPr>
          <w:rFonts w:ascii="helvetica neue" w:hAnsi="helvetica neue" w:eastAsia="helvetica neue" w:cs="helvetica neue"/>
          <w:color w:val="000000"/>
          <w:u w:val="single"/>
          <w:vertAlign w:val="superscript"/>
        </w:rPr>
        <w:t>[14]</w:t>
      </w:r>
      <w:r>
        <w:rPr>
          <w:rFonts w:ascii="helvetica neue" w:hAnsi="helvetica neue" w:eastAsia="helvetica neue" w:cs="helvetica neue"/>
          <w:color w:val="000000"/>
          <w:u w:val="single"/>
          <w:vertAlign w:val="superscript"/>
        </w:rPr>
        <w:fldChar w:fldCharType="end"/>
      </w:r>
    </w:p>
    <w:p w14:paraId="45D74480">
      <w:pPr>
        <w:spacing w:after="210" w:line="360" w:lineRule="auto"/>
      </w:pPr>
      <w:r>
        <w:rPr>
          <w:rFonts w:ascii="Georgia" w:hAnsi="Georgia" w:eastAsia="Georgia" w:cs="Georgia"/>
          <w:color w:val="000000"/>
        </w:rPr>
        <w:t xml:space="preserve">The director explicitly states that by combining real‑life events and a fictional approach she aims to question the </w:t>
      </w:r>
      <w:r>
        <w:rPr>
          <w:rFonts w:ascii="Georgia" w:hAnsi="Georgia" w:eastAsia="Georgia" w:cs="Georgia"/>
          <w:i/>
          <w:color w:val="000000"/>
        </w:rPr>
        <w:t>mise‑en‑scène</w:t>
      </w:r>
      <w:r>
        <w:rPr>
          <w:rFonts w:ascii="Georgia" w:hAnsi="Georgia" w:eastAsia="Georgia" w:cs="Georgia"/>
          <w:color w:val="000000"/>
        </w:rPr>
        <w:t xml:space="preserve"> and veracity of memory and testimony, while evoking “the perception of a troubled identity.” The work thus moves between documentary, fiction and essay film, aligning with a Maghrebi tradition in which, as one critic notes, filmmakers often resort to metaphor and indirectness to depict queerness in the face of censorship and social taboos.</w:t>
      </w:r>
      <w:bookmarkStart w:id="41" w:name="fnref12_2"/>
      <w:bookmarkEnd w:id="41"/>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42" w:name="fnref14_2"/>
      <w:bookmarkEnd w:id="42"/>
      <w:r>
        <w:fldChar w:fldCharType="begin"/>
      </w:r>
      <w:r>
        <w:instrText xml:space="preserve"> HYPERLINK \l "fn14" \h </w:instrText>
      </w:r>
      <w:r>
        <w:fldChar w:fldCharType="separate"/>
      </w:r>
      <w:r>
        <w:rPr>
          <w:rFonts w:ascii="helvetica neue" w:hAnsi="helvetica neue" w:eastAsia="helvetica neue" w:cs="helvetica neue"/>
          <w:color w:val="000000"/>
          <w:u w:val="single"/>
          <w:vertAlign w:val="superscript"/>
        </w:rPr>
        <w:t>[14]</w:t>
      </w:r>
      <w:r>
        <w:rPr>
          <w:rFonts w:ascii="helvetica neue" w:hAnsi="helvetica neue" w:eastAsia="helvetica neue" w:cs="helvetica neue"/>
          <w:color w:val="000000"/>
          <w:u w:val="single"/>
          <w:vertAlign w:val="superscript"/>
        </w:rPr>
        <w:fldChar w:fldCharType="end"/>
      </w:r>
      <w:bookmarkStart w:id="43" w:name="fnref11_2"/>
      <w:bookmarkEnd w:id="43"/>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44" w:name="fnref1_2"/>
      <w:bookmarkEnd w:id="44"/>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p>
    <w:p w14:paraId="1EF8F901">
      <w:pPr>
        <w:spacing w:before="315" w:after="105" w:line="360" w:lineRule="auto"/>
        <w:ind w:left="-30"/>
        <w:jc w:val="left"/>
      </w:pPr>
      <w:bookmarkStart w:id="45" w:name="trans_theory_memory_legibility_an_2c98b2"/>
      <w:r>
        <w:rPr>
          <w:rFonts w:ascii="Georgia" w:hAnsi="Georgia" w:eastAsia="Georgia" w:cs="Georgia"/>
          <w:b/>
          <w:color w:val="000000"/>
          <w:sz w:val="24"/>
        </w:rPr>
        <w:t>Trans theory: memory, legibility and the archive</w:t>
      </w:r>
      <w:bookmarkEnd w:id="45"/>
    </w:p>
    <w:p w14:paraId="707B46E3">
      <w:pPr>
        <w:spacing w:after="210" w:line="360" w:lineRule="auto"/>
      </w:pPr>
      <w:r>
        <w:rPr>
          <w:rFonts w:ascii="Georgia" w:hAnsi="Georgia" w:eastAsia="Georgia" w:cs="Georgia"/>
          <w:color w:val="000000"/>
        </w:rPr>
        <w:t xml:space="preserve">Where </w:t>
      </w:r>
      <w:r>
        <w:rPr>
          <w:rFonts w:ascii="Georgia" w:hAnsi="Georgia" w:eastAsia="Georgia" w:cs="Georgia"/>
          <w:i/>
          <w:color w:val="000000"/>
        </w:rPr>
        <w:t>Cinema Fouad</w:t>
      </w:r>
      <w:r>
        <w:rPr>
          <w:rFonts w:ascii="Georgia" w:hAnsi="Georgia" w:eastAsia="Georgia" w:cs="Georgia"/>
          <w:color w:val="000000"/>
        </w:rPr>
        <w:t xml:space="preserve"> centers a living trans woman narrating herself, </w:t>
      </w:r>
      <w:r>
        <w:rPr>
          <w:rFonts w:ascii="Georgia" w:hAnsi="Georgia" w:eastAsia="Georgia" w:cs="Georgia"/>
          <w:i/>
          <w:color w:val="000000"/>
        </w:rPr>
        <w:t>La Grande Safae</w:t>
      </w:r>
      <w:r>
        <w:rPr>
          <w:rFonts w:ascii="Georgia" w:hAnsi="Georgia" w:eastAsia="Georgia" w:cs="Georgia"/>
          <w:color w:val="000000"/>
        </w:rPr>
        <w:t xml:space="preserve"> foregrounds the impossibility of fully recovering Safae’s subjectivity. Viewed through trans theory, this absence is itself a commentary on the erasure of gender‑variant people from family histories and national archives in North Africa. The fact that Safae’s employers “ignored” or failed to recognize their domestic worker’s gender variance speaks to what trans theorists call misrecognition: the violent refusal to read a person’s gendered presentation as meaningful on its own terms.</w:t>
      </w:r>
      <w:bookmarkStart w:id="46" w:name="fnref14_3"/>
      <w:bookmarkEnd w:id="46"/>
      <w:r>
        <w:fldChar w:fldCharType="begin"/>
      </w:r>
      <w:r>
        <w:instrText xml:space="preserve"> HYPERLINK \l "fn14" \h </w:instrText>
      </w:r>
      <w:r>
        <w:fldChar w:fldCharType="separate"/>
      </w:r>
      <w:r>
        <w:rPr>
          <w:rFonts w:ascii="helvetica neue" w:hAnsi="helvetica neue" w:eastAsia="helvetica neue" w:cs="helvetica neue"/>
          <w:color w:val="000000"/>
          <w:u w:val="single"/>
          <w:vertAlign w:val="superscript"/>
        </w:rPr>
        <w:t>[14]</w:t>
      </w:r>
      <w:r>
        <w:rPr>
          <w:rFonts w:ascii="helvetica neue" w:hAnsi="helvetica neue" w:eastAsia="helvetica neue" w:cs="helvetica neue"/>
          <w:color w:val="000000"/>
          <w:u w:val="single"/>
          <w:vertAlign w:val="superscript"/>
        </w:rPr>
        <w:fldChar w:fldCharType="end"/>
      </w:r>
      <w:bookmarkStart w:id="47" w:name="fnref11_3"/>
      <w:bookmarkEnd w:id="47"/>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48" w:name="fnref12_3"/>
      <w:bookmarkEnd w:id="48"/>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p>
    <w:p w14:paraId="6E0D2370">
      <w:pPr>
        <w:spacing w:after="210" w:line="360" w:lineRule="auto"/>
      </w:pPr>
      <w:r>
        <w:rPr>
          <w:rFonts w:ascii="Georgia" w:hAnsi="Georgia" w:eastAsia="Georgia" w:cs="Georgia"/>
          <w:color w:val="000000"/>
        </w:rPr>
        <w:t>Maroufi’s choice to cast multiple performers of different genders to play Safae suggests a “transing” of cinematic embodiment, in which gender is understood not as a fixed essence but as a set of gestures, poses and narrative fragments that can be inhabited, reworked and contested. The film’s refusal to settle on a single, authoritative image of Safae aligns with C. Riley Snorton’s insistence on attending to trans histories as partial and overdetermined, particularly when they intersect with racialized and postcolonial contexts.</w:t>
      </w:r>
    </w:p>
    <w:p w14:paraId="09FEB57D">
      <w:pPr>
        <w:spacing w:before="315" w:after="105" w:line="360" w:lineRule="auto"/>
        <w:ind w:left="-30"/>
        <w:jc w:val="left"/>
      </w:pPr>
      <w:bookmarkStart w:id="49" w:name="film_theory_reenactment_spectator_925261"/>
      <w:r>
        <w:rPr>
          <w:rFonts w:ascii="Georgia" w:hAnsi="Georgia" w:eastAsia="Georgia" w:cs="Georgia"/>
          <w:b/>
          <w:color w:val="000000"/>
          <w:sz w:val="24"/>
        </w:rPr>
        <w:t>Film theory: reenactment, spectatorship and the instability of the image</w:t>
      </w:r>
      <w:bookmarkEnd w:id="49"/>
    </w:p>
    <w:p w14:paraId="1E8550BE">
      <w:pPr>
        <w:spacing w:after="210" w:line="360" w:lineRule="auto"/>
      </w:pPr>
      <w:r>
        <w:rPr>
          <w:rFonts w:ascii="Georgia" w:hAnsi="Georgia" w:eastAsia="Georgia" w:cs="Georgia"/>
          <w:color w:val="000000"/>
        </w:rPr>
        <w:t xml:space="preserve">From a film‑theoretical perspective, </w:t>
      </w:r>
      <w:r>
        <w:rPr>
          <w:rFonts w:ascii="Georgia" w:hAnsi="Georgia" w:eastAsia="Georgia" w:cs="Georgia"/>
          <w:i/>
          <w:color w:val="000000"/>
        </w:rPr>
        <w:t>La Grande Safae</w:t>
      </w:r>
      <w:r>
        <w:rPr>
          <w:rFonts w:ascii="Georgia" w:hAnsi="Georgia" w:eastAsia="Georgia" w:cs="Georgia"/>
          <w:color w:val="000000"/>
        </w:rPr>
        <w:t xml:space="preserve"> can be read alongside other works that use reenactment to trouble documentary truth claims. By having actors and real witnesses collaboratively “perform” Safae’s past, the film literalizes the constructedness of cinematic representation: there is no unmediated access to the trans subject, only traces and projections staged for the camera. This reflexivity resonates with contemporary documentary theory that views reenactment not as a mere illustration of facts but as a mode of critical inquiry into how stories are told.</w:t>
      </w:r>
      <w:bookmarkStart w:id="50" w:name="fnref12_4"/>
      <w:bookmarkEnd w:id="50"/>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p>
    <w:p w14:paraId="002D065E">
      <w:pPr>
        <w:spacing w:after="210" w:line="360" w:lineRule="auto"/>
      </w:pPr>
      <w:r>
        <w:rPr>
          <w:rFonts w:ascii="Georgia" w:hAnsi="Georgia" w:eastAsia="Georgia" w:cs="Georgia"/>
          <w:color w:val="000000"/>
        </w:rPr>
        <w:t xml:space="preserve">Thematically, the domestic setting and the testimony of family members reinforce how gender non‑conformity is policed within the intimate sphere, not just by state institutions. Cinematically, the use of widescreen CinemaScope, controlled lighting and careful blocking of bodies within the frame foreground the artifice of </w:t>
      </w:r>
      <w:r>
        <w:rPr>
          <w:rFonts w:ascii="Georgia" w:hAnsi="Georgia" w:eastAsia="Georgia" w:cs="Georgia"/>
          <w:i/>
          <w:color w:val="000000"/>
        </w:rPr>
        <w:t>mise‑en‑scène</w:t>
      </w:r>
      <w:r>
        <w:rPr>
          <w:rFonts w:ascii="Georgia" w:hAnsi="Georgia" w:eastAsia="Georgia" w:cs="Georgia"/>
          <w:color w:val="000000"/>
        </w:rPr>
        <w:t>, inviting spectators to question their own desire for a stable image of Safae. Rather than offering the satisfaction of “finally seeing” the real trans subject, the film stages a productive frustration—what Halberstam might call a “queer failure” of epistemological mastery—that resists the objectifying drive of the gaze.</w:t>
      </w:r>
    </w:p>
    <w:p w14:paraId="68E9AA8F">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26D33946">
      <w:pPr>
        <w:spacing w:before="315" w:after="105" w:line="360" w:lineRule="auto"/>
        <w:ind w:left="-30"/>
        <w:jc w:val="left"/>
      </w:pPr>
      <w:bookmarkStart w:id="51" w:name="case_study_iii_adjustment_iran_2022"/>
      <w:r>
        <w:rPr>
          <w:rFonts w:ascii="Georgia" w:hAnsi="Georgia" w:eastAsia="Georgia" w:cs="Georgia"/>
          <w:b/>
          <w:color w:val="000000"/>
          <w:sz w:val="24"/>
        </w:rPr>
        <w:t xml:space="preserve">Case study III: </w:t>
      </w:r>
      <w:r>
        <w:rPr>
          <w:rFonts w:ascii="Georgia" w:hAnsi="Georgia" w:eastAsia="Georgia" w:cs="Georgia"/>
          <w:b/>
          <w:i/>
          <w:color w:val="000000"/>
          <w:sz w:val="24"/>
        </w:rPr>
        <w:t>Adjustment</w:t>
      </w:r>
      <w:r>
        <w:rPr>
          <w:rFonts w:ascii="Georgia" w:hAnsi="Georgia" w:eastAsia="Georgia" w:cs="Georgia"/>
          <w:b/>
          <w:color w:val="000000"/>
          <w:sz w:val="24"/>
        </w:rPr>
        <w:t xml:space="preserve"> (Iran, 2022)</w:t>
      </w:r>
      <w:bookmarkEnd w:id="51"/>
    </w:p>
    <w:p w14:paraId="7265259E">
      <w:pPr>
        <w:spacing w:before="315" w:after="105" w:line="360" w:lineRule="auto"/>
        <w:ind w:left="-30"/>
        <w:jc w:val="left"/>
      </w:pPr>
      <w:bookmarkStart w:id="52" w:name="synopsis_and_social_background"/>
      <w:r>
        <w:rPr>
          <w:rFonts w:ascii="Georgia" w:hAnsi="Georgia" w:eastAsia="Georgia" w:cs="Georgia"/>
          <w:b/>
          <w:color w:val="000000"/>
          <w:sz w:val="24"/>
        </w:rPr>
        <w:t>Synopsis and social background</w:t>
      </w:r>
      <w:bookmarkEnd w:id="52"/>
    </w:p>
    <w:p w14:paraId="723AF7B2">
      <w:pPr>
        <w:spacing w:after="210" w:line="360" w:lineRule="auto"/>
      </w:pPr>
      <w:r>
        <w:rPr>
          <w:rFonts w:ascii="Georgia" w:hAnsi="Georgia" w:eastAsia="Georgia" w:cs="Georgia"/>
          <w:i/>
          <w:color w:val="000000"/>
        </w:rPr>
        <w:t>Adjustment</w:t>
      </w:r>
      <w:r>
        <w:rPr>
          <w:rFonts w:ascii="Georgia" w:hAnsi="Georgia" w:eastAsia="Georgia" w:cs="Georgia"/>
          <w:color w:val="000000"/>
        </w:rPr>
        <w:t xml:space="preserve"> (Tatbiq) is a 16–17‑minute Iranian fiction short directed by Mehrdad Hasani and written by Farzad Ahmadi. The film follows Shahrokh, a nine‑year‑old effeminate boy who is humiliated and pushed away by family and peers in a deeply religious village community. After enduring bullying and familial rejection, Shahrokh decides to “adjust himself to his new identity” and comes out to the villagers; in the climactic sequence, he appears at school dressed in girl’s clothes, facing classmates and teacher. While his struggle is ongoing, he finds an unlikely ally in his male teacher, suggesting a fragile possibility of support within an otherwise hostile environment.</w:t>
      </w:r>
      <w:bookmarkStart w:id="53" w:name="fnref10_1"/>
      <w:bookmarkEnd w:id="53"/>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bookmarkStart w:id="54" w:name="fnref5_1"/>
      <w:bookmarkEnd w:id="54"/>
      <w:r>
        <w:fldChar w:fldCharType="begin"/>
      </w:r>
      <w:r>
        <w:instrText xml:space="preserve"> HYPERLINK \l "fn5" \h </w:instrText>
      </w:r>
      <w:r>
        <w:fldChar w:fldCharType="separate"/>
      </w:r>
      <w:r>
        <w:rPr>
          <w:rFonts w:ascii="helvetica neue" w:hAnsi="helvetica neue" w:eastAsia="helvetica neue" w:cs="helvetica neue"/>
          <w:color w:val="000000"/>
          <w:u w:val="single"/>
          <w:vertAlign w:val="superscript"/>
        </w:rPr>
        <w:t>[5]</w:t>
      </w:r>
      <w:r>
        <w:rPr>
          <w:rFonts w:ascii="helvetica neue" w:hAnsi="helvetica neue" w:eastAsia="helvetica neue" w:cs="helvetica neue"/>
          <w:color w:val="000000"/>
          <w:u w:val="single"/>
          <w:vertAlign w:val="superscript"/>
        </w:rPr>
        <w:fldChar w:fldCharType="end"/>
      </w:r>
      <w:bookmarkStart w:id="55" w:name="fnref13_1"/>
      <w:bookmarkEnd w:id="55"/>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bookmarkStart w:id="56" w:name="fnref19"/>
      <w:bookmarkEnd w:id="56"/>
      <w:r>
        <w:fldChar w:fldCharType="begin"/>
      </w:r>
      <w:r>
        <w:instrText xml:space="preserve"> HYPERLINK \l "fn19" \h </w:instrText>
      </w:r>
      <w:r>
        <w:fldChar w:fldCharType="separate"/>
      </w:r>
      <w:r>
        <w:rPr>
          <w:rFonts w:ascii="helvetica neue" w:hAnsi="helvetica neue" w:eastAsia="helvetica neue" w:cs="helvetica neue"/>
          <w:color w:val="000000"/>
          <w:u w:val="single"/>
          <w:vertAlign w:val="superscript"/>
        </w:rPr>
        <w:t>[19]</w:t>
      </w:r>
      <w:r>
        <w:rPr>
          <w:rFonts w:ascii="helvetica neue" w:hAnsi="helvetica neue" w:eastAsia="helvetica neue" w:cs="helvetica neue"/>
          <w:color w:val="000000"/>
          <w:u w:val="single"/>
          <w:vertAlign w:val="superscript"/>
        </w:rPr>
        <w:fldChar w:fldCharType="end"/>
      </w:r>
      <w:bookmarkStart w:id="57" w:name="fnref6_2"/>
      <w:bookmarkEnd w:id="57"/>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p>
    <w:p w14:paraId="6F4707B4">
      <w:pPr>
        <w:spacing w:after="210" w:line="360" w:lineRule="auto"/>
      </w:pPr>
      <w:r>
        <w:rPr>
          <w:rFonts w:ascii="Georgia" w:hAnsi="Georgia" w:eastAsia="Georgia" w:cs="Georgia"/>
          <w:color w:val="000000"/>
        </w:rPr>
        <w:t>The film has screened at international festivals including Busan, Raindance and multiple LGBTQ festivals, and has been described by commentators as “a trans short film coming out of Iran,” notable given Iran’s harsh criminalization of homosexuality and paradoxical recognition of certain forms of gender transition. This socio‑legal paradox frames Shahrokh’s story: the child’s gender expression is punished under norms of masculinity and religious propriety, even as the state claims to acknowledge gender dysphoria in specific medicalized contexts.</w:t>
      </w:r>
      <w:bookmarkStart w:id="58" w:name="fnref5_2"/>
      <w:bookmarkEnd w:id="58"/>
      <w:r>
        <w:fldChar w:fldCharType="begin"/>
      </w:r>
      <w:r>
        <w:instrText xml:space="preserve"> HYPERLINK \l "fn5" \h </w:instrText>
      </w:r>
      <w:r>
        <w:fldChar w:fldCharType="separate"/>
      </w:r>
      <w:r>
        <w:rPr>
          <w:rFonts w:ascii="helvetica neue" w:hAnsi="helvetica neue" w:eastAsia="helvetica neue" w:cs="helvetica neue"/>
          <w:color w:val="000000"/>
          <w:u w:val="single"/>
          <w:vertAlign w:val="superscript"/>
        </w:rPr>
        <w:t>[5]</w:t>
      </w:r>
      <w:r>
        <w:rPr>
          <w:rFonts w:ascii="helvetica neue" w:hAnsi="helvetica neue" w:eastAsia="helvetica neue" w:cs="helvetica neue"/>
          <w:color w:val="000000"/>
          <w:u w:val="single"/>
          <w:vertAlign w:val="superscript"/>
        </w:rPr>
        <w:fldChar w:fldCharType="end"/>
      </w:r>
      <w:bookmarkStart w:id="59" w:name="fnref13_2"/>
      <w:bookmarkEnd w:id="59"/>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bookmarkStart w:id="60" w:name="fnref6_3"/>
      <w:bookmarkEnd w:id="60"/>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p>
    <w:p w14:paraId="38A4B0B7">
      <w:pPr>
        <w:spacing w:before="315" w:after="105" w:line="360" w:lineRule="auto"/>
        <w:ind w:left="-30"/>
        <w:jc w:val="left"/>
      </w:pPr>
      <w:bookmarkStart w:id="61" w:name="trans_theory_childhood_recognitio_e93518"/>
      <w:r>
        <w:rPr>
          <w:rFonts w:ascii="Georgia" w:hAnsi="Georgia" w:eastAsia="Georgia" w:cs="Georgia"/>
          <w:b/>
          <w:color w:val="000000"/>
          <w:sz w:val="24"/>
        </w:rPr>
        <w:t>Trans theory: childhood, recognition and “transing” the coming‑of‑age film</w:t>
      </w:r>
      <w:bookmarkEnd w:id="61"/>
    </w:p>
    <w:p w14:paraId="59DCB1F4">
      <w:pPr>
        <w:spacing w:after="210" w:line="360" w:lineRule="auto"/>
      </w:pPr>
      <w:r>
        <w:rPr>
          <w:rFonts w:ascii="Georgia" w:hAnsi="Georgia" w:eastAsia="Georgia" w:cs="Georgia"/>
          <w:i/>
          <w:color w:val="000000"/>
        </w:rPr>
        <w:t>Adjustment</w:t>
      </w:r>
      <w:r>
        <w:rPr>
          <w:rFonts w:ascii="Georgia" w:hAnsi="Georgia" w:eastAsia="Georgia" w:cs="Georgia"/>
          <w:color w:val="000000"/>
        </w:rPr>
        <w:t xml:space="preserve"> engages directly with questions of trans childhood that have been central to recent trans studies. Shahrokh’s insistence on dressing and behaving in ways coded feminine in his context foregrounds what theorists describe as the early emergence of trans embodiment, challenging narratives that position trans identity as inherently adult or sexual. The film’s narrative arc—humiliation, self‑assertion, partial support—evokes trans theory’s focus on “recognition”: Shahrokh demands to be seen and addressed in ways congruent with his felt identity, despite lacking the language of “transgender” per se.</w:t>
      </w:r>
    </w:p>
    <w:p w14:paraId="2D8E77E6">
      <w:pPr>
        <w:spacing w:after="210" w:line="360" w:lineRule="auto"/>
      </w:pPr>
      <w:r>
        <w:rPr>
          <w:rFonts w:ascii="Georgia" w:hAnsi="Georgia" w:eastAsia="Georgia" w:cs="Georgia"/>
          <w:color w:val="000000"/>
        </w:rPr>
        <w:t>From a genre perspective, the short can be understood as “transing” the coming‑of‑age film—a category that trans cinema scholar Cáel M. Keegan identifies as a key site for representing gender transition. Here, however, the coming‑of‑age is circumscribed by rural Iranian norms: Shahrokh’s act of coming out is staged not as a triumphant escape but as a risky confrontation in a classroom, foregrounding the collective gaze of peers and adults. This context complicates Western liberal narratives of trans adolescence by emphasizing the ongoing precarity of recognition under authoritarian and religiously inflected regimes.</w:t>
      </w:r>
    </w:p>
    <w:p w14:paraId="332C9E68">
      <w:pPr>
        <w:spacing w:before="315" w:after="105" w:line="360" w:lineRule="auto"/>
        <w:ind w:left="-30"/>
        <w:jc w:val="left"/>
      </w:pPr>
      <w:bookmarkStart w:id="62" w:name="film_theory_mise_en_scène_perform_48f6c6"/>
      <w:r>
        <w:rPr>
          <w:rFonts w:ascii="Georgia" w:hAnsi="Georgia" w:eastAsia="Georgia" w:cs="Georgia"/>
          <w:b/>
          <w:color w:val="000000"/>
          <w:sz w:val="24"/>
        </w:rPr>
        <w:t>Film theory: mise‑en‑scène, performance and spectatorship</w:t>
      </w:r>
      <w:bookmarkEnd w:id="62"/>
    </w:p>
    <w:p w14:paraId="605E4017">
      <w:pPr>
        <w:spacing w:after="210" w:line="360" w:lineRule="auto"/>
      </w:pPr>
      <w:r>
        <w:rPr>
          <w:rFonts w:ascii="Georgia" w:hAnsi="Georgia" w:eastAsia="Georgia" w:cs="Georgia"/>
          <w:color w:val="000000"/>
        </w:rPr>
        <w:t xml:space="preserve">Cinematically, </w:t>
      </w:r>
      <w:r>
        <w:rPr>
          <w:rFonts w:ascii="Georgia" w:hAnsi="Georgia" w:eastAsia="Georgia" w:cs="Georgia"/>
          <w:i/>
          <w:color w:val="000000"/>
        </w:rPr>
        <w:t>Adjustment</w:t>
      </w:r>
      <w:r>
        <w:rPr>
          <w:rFonts w:ascii="Georgia" w:hAnsi="Georgia" w:eastAsia="Georgia" w:cs="Georgia"/>
          <w:color w:val="000000"/>
        </w:rPr>
        <w:t xml:space="preserve"> relies on a restrained realist style: naturalistic performances, village locations, and relatively unobtrusive camerawork that keeps us close to Shahrokh without resorting to melodramatic excess. The careful framing of the classroom scene, with Shahrokh entering in a dress before the assembled students, creates a tableau that literalizes the spectacle of trans revelation: the child stands at the front of the room as object of collective scrutiny, yet the camera’s alignment with his perspective and the teacher’s supportive gaze invite the audience to identify with his courage rather than with the villagers’ transphobia.</w:t>
      </w:r>
      <w:bookmarkStart w:id="63" w:name="fnref13_3"/>
      <w:bookmarkEnd w:id="63"/>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bookmarkStart w:id="64" w:name="fnref19_1"/>
      <w:bookmarkEnd w:id="64"/>
      <w:r>
        <w:fldChar w:fldCharType="begin"/>
      </w:r>
      <w:r>
        <w:instrText xml:space="preserve"> HYPERLINK \l "fn19" \h </w:instrText>
      </w:r>
      <w:r>
        <w:fldChar w:fldCharType="separate"/>
      </w:r>
      <w:r>
        <w:rPr>
          <w:rFonts w:ascii="helvetica neue" w:hAnsi="helvetica neue" w:eastAsia="helvetica neue" w:cs="helvetica neue"/>
          <w:color w:val="000000"/>
          <w:u w:val="single"/>
          <w:vertAlign w:val="superscript"/>
        </w:rPr>
        <w:t>[19]</w:t>
      </w:r>
      <w:r>
        <w:rPr>
          <w:rFonts w:ascii="helvetica neue" w:hAnsi="helvetica neue" w:eastAsia="helvetica neue" w:cs="helvetica neue"/>
          <w:color w:val="000000"/>
          <w:u w:val="single"/>
          <w:vertAlign w:val="superscript"/>
        </w:rPr>
        <w:fldChar w:fldCharType="end"/>
      </w:r>
      <w:bookmarkStart w:id="65" w:name="fnref6_4"/>
      <w:bookmarkEnd w:id="65"/>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bookmarkStart w:id="66" w:name="fnref10_2"/>
      <w:bookmarkEnd w:id="66"/>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p>
    <w:p w14:paraId="204C2B22">
      <w:pPr>
        <w:spacing w:after="210" w:line="360" w:lineRule="auto"/>
      </w:pPr>
      <w:r>
        <w:rPr>
          <w:rFonts w:ascii="Georgia" w:hAnsi="Georgia" w:eastAsia="Georgia" w:cs="Georgia"/>
          <w:color w:val="000000"/>
        </w:rPr>
        <w:t>Through a Mulveyan lens, one might say the film attempts to “queer” the gaze: instead of aligning spectators with a punitive or voyeuristic view of the gender‑variant child, it works to produce a trans‑affirming gaze that sees Shahrokh’s femininity as a legitimate expression of self. At the same time, the film cannot entirely escape the pathos associated with trans suffering; its affective power relies in part on showing repeated humiliations. This tension mirrors broader debates in trans cinema studies over the balance between exposing violence and avoiding the reduction of trans characters to victims.</w:t>
      </w:r>
    </w:p>
    <w:p w14:paraId="437CEAB8">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2DF3850A">
      <w:pPr>
        <w:spacing w:before="315" w:after="105" w:line="360" w:lineRule="auto"/>
        <w:ind w:left="-30"/>
        <w:jc w:val="left"/>
      </w:pPr>
      <w:bookmarkStart w:id="67" w:name="comparative_discussion_regional_s_e0880f"/>
      <w:r>
        <w:rPr>
          <w:rFonts w:ascii="Georgia" w:hAnsi="Georgia" w:eastAsia="Georgia" w:cs="Georgia"/>
          <w:b/>
          <w:color w:val="000000"/>
          <w:sz w:val="24"/>
        </w:rPr>
        <w:t>Comparative discussion: regional specificity and shared strategies</w:t>
      </w:r>
      <w:bookmarkEnd w:id="67"/>
    </w:p>
    <w:p w14:paraId="6BA8865A">
      <w:pPr>
        <w:spacing w:after="210" w:line="360" w:lineRule="auto"/>
      </w:pPr>
      <w:r>
        <w:rPr>
          <w:rFonts w:ascii="Georgia" w:hAnsi="Georgia" w:eastAsia="Georgia" w:cs="Georgia"/>
          <w:color w:val="000000"/>
        </w:rPr>
        <w:t xml:space="preserve">Examining </w:t>
      </w:r>
      <w:r>
        <w:rPr>
          <w:rFonts w:ascii="Georgia" w:hAnsi="Georgia" w:eastAsia="Georgia" w:cs="Georgia"/>
          <w:i/>
          <w:color w:val="000000"/>
        </w:rPr>
        <w:t>Cinema Fouad</w:t>
      </w:r>
      <w:r>
        <w:rPr>
          <w:rFonts w:ascii="Georgia" w:hAnsi="Georgia" w:eastAsia="Georgia" w:cs="Georgia"/>
          <w:color w:val="000000"/>
        </w:rPr>
        <w:t xml:space="preserve">, </w:t>
      </w:r>
      <w:r>
        <w:rPr>
          <w:rFonts w:ascii="Georgia" w:hAnsi="Georgia" w:eastAsia="Georgia" w:cs="Georgia"/>
          <w:i/>
          <w:color w:val="000000"/>
        </w:rPr>
        <w:t>La Grande Safae</w:t>
      </w:r>
      <w:r>
        <w:rPr>
          <w:rFonts w:ascii="Georgia" w:hAnsi="Georgia" w:eastAsia="Georgia" w:cs="Georgia"/>
          <w:color w:val="000000"/>
        </w:rPr>
        <w:t xml:space="preserve"> and </w:t>
      </w:r>
      <w:r>
        <w:rPr>
          <w:rFonts w:ascii="Georgia" w:hAnsi="Georgia" w:eastAsia="Georgia" w:cs="Georgia"/>
          <w:i/>
          <w:color w:val="000000"/>
        </w:rPr>
        <w:t>Adjustment</w:t>
      </w:r>
      <w:r>
        <w:rPr>
          <w:rFonts w:ascii="Georgia" w:hAnsi="Georgia" w:eastAsia="Georgia" w:cs="Georgia"/>
          <w:color w:val="000000"/>
        </w:rPr>
        <w:t xml:space="preserve"> together reveals both shared strategies and regional specificities in MENA trans‑themed cinema.</w:t>
      </w:r>
    </w:p>
    <w:p w14:paraId="7EF64723">
      <w:pPr>
        <w:numPr>
          <w:ilvl w:val="0"/>
          <w:numId w:val="1"/>
        </w:numPr>
        <w:spacing w:after="210" w:line="360" w:lineRule="auto"/>
      </w:pPr>
      <w:r>
        <w:rPr>
          <w:rFonts w:ascii="Georgia" w:hAnsi="Georgia" w:eastAsia="Georgia" w:cs="Georgia"/>
          <w:b/>
          <w:color w:val="000000"/>
          <w:sz w:val="21"/>
        </w:rPr>
        <w:t>Documentary vs. fiction and the question of evidence</w:t>
      </w:r>
      <w:r>
        <w:rPr>
          <w:rFonts w:ascii="Georgia" w:hAnsi="Georgia" w:eastAsia="Georgia" w:cs="Georgia"/>
          <w:color w:val="000000"/>
          <w:sz w:val="21"/>
        </w:rPr>
        <w:br w:type="textWrapping"/>
      </w:r>
      <w:r>
        <w:rPr>
          <w:rFonts w:ascii="Georgia" w:hAnsi="Georgia" w:eastAsia="Georgia" w:cs="Georgia"/>
          <w:i/>
          <w:color w:val="000000"/>
          <w:sz w:val="21"/>
        </w:rPr>
        <w:t>Cinema Fouad</w:t>
      </w:r>
      <w:r>
        <w:rPr>
          <w:rFonts w:ascii="Georgia" w:hAnsi="Georgia" w:eastAsia="Georgia" w:cs="Georgia"/>
          <w:color w:val="000000"/>
          <w:sz w:val="21"/>
        </w:rPr>
        <w:t xml:space="preserve"> and </w:t>
      </w:r>
      <w:r>
        <w:rPr>
          <w:rFonts w:ascii="Georgia" w:hAnsi="Georgia" w:eastAsia="Georgia" w:cs="Georgia"/>
          <w:i/>
          <w:color w:val="000000"/>
          <w:sz w:val="21"/>
        </w:rPr>
        <w:t>La Grande Safae</w:t>
      </w:r>
      <w:r>
        <w:rPr>
          <w:rFonts w:ascii="Georgia" w:hAnsi="Georgia" w:eastAsia="Georgia" w:cs="Georgia"/>
          <w:color w:val="000000"/>
          <w:sz w:val="21"/>
        </w:rPr>
        <w:t xml:space="preserve"> both use documentary frameworks to assert that trans lives in Lebanon and Morocco are real and historically situated, but they differ in how much they trust the image. Soueid’s portrait of Khaled leans toward observational intimacy, whereas Maroufi formally foregrounds the instability of memory and the impossibility of a singular truth about Safae. </w:t>
      </w:r>
      <w:r>
        <w:rPr>
          <w:rFonts w:ascii="Georgia" w:hAnsi="Georgia" w:eastAsia="Georgia" w:cs="Georgia"/>
          <w:i/>
          <w:color w:val="000000"/>
          <w:sz w:val="21"/>
        </w:rPr>
        <w:t>Adjustment</w:t>
      </w:r>
      <w:r>
        <w:rPr>
          <w:rFonts w:ascii="Georgia" w:hAnsi="Georgia" w:eastAsia="Georgia" w:cs="Georgia"/>
          <w:color w:val="000000"/>
          <w:sz w:val="21"/>
        </w:rPr>
        <w:t>, by contrast, uses fiction to stage a trans childhood that may be rare but is nonetheless plausible within Iranian society, leveraging the protective affordances of fiction in a context where explicit documentaries about trans kids would be nearly impossible.</w:t>
      </w:r>
      <w:bookmarkStart w:id="68" w:name="fnref4_3"/>
      <w:bookmarkEnd w:id="68"/>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bookmarkStart w:id="69" w:name="fnref6_5"/>
      <w:bookmarkEnd w:id="69"/>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70" w:name="fnref10_3"/>
      <w:bookmarkEnd w:id="70"/>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71" w:name="fnref13_4"/>
      <w:bookmarkEnd w:id="71"/>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bookmarkStart w:id="72" w:name="fnref15_3"/>
      <w:bookmarkEnd w:id="72"/>
      <w:r>
        <w:fldChar w:fldCharType="begin"/>
      </w:r>
      <w:r>
        <w:instrText xml:space="preserve"> HYPERLINK \l "fn15" \h </w:instrText>
      </w:r>
      <w:r>
        <w:fldChar w:fldCharType="separate"/>
      </w:r>
      <w:r>
        <w:rPr>
          <w:rFonts w:ascii="helvetica neue" w:hAnsi="helvetica neue" w:eastAsia="helvetica neue" w:cs="helvetica neue"/>
          <w:color w:val="000000"/>
          <w:sz w:val="21"/>
          <w:u w:val="single"/>
          <w:vertAlign w:val="superscript"/>
        </w:rPr>
        <w:t>[15]</w:t>
      </w:r>
      <w:r>
        <w:rPr>
          <w:rFonts w:ascii="helvetica neue" w:hAnsi="helvetica neue" w:eastAsia="helvetica neue" w:cs="helvetica neue"/>
          <w:color w:val="000000"/>
          <w:sz w:val="21"/>
          <w:u w:val="single"/>
          <w:vertAlign w:val="superscript"/>
        </w:rPr>
        <w:fldChar w:fldCharType="end"/>
      </w:r>
      <w:bookmarkStart w:id="73" w:name="fnref12_5"/>
      <w:bookmarkEnd w:id="73"/>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p>
    <w:p w14:paraId="435A4E73">
      <w:pPr>
        <w:numPr>
          <w:ilvl w:val="0"/>
          <w:numId w:val="1"/>
        </w:numPr>
        <w:spacing w:after="210" w:line="360" w:lineRule="auto"/>
      </w:pPr>
      <w:r>
        <w:rPr>
          <w:rFonts w:ascii="Georgia" w:hAnsi="Georgia" w:eastAsia="Georgia" w:cs="Georgia"/>
          <w:b/>
          <w:color w:val="000000"/>
          <w:sz w:val="21"/>
        </w:rPr>
        <w:t>Domestic labor, migration and class</w:t>
      </w:r>
      <w:r>
        <w:rPr>
          <w:rFonts w:ascii="Georgia" w:hAnsi="Georgia" w:eastAsia="Georgia" w:cs="Georgia"/>
          <w:color w:val="000000"/>
          <w:sz w:val="21"/>
        </w:rPr>
        <w:br w:type="textWrapping"/>
      </w:r>
      <w:r>
        <w:rPr>
          <w:rFonts w:ascii="Georgia" w:hAnsi="Georgia" w:eastAsia="Georgia" w:cs="Georgia"/>
          <w:color w:val="000000"/>
          <w:sz w:val="21"/>
        </w:rPr>
        <w:t xml:space="preserve">Both </w:t>
      </w:r>
      <w:r>
        <w:rPr>
          <w:rFonts w:ascii="Georgia" w:hAnsi="Georgia" w:eastAsia="Georgia" w:cs="Georgia"/>
          <w:i/>
          <w:color w:val="000000"/>
          <w:sz w:val="21"/>
        </w:rPr>
        <w:t>Cinema Fouad</w:t>
      </w:r>
      <w:r>
        <w:rPr>
          <w:rFonts w:ascii="Georgia" w:hAnsi="Georgia" w:eastAsia="Georgia" w:cs="Georgia"/>
          <w:color w:val="000000"/>
          <w:sz w:val="21"/>
        </w:rPr>
        <w:t xml:space="preserve"> and </w:t>
      </w:r>
      <w:r>
        <w:rPr>
          <w:rFonts w:ascii="Georgia" w:hAnsi="Georgia" w:eastAsia="Georgia" w:cs="Georgia"/>
          <w:i/>
          <w:color w:val="000000"/>
          <w:sz w:val="21"/>
        </w:rPr>
        <w:t>La Grande Safae</w:t>
      </w:r>
      <w:r>
        <w:rPr>
          <w:rFonts w:ascii="Georgia" w:hAnsi="Georgia" w:eastAsia="Georgia" w:cs="Georgia"/>
          <w:color w:val="000000"/>
          <w:sz w:val="21"/>
        </w:rPr>
        <w:t xml:space="preserve"> anchor their trans protagonists in worlds of low‑paid, feminized labor: Khaled as domestic worker and cabaret dancer in Beirut, Safae as a domestic servant in a Moroccan family. These films thus highlight how gender variance is lived through precarious work and intimately tied to class and migration—Khaled as a Syrian in Lebanon, Safae as a rural or lower‑class worker in an urban bourgeois household. </w:t>
      </w:r>
      <w:r>
        <w:rPr>
          <w:rFonts w:ascii="Georgia" w:hAnsi="Georgia" w:eastAsia="Georgia" w:cs="Georgia"/>
          <w:i/>
          <w:color w:val="000000"/>
          <w:sz w:val="21"/>
        </w:rPr>
        <w:t>Adjustment</w:t>
      </w:r>
      <w:r>
        <w:rPr>
          <w:rFonts w:ascii="Georgia" w:hAnsi="Georgia" w:eastAsia="Georgia" w:cs="Georgia"/>
          <w:color w:val="000000"/>
          <w:sz w:val="21"/>
        </w:rPr>
        <w:t xml:space="preserve"> extends this focus to a rural village child whose gender non‑conformity clashes with both family expectations and local economies of respectability.</w:t>
      </w:r>
      <w:bookmarkStart w:id="74" w:name="fnref10_4"/>
      <w:bookmarkEnd w:id="74"/>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75" w:name="fnref4_4"/>
      <w:bookmarkEnd w:id="75"/>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bookmarkStart w:id="76" w:name="fnref11_4"/>
      <w:bookmarkEnd w:id="76"/>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77" w:name="fnref13_5"/>
      <w:bookmarkEnd w:id="77"/>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bookmarkStart w:id="78" w:name="fnref14_4"/>
      <w:bookmarkEnd w:id="78"/>
      <w:r>
        <w:fldChar w:fldCharType="begin"/>
      </w:r>
      <w:r>
        <w:instrText xml:space="preserve"> HYPERLINK \l "fn14" \h </w:instrText>
      </w:r>
      <w:r>
        <w:fldChar w:fldCharType="separate"/>
      </w:r>
      <w:r>
        <w:rPr>
          <w:rFonts w:ascii="helvetica neue" w:hAnsi="helvetica neue" w:eastAsia="helvetica neue" w:cs="helvetica neue"/>
          <w:color w:val="000000"/>
          <w:sz w:val="21"/>
          <w:u w:val="single"/>
          <w:vertAlign w:val="superscript"/>
        </w:rPr>
        <w:t>[14]</w:t>
      </w:r>
      <w:r>
        <w:rPr>
          <w:rFonts w:ascii="helvetica neue" w:hAnsi="helvetica neue" w:eastAsia="helvetica neue" w:cs="helvetica neue"/>
          <w:color w:val="000000"/>
          <w:sz w:val="21"/>
          <w:u w:val="single"/>
          <w:vertAlign w:val="superscript"/>
        </w:rPr>
        <w:fldChar w:fldCharType="end"/>
      </w:r>
      <w:bookmarkStart w:id="79" w:name="fnref15_4"/>
      <w:bookmarkEnd w:id="79"/>
      <w:r>
        <w:fldChar w:fldCharType="begin"/>
      </w:r>
      <w:r>
        <w:instrText xml:space="preserve"> HYPERLINK \l "fn15" \h </w:instrText>
      </w:r>
      <w:r>
        <w:fldChar w:fldCharType="separate"/>
      </w:r>
      <w:r>
        <w:rPr>
          <w:rFonts w:ascii="helvetica neue" w:hAnsi="helvetica neue" w:eastAsia="helvetica neue" w:cs="helvetica neue"/>
          <w:color w:val="000000"/>
          <w:sz w:val="21"/>
          <w:u w:val="single"/>
          <w:vertAlign w:val="superscript"/>
        </w:rPr>
        <w:t>[15]</w:t>
      </w:r>
      <w:r>
        <w:rPr>
          <w:rFonts w:ascii="helvetica neue" w:hAnsi="helvetica neue" w:eastAsia="helvetica neue" w:cs="helvetica neue"/>
          <w:color w:val="000000"/>
          <w:sz w:val="21"/>
          <w:u w:val="single"/>
          <w:vertAlign w:val="superscript"/>
        </w:rPr>
        <w:fldChar w:fldCharType="end"/>
      </w:r>
      <w:bookmarkStart w:id="80" w:name="fnref12_6"/>
      <w:bookmarkEnd w:id="80"/>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p>
    <w:p w14:paraId="0BEC47E7">
      <w:pPr>
        <w:numPr>
          <w:ilvl w:val="0"/>
          <w:numId w:val="1"/>
        </w:numPr>
        <w:spacing w:after="210" w:line="360" w:lineRule="auto"/>
      </w:pPr>
      <w:r>
        <w:rPr>
          <w:rFonts w:ascii="Georgia" w:hAnsi="Georgia" w:eastAsia="Georgia" w:cs="Georgia"/>
          <w:b/>
          <w:color w:val="000000"/>
          <w:sz w:val="21"/>
        </w:rPr>
        <w:t>Codedness and subtlety under censorship</w:t>
      </w:r>
      <w:r>
        <w:rPr>
          <w:rFonts w:ascii="Georgia" w:hAnsi="Georgia" w:eastAsia="Georgia" w:cs="Georgia"/>
          <w:color w:val="000000"/>
          <w:sz w:val="21"/>
        </w:rPr>
        <w:br w:type="textWrapping"/>
      </w:r>
      <w:r>
        <w:rPr>
          <w:rFonts w:ascii="Georgia" w:hAnsi="Georgia" w:eastAsia="Georgia" w:cs="Georgia"/>
          <w:color w:val="000000"/>
          <w:sz w:val="21"/>
        </w:rPr>
        <w:t xml:space="preserve">As the analysis of Maghrebi films notes, many MENA works represent queerness “in restrained and secretive ways,” using skin, silence and metaphor as primary expressive tools rather than explicit sexual content. </w:t>
      </w:r>
      <w:r>
        <w:rPr>
          <w:rFonts w:ascii="Georgia" w:hAnsi="Georgia" w:eastAsia="Georgia" w:cs="Georgia"/>
          <w:i/>
          <w:color w:val="000000"/>
          <w:sz w:val="21"/>
        </w:rPr>
        <w:t>La Grande Safae</w:t>
      </w:r>
      <w:r>
        <w:rPr>
          <w:rFonts w:ascii="Georgia" w:hAnsi="Georgia" w:eastAsia="Georgia" w:cs="Georgia"/>
          <w:color w:val="000000"/>
          <w:sz w:val="21"/>
        </w:rPr>
        <w:t xml:space="preserve"> exemplifies this by hinging its narrative on what the family did not know or would not name, while </w:t>
      </w:r>
      <w:r>
        <w:rPr>
          <w:rFonts w:ascii="Georgia" w:hAnsi="Georgia" w:eastAsia="Georgia" w:cs="Georgia"/>
          <w:i/>
          <w:color w:val="000000"/>
          <w:sz w:val="21"/>
        </w:rPr>
        <w:t>Adjustment</w:t>
      </w:r>
      <w:r>
        <w:rPr>
          <w:rFonts w:ascii="Georgia" w:hAnsi="Georgia" w:eastAsia="Georgia" w:cs="Georgia"/>
          <w:color w:val="000000"/>
          <w:sz w:val="21"/>
        </w:rPr>
        <w:t xml:space="preserve"> never needs to use the word “transgender” for viewers—especially those versed in trans theory—to recognize Shahrokh’s experience. </w:t>
      </w:r>
      <w:r>
        <w:rPr>
          <w:rFonts w:ascii="Georgia" w:hAnsi="Georgia" w:eastAsia="Georgia" w:cs="Georgia"/>
          <w:i/>
          <w:color w:val="000000"/>
          <w:sz w:val="21"/>
        </w:rPr>
        <w:t>Cinema Fouad</w:t>
      </w:r>
      <w:r>
        <w:rPr>
          <w:rFonts w:ascii="Georgia" w:hAnsi="Georgia" w:eastAsia="Georgia" w:cs="Georgia"/>
          <w:color w:val="000000"/>
          <w:sz w:val="21"/>
        </w:rPr>
        <w:t xml:space="preserve"> is more explicit in naming Khaled’s wish for gender‑affirming surgery, but even there the emphasis is on affective textures of daily life rather than didactic explanation.</w:t>
      </w:r>
      <w:bookmarkStart w:id="81" w:name="fnref4_5"/>
      <w:bookmarkEnd w:id="81"/>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bookmarkStart w:id="82" w:name="fnref1_3"/>
      <w:bookmarkEnd w:id="82"/>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p>
    <w:p w14:paraId="627A41D4">
      <w:pPr>
        <w:numPr>
          <w:ilvl w:val="0"/>
          <w:numId w:val="1"/>
        </w:numPr>
        <w:spacing w:after="210" w:line="360" w:lineRule="auto"/>
      </w:pPr>
      <w:r>
        <w:rPr>
          <w:rFonts w:ascii="Georgia" w:hAnsi="Georgia" w:eastAsia="Georgia" w:cs="Georgia"/>
          <w:b/>
          <w:color w:val="000000"/>
          <w:sz w:val="21"/>
        </w:rPr>
        <w:t>Spectatorship and address</w:t>
      </w:r>
      <w:r>
        <w:rPr>
          <w:rFonts w:ascii="Georgia" w:hAnsi="Georgia" w:eastAsia="Georgia" w:cs="Georgia"/>
          <w:color w:val="000000"/>
          <w:sz w:val="21"/>
        </w:rPr>
        <w:br w:type="textWrapping"/>
      </w:r>
      <w:r>
        <w:rPr>
          <w:rFonts w:ascii="Georgia" w:hAnsi="Georgia" w:eastAsia="Georgia" w:cs="Georgia"/>
          <w:color w:val="000000"/>
          <w:sz w:val="21"/>
        </w:rPr>
        <w:t>These films speak simultaneously to local and global audiences. Their circulation in international queer festivals and on platforms curated by organizations like the Arab Film Institute means they participate in a transnational “trans cinema” discourse that expects certain legible tropes, while their formal choices—language, references, religious and familial dynamics—remain deeply rooted in MENA contexts. This dual address raises questions central to postcolonial film theory: to what extent are these films shaped by Western expectations of “queer Arab suffering” versus local desires for self‑representation?</w:t>
      </w:r>
      <w:bookmarkStart w:id="83" w:name="fnref3_3"/>
      <w:bookmarkEnd w:id="83"/>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84" w:name="fnref9_1"/>
      <w:bookmarkEnd w:id="84"/>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bookmarkStart w:id="85" w:name="fnref13_6"/>
      <w:bookmarkEnd w:id="85"/>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p>
    <w:p w14:paraId="5B50BEB5">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6AD065E5">
      <w:pPr>
        <w:spacing w:before="315" w:after="105" w:line="360" w:lineRule="auto"/>
        <w:ind w:left="-30"/>
        <w:jc w:val="left"/>
      </w:pPr>
      <w:bookmarkStart w:id="86" w:name="conclusion_toward_a_trans_cinema_e1d628"/>
      <w:r>
        <w:rPr>
          <w:rFonts w:ascii="Georgia" w:hAnsi="Georgia" w:eastAsia="Georgia" w:cs="Georgia"/>
          <w:b/>
          <w:color w:val="000000"/>
          <w:sz w:val="24"/>
        </w:rPr>
        <w:t>Conclusion: Toward a trans cinema of the MENA region</w:t>
      </w:r>
      <w:bookmarkEnd w:id="86"/>
    </w:p>
    <w:p w14:paraId="472FF29B">
      <w:pPr>
        <w:spacing w:after="210" w:line="360" w:lineRule="auto"/>
      </w:pPr>
      <w:r>
        <w:rPr>
          <w:rFonts w:ascii="Georgia" w:hAnsi="Georgia" w:eastAsia="Georgia" w:cs="Georgia"/>
          <w:color w:val="000000"/>
        </w:rPr>
        <w:t xml:space="preserve">MENA films with transgender themes operate within a dense web of constraints—legal, religious, familial and cinematic—yet they also carve out spaces of trans self‑representation, memory work and speculative possibility. </w:t>
      </w:r>
      <w:r>
        <w:rPr>
          <w:rFonts w:ascii="Georgia" w:hAnsi="Georgia" w:eastAsia="Georgia" w:cs="Georgia"/>
          <w:i/>
          <w:color w:val="000000"/>
        </w:rPr>
        <w:t>Cinema Fouad</w:t>
      </w:r>
      <w:r>
        <w:rPr>
          <w:rFonts w:ascii="Georgia" w:hAnsi="Georgia" w:eastAsia="Georgia" w:cs="Georgia"/>
          <w:color w:val="000000"/>
        </w:rPr>
        <w:t xml:space="preserve"> offers an early and remarkably direct portrait of a Syrian trans woman negotiating life, love and surgery in 1990s Beirut, foregrounding the politics of voice and domestic intimacy. </w:t>
      </w:r>
      <w:r>
        <w:rPr>
          <w:rFonts w:ascii="Georgia" w:hAnsi="Georgia" w:eastAsia="Georgia" w:cs="Georgia"/>
          <w:i/>
          <w:color w:val="000000"/>
        </w:rPr>
        <w:t>La Grande Safae</w:t>
      </w:r>
      <w:r>
        <w:rPr>
          <w:rFonts w:ascii="Georgia" w:hAnsi="Georgia" w:eastAsia="Georgia" w:cs="Georgia"/>
          <w:color w:val="000000"/>
        </w:rPr>
        <w:t xml:space="preserve"> turns to experimental reenactment to stage the archival absences surrounding a gender‑variant domestic worker in Morocco, using film form itself to question how trans lives are remembered or forgotten. </w:t>
      </w:r>
      <w:r>
        <w:rPr>
          <w:rFonts w:ascii="Georgia" w:hAnsi="Georgia" w:eastAsia="Georgia" w:cs="Georgia"/>
          <w:i/>
          <w:color w:val="000000"/>
        </w:rPr>
        <w:t>Adjustment</w:t>
      </w:r>
      <w:r>
        <w:rPr>
          <w:rFonts w:ascii="Georgia" w:hAnsi="Georgia" w:eastAsia="Georgia" w:cs="Georgia"/>
          <w:color w:val="000000"/>
        </w:rPr>
        <w:t xml:space="preserve"> brings trans childhood into view in rural Iran, “transing” the coming‑of‑age narrative and inviting viewers to identify with a child’s insistence on self‑definition against communal norms.</w:t>
      </w:r>
      <w:bookmarkStart w:id="87" w:name="fnref6_6"/>
      <w:bookmarkEnd w:id="87"/>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bookmarkStart w:id="88" w:name="fnref11_5"/>
      <w:bookmarkEnd w:id="88"/>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89" w:name="fnref13_7"/>
      <w:bookmarkEnd w:id="89"/>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bookmarkStart w:id="90" w:name="fnref14_5"/>
      <w:bookmarkEnd w:id="90"/>
      <w:r>
        <w:fldChar w:fldCharType="begin"/>
      </w:r>
      <w:r>
        <w:instrText xml:space="preserve"> HYPERLINK \l "fn14" \h </w:instrText>
      </w:r>
      <w:r>
        <w:fldChar w:fldCharType="separate"/>
      </w:r>
      <w:r>
        <w:rPr>
          <w:rFonts w:ascii="helvetica neue" w:hAnsi="helvetica neue" w:eastAsia="helvetica neue" w:cs="helvetica neue"/>
          <w:color w:val="000000"/>
          <w:u w:val="single"/>
          <w:vertAlign w:val="superscript"/>
        </w:rPr>
        <w:t>[14]</w:t>
      </w:r>
      <w:r>
        <w:rPr>
          <w:rFonts w:ascii="helvetica neue" w:hAnsi="helvetica neue" w:eastAsia="helvetica neue" w:cs="helvetica neue"/>
          <w:color w:val="000000"/>
          <w:u w:val="single"/>
          <w:vertAlign w:val="superscript"/>
        </w:rPr>
        <w:fldChar w:fldCharType="end"/>
      </w:r>
      <w:bookmarkStart w:id="91" w:name="fnref15_5"/>
      <w:bookmarkEnd w:id="91"/>
      <w:r>
        <w:fldChar w:fldCharType="begin"/>
      </w:r>
      <w:r>
        <w:instrText xml:space="preserve"> HYPERLINK \l "fn15" \h </w:instrText>
      </w:r>
      <w:r>
        <w:fldChar w:fldCharType="separate"/>
      </w:r>
      <w:r>
        <w:rPr>
          <w:rFonts w:ascii="helvetica neue" w:hAnsi="helvetica neue" w:eastAsia="helvetica neue" w:cs="helvetica neue"/>
          <w:color w:val="000000"/>
          <w:u w:val="single"/>
          <w:vertAlign w:val="superscript"/>
        </w:rPr>
        <w:t>[15]</w:t>
      </w:r>
      <w:r>
        <w:rPr>
          <w:rFonts w:ascii="helvetica neue" w:hAnsi="helvetica neue" w:eastAsia="helvetica neue" w:cs="helvetica neue"/>
          <w:color w:val="000000"/>
          <w:u w:val="single"/>
          <w:vertAlign w:val="superscript"/>
        </w:rPr>
        <w:fldChar w:fldCharType="end"/>
      </w:r>
      <w:bookmarkStart w:id="92" w:name="fnref10_5"/>
      <w:bookmarkEnd w:id="92"/>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bookmarkStart w:id="93" w:name="fnref4_6"/>
      <w:bookmarkEnd w:id="93"/>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94" w:name="fnref12_7"/>
      <w:bookmarkEnd w:id="94"/>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p>
    <w:p w14:paraId="5921171B">
      <w:pPr>
        <w:spacing w:after="210" w:line="360" w:lineRule="auto"/>
      </w:pPr>
      <w:r>
        <w:rPr>
          <w:rFonts w:ascii="Georgia" w:hAnsi="Georgia" w:eastAsia="Georgia" w:cs="Georgia"/>
          <w:color w:val="000000"/>
        </w:rPr>
        <w:t>Across these works, trans theory helps us see how embodiment, recognition, and survival are negotiated under postcolonial, authoritarian and patriarchal conditions, while film theory illuminates the stakes of documentary realism, reenactment, and spectatorship in representing vulnerable subjects. Together, they suggest that a future “trans cinema” of the MENA region will likely continue to experiment with hybrid forms, intimate scales, and coded aesthetics, even as new generations of filmmakers push against censorship to claim more explicit space for trans narratives.</w:t>
      </w:r>
    </w:p>
    <w:p w14:paraId="29B50C30">
      <w:pPr>
        <w:spacing w:after="210" w:line="360" w:lineRule="auto"/>
      </w:pPr>
      <w:r>
        <w:rPr>
          <w:rFonts w:ascii="Georgia" w:hAnsi="Georgia" w:eastAsia="Georgia" w:cs="Georgia"/>
          <w:color w:val="000000"/>
        </w:rPr>
        <w:t xml:space="preserve">For an academic paper, these case studies could be complemented by broader surveys (such as those solicited for </w:t>
      </w:r>
      <w:r>
        <w:rPr>
          <w:rFonts w:ascii="Georgia" w:hAnsi="Georgia" w:eastAsia="Georgia" w:cs="Georgia"/>
          <w:i/>
          <w:color w:val="000000"/>
        </w:rPr>
        <w:t>The Handbook of Trans Cinema</w:t>
      </w:r>
      <w:r>
        <w:rPr>
          <w:rFonts w:ascii="Georgia" w:hAnsi="Georgia" w:eastAsia="Georgia" w:cs="Georgia"/>
          <w:color w:val="000000"/>
        </w:rPr>
        <w:t xml:space="preserve">), analyses of additional works like </w:t>
      </w:r>
      <w:r>
        <w:rPr>
          <w:rFonts w:ascii="Georgia" w:hAnsi="Georgia" w:eastAsia="Georgia" w:cs="Georgia"/>
          <w:i/>
          <w:color w:val="000000"/>
        </w:rPr>
        <w:t>Cinema Fouad</w:t>
      </w:r>
      <w:r>
        <w:rPr>
          <w:rFonts w:ascii="Georgia" w:hAnsi="Georgia" w:eastAsia="Georgia" w:cs="Georgia"/>
          <w:color w:val="000000"/>
        </w:rPr>
        <w:t>’s contemporary Lebanese counterparts or North African documentaries about trans activists, and deeper engagement with Arabic‑, Farsi‑ and French‑language criticism emerging from within the region itself.</w:t>
      </w:r>
      <w:bookmarkStart w:id="95" w:name="fnref8_1"/>
      <w:bookmarkEnd w:id="95"/>
      <w:r>
        <w:fldChar w:fldCharType="begin"/>
      </w:r>
      <w:r>
        <w:instrText xml:space="preserve"> HYPERLINK \l "fn8" \h </w:instrText>
      </w:r>
      <w:r>
        <w:fldChar w:fldCharType="separate"/>
      </w:r>
      <w:r>
        <w:rPr>
          <w:rFonts w:ascii="helvetica neue" w:hAnsi="helvetica neue" w:eastAsia="helvetica neue" w:cs="helvetica neue"/>
          <w:color w:val="000000"/>
          <w:u w:val="single"/>
          <w:vertAlign w:val="superscript"/>
        </w:rPr>
        <w:t>[8]</w:t>
      </w:r>
      <w:r>
        <w:rPr>
          <w:rFonts w:ascii="helvetica neue" w:hAnsi="helvetica neue" w:eastAsia="helvetica neue" w:cs="helvetica neue"/>
          <w:color w:val="000000"/>
          <w:u w:val="single"/>
          <w:vertAlign w:val="superscript"/>
        </w:rPr>
        <w:fldChar w:fldCharType="end"/>
      </w:r>
      <w:bookmarkStart w:id="96" w:name="fnref7_1"/>
      <w:bookmarkEnd w:id="96"/>
      <w:r>
        <w:fldChar w:fldCharType="begin"/>
      </w:r>
      <w:r>
        <w:instrText xml:space="preserve"> HYPERLINK \l "fn7" \h </w:instrText>
      </w:r>
      <w:r>
        <w:fldChar w:fldCharType="separate"/>
      </w:r>
      <w:r>
        <w:rPr>
          <w:rFonts w:ascii="helvetica neue" w:hAnsi="helvetica neue" w:eastAsia="helvetica neue" w:cs="helvetica neue"/>
          <w:color w:val="000000"/>
          <w:u w:val="single"/>
          <w:vertAlign w:val="superscript"/>
        </w:rPr>
        <w:t>[7]</w:t>
      </w:r>
      <w:r>
        <w:rPr>
          <w:rFonts w:ascii="helvetica neue" w:hAnsi="helvetica neue" w:eastAsia="helvetica neue" w:cs="helvetica neue"/>
          <w:color w:val="000000"/>
          <w:u w:val="single"/>
          <w:vertAlign w:val="superscript"/>
        </w:rPr>
        <w:fldChar w:fldCharType="end"/>
      </w:r>
      <w:bookmarkStart w:id="97" w:name="fnref3_4"/>
      <w:bookmarkEnd w:id="97"/>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r>
        <w:rPr>
          <w:rFonts w:ascii="Georgia" w:hAnsi="Georgia" w:eastAsia="Georgia" w:cs="Georgia"/>
          <w:color w:val="000000"/>
        </w:rPr>
        <w:br w:type="textWrapping"/>
      </w:r>
    </w:p>
    <w:p w14:paraId="667E2711">
      <w:pPr>
        <w:spacing w:line="360" w:lineRule="auto"/>
      </w:pPr>
      <w:r>
        <w:rPr>
          <w:rFonts w:ascii="Georgia" w:hAnsi="Georgia" w:eastAsia="Georgia" w:cs="Georgia"/>
          <w:color w:val="000000"/>
        </w:rPr>
        <w:t>⁂</w:t>
      </w:r>
    </w:p>
    <w:p w14:paraId="7B6FA292">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434FCAEA">
      <w:pPr>
        <w:numPr>
          <w:ilvl w:val="0"/>
          <w:numId w:val="2"/>
        </w:numPr>
        <w:spacing w:after="210" w:line="360" w:lineRule="auto"/>
      </w:pPr>
      <w:bookmarkStart w:id="98" w:name="fn1"/>
      <w:bookmarkEnd w:id="98"/>
      <w:r>
        <w:fldChar w:fldCharType="begin"/>
      </w:r>
      <w:r>
        <w:instrText xml:space="preserve"> HYPERLINK "https://africanarguments.org/2021/01/silence-and-skin-depicting-queerness-in-maghrebian-films/" \h </w:instrText>
      </w:r>
      <w:r>
        <w:fldChar w:fldCharType="separate"/>
      </w:r>
      <w:r>
        <w:rPr>
          <w:rFonts w:ascii="helvetica neue" w:hAnsi="helvetica neue" w:eastAsia="helvetica neue" w:cs="helvetica neue"/>
          <w:color w:val="000000"/>
          <w:sz w:val="18"/>
          <w:u w:val="single"/>
        </w:rPr>
        <w:t>https://africanarguments.org/2021/01/silence-and-skin-depicting-queerness-in-maghrebian-films/</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7D337BC0">
      <w:pPr>
        <w:numPr>
          <w:ilvl w:val="0"/>
          <w:numId w:val="2"/>
        </w:numPr>
        <w:spacing w:after="210" w:line="360" w:lineRule="auto"/>
      </w:pPr>
      <w:bookmarkStart w:id="99" w:name="fn2"/>
      <w:bookmarkEnd w:id="99"/>
      <w:r>
        <w:fldChar w:fldCharType="begin"/>
      </w:r>
      <w:r>
        <w:instrText xml:space="preserve"> HYPERLINK "https://cora.ucc.ie/server/api/core/bitstreams/ba003553-b32b-4f59-9546-a21aac2b2fa5/content" \h </w:instrText>
      </w:r>
      <w:r>
        <w:fldChar w:fldCharType="separate"/>
      </w:r>
      <w:r>
        <w:rPr>
          <w:rFonts w:ascii="helvetica neue" w:hAnsi="helvetica neue" w:eastAsia="helvetica neue" w:cs="helvetica neue"/>
          <w:color w:val="000000"/>
          <w:sz w:val="18"/>
          <w:u w:val="single"/>
        </w:rPr>
        <w:t>https://cora.ucc.ie/server/api/core/bitstreams/ba003553-b32b-4f59-9546-a21aac2b2fa5/content</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734D6E73">
      <w:pPr>
        <w:numPr>
          <w:ilvl w:val="0"/>
          <w:numId w:val="2"/>
        </w:numPr>
        <w:spacing w:after="210" w:line="360" w:lineRule="auto"/>
      </w:pPr>
      <w:bookmarkStart w:id="100" w:name="fn3"/>
      <w:bookmarkEnd w:id="100"/>
      <w:r>
        <w:fldChar w:fldCharType="begin"/>
      </w:r>
      <w:r>
        <w:instrText xml:space="preserve"> HYPERLINK "https://arabfilminstitute.org/queer-arab-films-to-watch-during-pride-month/" \h </w:instrText>
      </w:r>
      <w:r>
        <w:fldChar w:fldCharType="separate"/>
      </w:r>
      <w:r>
        <w:rPr>
          <w:rFonts w:ascii="helvetica neue" w:hAnsi="helvetica neue" w:eastAsia="helvetica neue" w:cs="helvetica neue"/>
          <w:color w:val="000000"/>
          <w:sz w:val="18"/>
          <w:u w:val="single"/>
        </w:rPr>
        <w:t>https://arabfilminstitute.org/queer-arab-films-to-watch-during-pride-month/</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7EDF3B8B">
      <w:pPr>
        <w:numPr>
          <w:ilvl w:val="0"/>
          <w:numId w:val="2"/>
        </w:numPr>
        <w:spacing w:after="210" w:line="360" w:lineRule="auto"/>
      </w:pPr>
      <w:bookmarkStart w:id="101" w:name="fn4"/>
      <w:bookmarkEnd w:id="101"/>
      <w:r>
        <w:fldChar w:fldCharType="begin"/>
      </w:r>
      <w:r>
        <w:instrText xml:space="preserve"> HYPERLINK "https://film.twn.org/products/cinema-fouad" \h </w:instrText>
      </w:r>
      <w:r>
        <w:fldChar w:fldCharType="separate"/>
      </w:r>
      <w:r>
        <w:rPr>
          <w:rFonts w:ascii="helvetica neue" w:hAnsi="helvetica neue" w:eastAsia="helvetica neue" w:cs="helvetica neue"/>
          <w:color w:val="000000"/>
          <w:sz w:val="18"/>
          <w:u w:val="single"/>
        </w:rPr>
        <w:t>https://film.twn.org/products/cinema-fouad</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3D5D1C99">
      <w:pPr>
        <w:numPr>
          <w:ilvl w:val="0"/>
          <w:numId w:val="2"/>
        </w:numPr>
        <w:spacing w:after="210" w:line="360" w:lineRule="auto"/>
      </w:pPr>
      <w:bookmarkStart w:id="102" w:name="fn5"/>
      <w:bookmarkEnd w:id="102"/>
      <w:r>
        <w:fldChar w:fldCharType="begin"/>
      </w:r>
      <w:r>
        <w:instrText xml:space="preserve"> HYPERLINK "https://letterboxd.com/film/adjustment-2022/" \h </w:instrText>
      </w:r>
      <w:r>
        <w:fldChar w:fldCharType="separate"/>
      </w:r>
      <w:r>
        <w:rPr>
          <w:rFonts w:ascii="helvetica neue" w:hAnsi="helvetica neue" w:eastAsia="helvetica neue" w:cs="helvetica neue"/>
          <w:color w:val="000000"/>
          <w:sz w:val="18"/>
          <w:u w:val="single"/>
        </w:rPr>
        <w:t>https://letterboxd.com/film/adjustment-2022/</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0E3580E">
      <w:pPr>
        <w:numPr>
          <w:ilvl w:val="0"/>
          <w:numId w:val="2"/>
        </w:numPr>
        <w:spacing w:after="210" w:line="360" w:lineRule="auto"/>
      </w:pPr>
      <w:bookmarkStart w:id="103" w:name="fn6"/>
      <w:bookmarkEnd w:id="103"/>
      <w:r>
        <w:fldChar w:fldCharType="begin"/>
      </w:r>
      <w:r>
        <w:instrText xml:space="preserve"> HYPERLINK "https://www.shortfilmwire.com/en/embedded/film/200116007/Adjustment" \h </w:instrText>
      </w:r>
      <w:r>
        <w:fldChar w:fldCharType="separate"/>
      </w:r>
      <w:r>
        <w:rPr>
          <w:rFonts w:ascii="helvetica neue" w:hAnsi="helvetica neue" w:eastAsia="helvetica neue" w:cs="helvetica neue"/>
          <w:color w:val="000000"/>
          <w:sz w:val="18"/>
          <w:u w:val="single"/>
        </w:rPr>
        <w:t>https://www.shortfilmwire.com/en/embedded/film/200116007/Adjustment</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3FDBB510">
      <w:pPr>
        <w:numPr>
          <w:ilvl w:val="0"/>
          <w:numId w:val="2"/>
        </w:numPr>
        <w:spacing w:after="210" w:line="360" w:lineRule="auto"/>
      </w:pPr>
      <w:bookmarkStart w:id="104" w:name="fn7"/>
      <w:bookmarkEnd w:id="104"/>
      <w:r>
        <w:fldChar w:fldCharType="begin"/>
      </w:r>
      <w:r>
        <w:instrText xml:space="preserve"> HYPERLINK "https://call-for-papers.sas.upenn.edu/cfp/2017/12/16/middle-eastern-and-north-african-films-with-transgender-themes" \h </w:instrText>
      </w:r>
      <w:r>
        <w:fldChar w:fldCharType="separate"/>
      </w:r>
      <w:r>
        <w:rPr>
          <w:rFonts w:ascii="helvetica neue" w:hAnsi="helvetica neue" w:eastAsia="helvetica neue" w:cs="helvetica neue"/>
          <w:color w:val="000000"/>
          <w:sz w:val="18"/>
          <w:u w:val="single"/>
        </w:rPr>
        <w:t>https://call-for-papers.sas.upenn.edu/cfp/2017/12/16/middle-eastern-and-north-african-films-with-transgender-themes</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D8145A7">
      <w:pPr>
        <w:numPr>
          <w:ilvl w:val="0"/>
          <w:numId w:val="2"/>
        </w:numPr>
        <w:spacing w:after="210" w:line="360" w:lineRule="auto"/>
      </w:pPr>
      <w:bookmarkStart w:id="105" w:name="fn8"/>
      <w:bookmarkEnd w:id="105"/>
      <w:r>
        <w:fldChar w:fldCharType="begin"/>
      </w:r>
      <w:r>
        <w:instrText xml:space="preserve"> HYPERLINK "http://www.wikicfp.com/cfp/servlet/event.showcfp?eventid=187726&amp;copyownerid=73684" \h </w:instrText>
      </w:r>
      <w:r>
        <w:fldChar w:fldCharType="separate"/>
      </w:r>
      <w:r>
        <w:rPr>
          <w:rFonts w:ascii="helvetica neue" w:hAnsi="helvetica neue" w:eastAsia="helvetica neue" w:cs="helvetica neue"/>
          <w:color w:val="000000"/>
          <w:sz w:val="18"/>
          <w:u w:val="single"/>
        </w:rPr>
        <w:t>http://www.wikicfp.com/cfp/servlet/event.showcfp?eventid=187726&amp;copyownerid=73684</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4DD81090">
      <w:pPr>
        <w:numPr>
          <w:ilvl w:val="0"/>
          <w:numId w:val="2"/>
        </w:numPr>
        <w:spacing w:after="210" w:line="360" w:lineRule="auto"/>
      </w:pPr>
      <w:bookmarkStart w:id="106" w:name="fn9"/>
      <w:bookmarkEnd w:id="106"/>
      <w:r>
        <w:fldChar w:fldCharType="begin"/>
      </w:r>
      <w:r>
        <w:instrText xml:space="preserve"> HYPERLINK "https://brattlefilm.org/special_events/stories-from-middle-east-and-north-africa/" \h </w:instrText>
      </w:r>
      <w:r>
        <w:fldChar w:fldCharType="separate"/>
      </w:r>
      <w:r>
        <w:rPr>
          <w:rFonts w:ascii="helvetica neue" w:hAnsi="helvetica neue" w:eastAsia="helvetica neue" w:cs="helvetica neue"/>
          <w:color w:val="000000"/>
          <w:sz w:val="18"/>
          <w:u w:val="single"/>
        </w:rPr>
        <w:t>https://brattlefilm.org/special_events/stories-from-middle-east-and-north-africa/</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1786E5D6">
      <w:pPr>
        <w:numPr>
          <w:ilvl w:val="0"/>
          <w:numId w:val="2"/>
        </w:numPr>
        <w:spacing w:after="210" w:line="360" w:lineRule="auto"/>
      </w:pPr>
      <w:bookmarkStart w:id="107" w:name="fn10"/>
      <w:bookmarkEnd w:id="107"/>
      <w:r>
        <w:fldChar w:fldCharType="begin"/>
      </w:r>
      <w:r>
        <w:instrText xml:space="preserve"> HYPERLINK "https://dekkoo.blog/2023/08/22/short-film-spotlight-adjustment/" \h </w:instrText>
      </w:r>
      <w:r>
        <w:fldChar w:fldCharType="separate"/>
      </w:r>
      <w:r>
        <w:rPr>
          <w:rFonts w:ascii="helvetica neue" w:hAnsi="helvetica neue" w:eastAsia="helvetica neue" w:cs="helvetica neue"/>
          <w:color w:val="000000"/>
          <w:sz w:val="18"/>
          <w:u w:val="single"/>
        </w:rPr>
        <w:t>https://dekkoo.blog/2023/08/22/short-film-spotlight-adjustment/</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A7B1FF6">
      <w:pPr>
        <w:numPr>
          <w:ilvl w:val="0"/>
          <w:numId w:val="2"/>
        </w:numPr>
        <w:spacing w:after="210" w:line="360" w:lineRule="auto"/>
      </w:pPr>
      <w:bookmarkStart w:id="108" w:name="fn11"/>
      <w:bookmarkEnd w:id="108"/>
      <w:r>
        <w:fldChar w:fldCharType="begin"/>
      </w:r>
      <w:r>
        <w:instrText xml:space="preserve"> HYPERLINK "https://mariespiller.com/la-grande-safae/" \h </w:instrText>
      </w:r>
      <w:r>
        <w:fldChar w:fldCharType="separate"/>
      </w:r>
      <w:r>
        <w:rPr>
          <w:rFonts w:ascii="helvetica neue" w:hAnsi="helvetica neue" w:eastAsia="helvetica neue" w:cs="helvetica neue"/>
          <w:color w:val="000000"/>
          <w:sz w:val="18"/>
          <w:u w:val="single"/>
        </w:rPr>
        <w:t>https://mariespiller.com/la-grande-safae/</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370C0A33">
      <w:pPr>
        <w:numPr>
          <w:ilvl w:val="0"/>
          <w:numId w:val="2"/>
        </w:numPr>
        <w:spacing w:after="210" w:line="360" w:lineRule="auto"/>
      </w:pPr>
      <w:bookmarkStart w:id="109" w:name="fn12"/>
      <w:bookmarkEnd w:id="109"/>
      <w:r>
        <w:fldChar w:fldCharType="begin"/>
      </w:r>
      <w:r>
        <w:instrText xml:space="preserve"> HYPERLINK "https://www.lefresnoy.net/en/exposition/53/oeuvre/16/" \h </w:instrText>
      </w:r>
      <w:r>
        <w:fldChar w:fldCharType="separate"/>
      </w:r>
      <w:r>
        <w:rPr>
          <w:rFonts w:ascii="helvetica neue" w:hAnsi="helvetica neue" w:eastAsia="helvetica neue" w:cs="helvetica neue"/>
          <w:color w:val="000000"/>
          <w:sz w:val="18"/>
          <w:u w:val="single"/>
        </w:rPr>
        <w:t>https://www.lefresnoy.net/en/exposition/53/oeuvre/16/</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78855E38">
      <w:pPr>
        <w:numPr>
          <w:ilvl w:val="0"/>
          <w:numId w:val="2"/>
        </w:numPr>
        <w:spacing w:after="210" w:line="360" w:lineRule="auto"/>
      </w:pPr>
      <w:bookmarkStart w:id="110" w:name="fn13"/>
      <w:bookmarkEnd w:id="110"/>
      <w:r>
        <w:fldChar w:fldCharType="begin"/>
      </w:r>
      <w:r>
        <w:instrText xml:space="preserve"> HYPERLINK "https://www.akbanksanat.com/en/short-movie/ayarlanma" \h </w:instrText>
      </w:r>
      <w:r>
        <w:fldChar w:fldCharType="separate"/>
      </w:r>
      <w:r>
        <w:rPr>
          <w:rFonts w:ascii="helvetica neue" w:hAnsi="helvetica neue" w:eastAsia="helvetica neue" w:cs="helvetica neue"/>
          <w:color w:val="000000"/>
          <w:sz w:val="18"/>
          <w:u w:val="single"/>
        </w:rPr>
        <w:t>https://www.akbanksanat.com/en/short-movie/ayarlanma</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1A3D0973">
      <w:pPr>
        <w:numPr>
          <w:ilvl w:val="0"/>
          <w:numId w:val="2"/>
        </w:numPr>
        <w:spacing w:after="210" w:line="360" w:lineRule="auto"/>
      </w:pPr>
      <w:bookmarkStart w:id="111" w:name="fn14"/>
      <w:bookmarkEnd w:id="111"/>
      <w:r>
        <w:fldChar w:fldCharType="begin"/>
      </w:r>
      <w:r>
        <w:instrText xml:space="preserve"> HYPERLINK "https://www.randamaroufi.com/works/la-grande-safae/" \h </w:instrText>
      </w:r>
      <w:r>
        <w:fldChar w:fldCharType="separate"/>
      </w:r>
      <w:r>
        <w:rPr>
          <w:rFonts w:ascii="helvetica neue" w:hAnsi="helvetica neue" w:eastAsia="helvetica neue" w:cs="helvetica neue"/>
          <w:color w:val="000000"/>
          <w:sz w:val="18"/>
          <w:u w:val="single"/>
        </w:rPr>
        <w:t>https://www.randamaroufi.com/works/la-grande-safae/</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6FC1FA0">
      <w:pPr>
        <w:numPr>
          <w:ilvl w:val="0"/>
          <w:numId w:val="2"/>
        </w:numPr>
        <w:spacing w:after="210" w:line="360" w:lineRule="auto"/>
      </w:pPr>
      <w:bookmarkStart w:id="112" w:name="fn15"/>
      <w:bookmarkEnd w:id="112"/>
      <w:r>
        <w:fldChar w:fldCharType="begin"/>
      </w:r>
      <w:r>
        <w:instrText xml:space="preserve"> HYPERLINK "https://sinematranstopia.com/en/yearnings-and-unfulfilled-dreams-from-the-personal-to-the-political/cinema-fouad-soha" \h </w:instrText>
      </w:r>
      <w:r>
        <w:fldChar w:fldCharType="separate"/>
      </w:r>
      <w:r>
        <w:rPr>
          <w:rFonts w:ascii="helvetica neue" w:hAnsi="helvetica neue" w:eastAsia="helvetica neue" w:cs="helvetica neue"/>
          <w:color w:val="000000"/>
          <w:sz w:val="18"/>
          <w:u w:val="single"/>
        </w:rPr>
        <w:t>https://sinematranstopia.com/en/yearnings-and-unfulfilled-dreams-from-the-personal-to-the-political/cinema-fouad-soha</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113C758">
      <w:pPr>
        <w:numPr>
          <w:ilvl w:val="0"/>
          <w:numId w:val="2"/>
        </w:numPr>
        <w:spacing w:after="210" w:line="360" w:lineRule="auto"/>
      </w:pPr>
      <w:bookmarkStart w:id="113" w:name="fn16"/>
      <w:bookmarkEnd w:id="113"/>
      <w:r>
        <w:fldChar w:fldCharType="begin"/>
      </w:r>
      <w:r>
        <w:instrText xml:space="preserve"> HYPERLINK "https://letterboxd.com/film/cinema-fouad/" \h </w:instrText>
      </w:r>
      <w:r>
        <w:fldChar w:fldCharType="separate"/>
      </w:r>
      <w:r>
        <w:rPr>
          <w:rFonts w:ascii="helvetica neue" w:hAnsi="helvetica neue" w:eastAsia="helvetica neue" w:cs="helvetica neue"/>
          <w:color w:val="000000"/>
          <w:sz w:val="18"/>
          <w:u w:val="single"/>
        </w:rPr>
        <w:t>https://letterboxd.com/film/cinema-fouad/</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678591F">
      <w:pPr>
        <w:numPr>
          <w:ilvl w:val="0"/>
          <w:numId w:val="2"/>
        </w:numPr>
        <w:spacing w:after="210" w:line="360" w:lineRule="auto"/>
      </w:pPr>
      <w:bookmarkStart w:id="114" w:name="fn17"/>
      <w:bookmarkEnd w:id="114"/>
      <w:r>
        <w:fldChar w:fldCharType="begin"/>
      </w:r>
      <w:r>
        <w:instrText xml:space="preserve"> HYPERLINK "https://pickle.plus/us/streaming/cinema-fouad" \h </w:instrText>
      </w:r>
      <w:r>
        <w:fldChar w:fldCharType="separate"/>
      </w:r>
      <w:r>
        <w:rPr>
          <w:rFonts w:ascii="helvetica neue" w:hAnsi="helvetica neue" w:eastAsia="helvetica neue" w:cs="helvetica neue"/>
          <w:color w:val="000000"/>
          <w:sz w:val="18"/>
          <w:u w:val="single"/>
        </w:rPr>
        <w:t>https://pickle.plus/us/streaming/cinema-fouad</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97425D7">
      <w:pPr>
        <w:numPr>
          <w:ilvl w:val="0"/>
          <w:numId w:val="2"/>
        </w:numPr>
        <w:spacing w:after="210" w:line="360" w:lineRule="auto"/>
      </w:pPr>
      <w:bookmarkStart w:id="115" w:name="fn18"/>
      <w:bookmarkEnd w:id="115"/>
      <w:r>
        <w:fldChar w:fldCharType="begin"/>
      </w:r>
      <w:r>
        <w:instrText xml:space="preserve"> HYPERLINK "https://www.youtube.com/watch?v=RDtRCpWxB1Q" \h </w:instrText>
      </w:r>
      <w:r>
        <w:fldChar w:fldCharType="separate"/>
      </w:r>
      <w:r>
        <w:rPr>
          <w:rFonts w:ascii="helvetica neue" w:hAnsi="helvetica neue" w:eastAsia="helvetica neue" w:cs="helvetica neue"/>
          <w:color w:val="000000"/>
          <w:sz w:val="18"/>
          <w:u w:val="single"/>
        </w:rPr>
        <w:t>https://www.youtube.com/watch?v=RDtRCpWxB1Q</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5A6FB15">
      <w:pPr>
        <w:numPr>
          <w:ilvl w:val="0"/>
          <w:numId w:val="2"/>
        </w:numPr>
        <w:spacing w:after="210" w:line="360" w:lineRule="auto"/>
      </w:pPr>
      <w:bookmarkStart w:id="116" w:name="fn19"/>
      <w:bookmarkEnd w:id="116"/>
      <w:r>
        <w:fldChar w:fldCharType="begin"/>
      </w:r>
      <w:r>
        <w:instrText xml:space="preserve"> HYPERLINK "https://www.imdb.com/title/tt21438474/" \h </w:instrText>
      </w:r>
      <w:r>
        <w:fldChar w:fldCharType="separate"/>
      </w:r>
      <w:r>
        <w:rPr>
          <w:rFonts w:ascii="helvetica neue" w:hAnsi="helvetica neue" w:eastAsia="helvetica neue" w:cs="helvetica neue"/>
          <w:color w:val="000000"/>
          <w:sz w:val="18"/>
          <w:u w:val="single"/>
        </w:rPr>
        <w:t>https://www.imdb.com/title/tt21438474/</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28937CB">
      <w:pPr>
        <w:numPr>
          <w:ilvl w:val="0"/>
          <w:numId w:val="2"/>
        </w:numPr>
        <w:spacing w:after="210" w:line="360" w:lineRule="auto"/>
      </w:pPr>
      <w:bookmarkStart w:id="117" w:name="fn20"/>
      <w:bookmarkEnd w:id="117"/>
      <w:r>
        <w:fldChar w:fldCharType="begin"/>
      </w:r>
      <w:r>
        <w:instrText xml:space="preserve"> HYPERLINK "https://www.alphavillejournal.com/Issue20/HTML/ArticleKarim.html" \h </w:instrText>
      </w:r>
      <w:r>
        <w:fldChar w:fldCharType="separate"/>
      </w:r>
      <w:r>
        <w:rPr>
          <w:rFonts w:ascii="helvetica neue" w:hAnsi="helvetica neue" w:eastAsia="helvetica neue" w:cs="helvetica neue"/>
          <w:color w:val="000000"/>
          <w:sz w:val="18"/>
          <w:u w:val="single"/>
        </w:rPr>
        <w:t>https://www.alphavillejournal.com/Issue20/HTML/ArticleKarim.html</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CEAA639">
      <w:pPr>
        <w:numPr>
          <w:ilvl w:val="0"/>
          <w:numId w:val="2"/>
        </w:numPr>
        <w:spacing w:after="210" w:line="360" w:lineRule="auto"/>
      </w:pPr>
      <w:bookmarkStart w:id="118" w:name="fn21"/>
      <w:bookmarkEnd w:id="118"/>
      <w:r>
        <w:fldChar w:fldCharType="begin"/>
      </w:r>
      <w:r>
        <w:instrText xml:space="preserve"> HYPERLINK "https://www.gaytimes.com/culture/arab-film-directors-tackle-gender-taboos-on-big-screen/" \h </w:instrText>
      </w:r>
      <w:r>
        <w:fldChar w:fldCharType="separate"/>
      </w:r>
      <w:r>
        <w:rPr>
          <w:rFonts w:ascii="helvetica neue" w:hAnsi="helvetica neue" w:eastAsia="helvetica neue" w:cs="helvetica neue"/>
          <w:color w:val="000000"/>
          <w:sz w:val="18"/>
          <w:u w:val="single"/>
        </w:rPr>
        <w:t>https://www.gaytimes.com/culture/arab-film-directors-tackle-gender-taboos-on-big-screen/</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53473D9">
      <w:pPr>
        <w:numPr>
          <w:ilvl w:val="0"/>
          <w:numId w:val="2"/>
        </w:numPr>
        <w:spacing w:after="210" w:line="360" w:lineRule="auto"/>
      </w:pPr>
      <w:bookmarkStart w:id="119" w:name="fn22"/>
      <w:bookmarkEnd w:id="119"/>
      <w:r>
        <w:fldChar w:fldCharType="begin"/>
      </w:r>
      <w:r>
        <w:instrText xml:space="preserve"> HYPERLINK "https://www.alphavillejournal.com/Issue20/ArticleKarim.pdf" \h </w:instrText>
      </w:r>
      <w:r>
        <w:fldChar w:fldCharType="separate"/>
      </w:r>
      <w:r>
        <w:rPr>
          <w:rFonts w:ascii="helvetica neue" w:hAnsi="helvetica neue" w:eastAsia="helvetica neue" w:cs="helvetica neue"/>
          <w:color w:val="000000"/>
          <w:sz w:val="18"/>
          <w:u w:val="single"/>
        </w:rPr>
        <w:t>https://www.alphavillejournal.com/Issue20/ArticleKarim.pdf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DE8B344">
      <w:pPr>
        <w:numPr>
          <w:ilvl w:val="0"/>
          <w:numId w:val="2"/>
        </w:numPr>
        <w:spacing w:after="210" w:line="360" w:lineRule="auto"/>
      </w:pPr>
      <w:bookmarkStart w:id="120" w:name="fn23"/>
      <w:bookmarkEnd w:id="120"/>
      <w:r>
        <w:fldChar w:fldCharType="begin"/>
      </w:r>
      <w:r>
        <w:instrText xml:space="preserve"> HYPERLINK "https://www.reddit.com/r/AskMiddleEast/comments/tuidp3/are_there_any_gaytrans_characters_in_middle/" \h </w:instrText>
      </w:r>
      <w:r>
        <w:fldChar w:fldCharType="separate"/>
      </w:r>
      <w:r>
        <w:rPr>
          <w:rFonts w:ascii="helvetica neue" w:hAnsi="helvetica neue" w:eastAsia="helvetica neue" w:cs="helvetica neue"/>
          <w:color w:val="000000"/>
          <w:sz w:val="18"/>
          <w:u w:val="single"/>
        </w:rPr>
        <w:t>https://www.reddit.com/r/AskMiddleEast/comments/tuidp3/are_there_any_gaytrans_characters_in_middle/</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5F1F43B3">
      <w:pPr>
        <w:numPr>
          <w:ilvl w:val="0"/>
          <w:numId w:val="2"/>
        </w:numPr>
        <w:spacing w:after="210" w:line="360" w:lineRule="auto"/>
      </w:pPr>
      <w:bookmarkStart w:id="121" w:name="fn24"/>
      <w:bookmarkEnd w:id="121"/>
      <w:r>
        <w:fldChar w:fldCharType="begin"/>
      </w:r>
      <w:r>
        <w:instrText xml:space="preserve"> HYPERLINK "https://www.menafilmfestival.com/films/aleya" \h </w:instrText>
      </w:r>
      <w:r>
        <w:fldChar w:fldCharType="separate"/>
      </w:r>
      <w:r>
        <w:rPr>
          <w:rFonts w:ascii="helvetica neue" w:hAnsi="helvetica neue" w:eastAsia="helvetica neue" w:cs="helvetica neue"/>
          <w:color w:val="000000"/>
          <w:sz w:val="18"/>
          <w:u w:val="single"/>
        </w:rPr>
        <w:t>https://www.menafilmfestival.com/films/aleya</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B8C7FB9">
      <w:pPr>
        <w:numPr>
          <w:ilvl w:val="0"/>
          <w:numId w:val="2"/>
        </w:numPr>
        <w:spacing w:after="210" w:line="360" w:lineRule="auto"/>
      </w:pPr>
      <w:bookmarkStart w:id="122" w:name="fn25"/>
      <w:bookmarkEnd w:id="122"/>
      <w:r>
        <w:fldChar w:fldCharType="begin"/>
      </w:r>
      <w:r>
        <w:instrText xml:space="preserve"> HYPERLINK "https://ajammc.com/2013/05/11/queer-and-trans-subjects-in-iranian-cinema-between-representation-agency-and-orientalist-fantasies/" \h </w:instrText>
      </w:r>
      <w:r>
        <w:fldChar w:fldCharType="separate"/>
      </w:r>
      <w:r>
        <w:rPr>
          <w:rFonts w:ascii="helvetica neue" w:hAnsi="helvetica neue" w:eastAsia="helvetica neue" w:cs="helvetica neue"/>
          <w:color w:val="000000"/>
          <w:sz w:val="18"/>
          <w:u w:val="single"/>
        </w:rPr>
        <w:t>https://ajammc.com/2013/05/11/queer-and-trans-subjects-in-iranian-cinema-between-representation-agency-and-orientalist-fantasies/</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1922192B">
      <w:pPr>
        <w:numPr>
          <w:ilvl w:val="0"/>
          <w:numId w:val="2"/>
        </w:numPr>
        <w:spacing w:after="210" w:line="360" w:lineRule="auto"/>
      </w:pPr>
      <w:bookmarkStart w:id="123" w:name="fn26"/>
      <w:bookmarkEnd w:id="123"/>
      <w:r>
        <w:fldChar w:fldCharType="begin"/>
      </w:r>
      <w:r>
        <w:instrText xml:space="preserve"> HYPERLINK "https://www.goodhousekeeping.com/entertainment/movies/g36107109/trans-movies-documentaries/" \h </w:instrText>
      </w:r>
      <w:r>
        <w:fldChar w:fldCharType="separate"/>
      </w:r>
      <w:r>
        <w:rPr>
          <w:rFonts w:ascii="helvetica neue" w:hAnsi="helvetica neue" w:eastAsia="helvetica neue" w:cs="helvetica neue"/>
          <w:color w:val="000000"/>
          <w:sz w:val="18"/>
          <w:u w:val="single"/>
        </w:rPr>
        <w:t>https://www.goodhousekeeping.com/entertainment/movies/g36107109/trans-movies-documentaries/</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540C964C">
      <w:pPr>
        <w:numPr>
          <w:ilvl w:val="0"/>
          <w:numId w:val="2"/>
        </w:numPr>
        <w:spacing w:after="210" w:line="360" w:lineRule="auto"/>
      </w:pPr>
      <w:bookmarkStart w:id="124" w:name="fn27"/>
      <w:bookmarkEnd w:id="124"/>
      <w:r>
        <w:fldChar w:fldCharType="begin"/>
      </w:r>
      <w:r>
        <w:instrText xml:space="preserve"> HYPERLINK "https://transreads.org/wp-content/uploads/2021/12/2021-12-23_61c4e7e24d00f_Cross-DressingandGenderTrespassing-TheTransgenderMoveasaSiteofAgentialPotentialintheNewIranianCinema.pdf" \h </w:instrText>
      </w:r>
      <w:r>
        <w:fldChar w:fldCharType="separate"/>
      </w:r>
      <w:r>
        <w:rPr>
          <w:rFonts w:ascii="helvetica neue" w:hAnsi="helvetica neue" w:eastAsia="helvetica neue" w:cs="helvetica neue"/>
          <w:color w:val="000000"/>
          <w:sz w:val="18"/>
          <w:u w:val="single"/>
        </w:rPr>
        <w:t>https://transreads.org/wp-content/uploads/2021/12/2021-12-23_61c4e7e24d00f_Cross-DressingandGenderTrespassing-TheTransgenderMoveasaSiteofAgentialPotentialintheNewIranianCinema.pdf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74F9EE90">
      <w:pPr>
        <w:numPr>
          <w:ilvl w:val="0"/>
          <w:numId w:val="2"/>
        </w:numPr>
        <w:spacing w:after="210" w:line="360" w:lineRule="auto"/>
      </w:pPr>
      <w:bookmarkStart w:id="125" w:name="fn28"/>
      <w:bookmarkEnd w:id="125"/>
      <w:r>
        <w:fldChar w:fldCharType="begin"/>
      </w:r>
      <w:r>
        <w:instrText xml:space="preserve"> HYPERLINK "https://www.menafilmfestival.com/bundles/queer-shorts" \h </w:instrText>
      </w:r>
      <w:r>
        <w:fldChar w:fldCharType="separate"/>
      </w:r>
      <w:r>
        <w:rPr>
          <w:rFonts w:ascii="helvetica neue" w:hAnsi="helvetica neue" w:eastAsia="helvetica neue" w:cs="helvetica neue"/>
          <w:color w:val="000000"/>
          <w:sz w:val="18"/>
          <w:u w:val="single"/>
        </w:rPr>
        <w:t>https://www.menafilmfestival.com/bundles/queer-shorts</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55512CBA">
      <w:pPr>
        <w:numPr>
          <w:ilvl w:val="0"/>
          <w:numId w:val="2"/>
        </w:numPr>
        <w:spacing w:after="210" w:line="360" w:lineRule="auto"/>
      </w:pPr>
      <w:bookmarkStart w:id="126" w:name="fn29"/>
      <w:bookmarkEnd w:id="126"/>
      <w:r>
        <w:fldChar w:fldCharType="begin"/>
      </w:r>
      <w:r>
        <w:instrText xml:space="preserve"> HYPERLINK "https://en.unifrance.org/movie/38890/the-great-safae" \h </w:instrText>
      </w:r>
      <w:r>
        <w:fldChar w:fldCharType="separate"/>
      </w:r>
      <w:r>
        <w:rPr>
          <w:rFonts w:ascii="helvetica neue" w:hAnsi="helvetica neue" w:eastAsia="helvetica neue" w:cs="helvetica neue"/>
          <w:color w:val="000000"/>
          <w:sz w:val="18"/>
          <w:u w:val="single"/>
        </w:rPr>
        <w:t>https://en.unifrance.org/movie/38890/the-great-safae</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9C398C4">
      <w:pPr>
        <w:numPr>
          <w:ilvl w:val="0"/>
          <w:numId w:val="2"/>
        </w:numPr>
        <w:spacing w:after="210" w:line="360" w:lineRule="auto"/>
      </w:pPr>
      <w:bookmarkStart w:id="127" w:name="fn30"/>
      <w:bookmarkEnd w:id="127"/>
      <w:r>
        <w:fldChar w:fldCharType="begin"/>
      </w:r>
      <w:r>
        <w:instrText xml:space="preserve"> HYPERLINK "https://letterboxd.com/film/the-great-safae/" \h </w:instrText>
      </w:r>
      <w:r>
        <w:fldChar w:fldCharType="separate"/>
      </w:r>
      <w:r>
        <w:rPr>
          <w:rFonts w:ascii="helvetica neue" w:hAnsi="helvetica neue" w:eastAsia="helvetica neue" w:cs="helvetica neue"/>
          <w:color w:val="000000"/>
          <w:sz w:val="18"/>
          <w:u w:val="single"/>
        </w:rPr>
        <w:t>https://letterboxd.com/film/the-great-safae/</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helvetica neue">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lvlText w:val="%1."/>
      <w:lvlJc w:val="left"/>
      <w:pPr>
        <w:tabs>
          <w:tab w:val="left" w:pos="900"/>
        </w:tabs>
        <w:ind w:left="540" w:hanging="360"/>
      </w:pPr>
    </w:lvl>
  </w:abstractNum>
  <w:abstractNum w:abstractNumId="1">
    <w:nsid w:val="59ADCABA"/>
    <w:multiLevelType w:val="singleLevel"/>
    <w:tmpl w:val="59ADCABA"/>
    <w:lvl w:ilvl="0" w:tentative="0">
      <w:start w:val="1"/>
      <w:numFmt w:val="decimal"/>
      <w:lvlText w:val="%1."/>
      <w:lvlJc w:val="left"/>
      <w:pPr>
        <w:tabs>
          <w:tab w:val="left" w:pos="900"/>
        </w:tabs>
        <w:ind w:left="5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0535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639</Words>
  <Characters>3724</Characters>
  <TotalTime>0</TotalTime>
  <ScaleCrop>false</ScaleCrop>
  <LinksUpToDate>false</LinksUpToDate>
  <CharactersWithSpaces>4343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2026-02-25T14:50:00Z</dcterms:created>
  <dc:creator>html-to-docx</dc:creator>
  <cp:keywords>html-to-docx</cp:keywords>
  <cp:lastModifiedBy>dyx</cp:lastModifiedBy>
  <dcterms:modified xsi:type="dcterms:W3CDTF">2026-02-25T14:51:42Z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0ECAA9F9F2B3400095ABDBC09834C939_12</vt:lpwstr>
  </property>
</Properties>
</file>