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22D3E0">
      <w:pPr>
        <w:spacing w:before="315" w:after="105" w:line="360" w:lineRule="auto"/>
        <w:ind w:left="-30"/>
        <w:jc w:val="left"/>
      </w:pPr>
      <w:bookmarkStart w:id="0" w:name="cinematic_representations_of_tran_f15e3a"/>
      <w:r>
        <w:rPr>
          <w:rFonts w:ascii="inter" w:hAnsi="inter" w:eastAsia="inter" w:cs="inter"/>
          <w:b/>
          <w:color w:val="000000"/>
          <w:sz w:val="24"/>
        </w:rPr>
        <w:t>Cinematic Representations of Transgender Identities within the Middle Eastern and North African Context: A Strategic Analysis</w:t>
      </w:r>
      <w:bookmarkEnd w:id="0"/>
    </w:p>
    <w:p w14:paraId="7574FAC5">
      <w:pPr>
        <w:spacing w:before="315" w:after="105" w:line="360" w:lineRule="auto"/>
        <w:ind w:left="-30"/>
        <w:jc w:val="left"/>
      </w:pPr>
      <w:bookmarkStart w:id="1" w:name="executive_summary"/>
      <w:r>
        <w:rPr>
          <w:rFonts w:ascii="inter" w:hAnsi="inter" w:eastAsia="inter" w:cs="inter"/>
          <w:b/>
          <w:color w:val="000000"/>
          <w:sz w:val="24"/>
        </w:rPr>
        <w:t>Executive Summary</w:t>
      </w:r>
      <w:bookmarkEnd w:id="1"/>
      <w:bookmarkStart w:id="308" w:name="_GoBack"/>
      <w:bookmarkEnd w:id="308"/>
    </w:p>
    <w:p w14:paraId="74562F25">
      <w:pPr>
        <w:spacing w:after="210" w:line="360" w:lineRule="auto"/>
      </w:pPr>
      <w:r>
        <w:rPr>
          <w:rFonts w:ascii="inter" w:hAnsi="inter" w:eastAsia="inter" w:cs="inter"/>
          <w:color w:val="000000"/>
        </w:rPr>
        <w:t>The representation of transgender identities in Middle Eastern and North African (MENA) cinema has emerged as a vital site of cultural negotiation, artistic innovation, and human rights advocacy. While transgender narratives have appeared in Arab cinema since the early 1990s, the past decade has witnessed a substantive expansion in both the visibility and sophistication of these depictions. This report examines four landmark films spanning three MENA regions—</w:t>
      </w:r>
      <w:r>
        <w:rPr>
          <w:rFonts w:ascii="inter" w:hAnsi="inter" w:eastAsia="inter" w:cs="inter"/>
          <w:i/>
          <w:color w:val="000000"/>
        </w:rPr>
        <w:t>Cinema Fouad</w:t>
      </w:r>
      <w:r>
        <w:rPr>
          <w:rFonts w:ascii="inter" w:hAnsi="inter" w:eastAsia="inter" w:cs="inter"/>
          <w:color w:val="000000"/>
        </w:rPr>
        <w:t xml:space="preserve"> (1993, Lebanon), </w:t>
      </w:r>
      <w:r>
        <w:rPr>
          <w:rFonts w:ascii="inter" w:hAnsi="inter" w:eastAsia="inter" w:cs="inter"/>
          <w:i/>
          <w:color w:val="000000"/>
        </w:rPr>
        <w:t>The Blue Caftan</w:t>
      </w:r>
      <w:r>
        <w:rPr>
          <w:rFonts w:ascii="inter" w:hAnsi="inter" w:eastAsia="inter" w:cs="inter"/>
          <w:color w:val="000000"/>
        </w:rPr>
        <w:t xml:space="preserve"> (2022, Morocco), </w:t>
      </w:r>
      <w:r>
        <w:rPr>
          <w:rFonts w:ascii="inter" w:hAnsi="inter" w:eastAsia="inter" w:cs="inter"/>
          <w:i/>
          <w:color w:val="000000"/>
        </w:rPr>
        <w:t>Joyland</w:t>
      </w:r>
      <w:r>
        <w:rPr>
          <w:rFonts w:ascii="inter" w:hAnsi="inter" w:eastAsia="inter" w:cs="inter"/>
          <w:color w:val="000000"/>
        </w:rPr>
        <w:t xml:space="preserve"> (2022, Pakistan), and </w:t>
      </w:r>
      <w:r>
        <w:rPr>
          <w:rFonts w:ascii="inter" w:hAnsi="inter" w:eastAsia="inter" w:cs="inter"/>
          <w:i/>
          <w:color w:val="000000"/>
        </w:rPr>
        <w:t>Only Men Go to the Grave</w:t>
      </w:r>
      <w:r>
        <w:rPr>
          <w:rFonts w:ascii="inter" w:hAnsi="inter" w:eastAsia="inter" w:cs="inter"/>
          <w:color w:val="000000"/>
        </w:rPr>
        <w:t xml:space="preserve"> (2016, UAE/Iran)—to analyze how filmmakers navigate the intersection of artistic expression, state censorship, cultural tradition, and queer activism in contexts where transgender identities face legal criminalization, social stigmatization, and systematic marginalization.</w:t>
      </w:r>
    </w:p>
    <w:p w14:paraId="3683D6AC">
      <w:pPr>
        <w:spacing w:after="210" w:line="360" w:lineRule="auto"/>
      </w:pPr>
      <w:r>
        <w:rPr>
          <w:rFonts w:ascii="inter" w:hAnsi="inter" w:eastAsia="inter" w:cs="inter"/>
          <w:color w:val="000000"/>
        </w:rPr>
        <w:t>Through rigorous application of film theory (gender performativity, the gaze, intersectionality) and cultural analysis, this strategic report demonstrates that MENA cinema's treatment of transgender representation constitutes a sophisticated form of cultural resistance and world-building. Rather than passively reflecting social consensus, these films actively construct new vocabularies of visibility, dignity, and transgender agency within patriarchal societies where such representation carries material risks—ranging from international ostracism to state prosecution.</w:t>
      </w:r>
    </w:p>
    <w:p w14:paraId="6DB70E4D">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14BB12DB">
      <w:pPr>
        <w:spacing w:before="315" w:after="105" w:line="360" w:lineRule="auto"/>
        <w:ind w:left="-30"/>
        <w:jc w:val="left"/>
      </w:pPr>
      <w:bookmarkStart w:id="2" w:name="i_introduction_contextualizing_tr_dc7c00"/>
      <w:r>
        <w:rPr>
          <w:rFonts w:ascii="inter" w:hAnsi="inter" w:eastAsia="inter" w:cs="inter"/>
          <w:b/>
          <w:color w:val="000000"/>
          <w:sz w:val="24"/>
        </w:rPr>
        <w:t>I. Introduction: Contextualizing Transgender Representation in MENA Cinema</w:t>
      </w:r>
      <w:bookmarkEnd w:id="2"/>
    </w:p>
    <w:p w14:paraId="652220A7">
      <w:pPr>
        <w:spacing w:before="315" w:after="105" w:line="360" w:lineRule="auto"/>
        <w:ind w:left="-30"/>
        <w:jc w:val="left"/>
      </w:pPr>
      <w:bookmarkStart w:id="3" w:name="a_strategic_significance_of_the_topic"/>
      <w:r>
        <w:rPr>
          <w:rFonts w:ascii="inter" w:hAnsi="inter" w:eastAsia="inter" w:cs="inter"/>
          <w:b/>
          <w:color w:val="000000"/>
          <w:sz w:val="24"/>
        </w:rPr>
        <w:t>A. Strategic Significance of the Topic</w:t>
      </w:r>
      <w:bookmarkEnd w:id="3"/>
    </w:p>
    <w:p w14:paraId="5B1707DF">
      <w:pPr>
        <w:spacing w:after="210" w:line="360" w:lineRule="auto"/>
      </w:pPr>
      <w:r>
        <w:rPr>
          <w:rFonts w:ascii="inter" w:hAnsi="inter" w:eastAsia="inter" w:cs="inter"/>
          <w:color w:val="000000"/>
        </w:rPr>
        <w:t>Transgender representation in MENA cinema warrants sustained scholarly and institutional attention for three interrelated reasons. First, the legal landscape governing gender identity and sexual orientation in the MENA region remains among the world's most restrictive: approximately 69% of countries in the region maintain criminal statutes that effectively or explicitly penalize same-sex relations and gender non-conformity. Five MENA nations—Iran, Saudi Arabia, Yemen (Houthi-controlled areas), Iraq, and historically others—authorize capital punishment for homosexual conduct. Within this environment, films that represent transgender identities transgress not merely social convention but statutory law, making their production and circulation acts of political defiance.</w:t>
      </w:r>
      <w:bookmarkStart w:id="4" w:name="fnref1"/>
      <w:bookmarkEnd w:id="4"/>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5" w:name="fnref2"/>
      <w:bookmarkEnd w:id="5"/>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6" w:name="fnref3"/>
      <w:bookmarkEnd w:id="6"/>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7" w:name="fnref4"/>
      <w:bookmarkEnd w:id="7"/>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6EA7DA65">
      <w:pPr>
        <w:spacing w:after="210" w:line="360" w:lineRule="auto"/>
      </w:pPr>
      <w:r>
        <w:rPr>
          <w:rFonts w:ascii="inter" w:hAnsi="inter" w:eastAsia="inter" w:cs="inter"/>
          <w:color w:val="000000"/>
        </w:rPr>
        <w:t xml:space="preserve">Second, transgender individuals in the MENA region occupy what scholars term a "hypervisible yet marginalized" position. In South Asia and the broader Islamic world, transgender communities—particularly those identified as </w:t>
      </w:r>
      <w:r>
        <w:rPr>
          <w:rFonts w:ascii="inter" w:hAnsi="inter" w:eastAsia="inter" w:cs="inter"/>
          <w:i/>
          <w:color w:val="000000"/>
        </w:rPr>
        <w:t>khawaja sira</w:t>
      </w:r>
      <w:r>
        <w:rPr>
          <w:rFonts w:ascii="inter" w:hAnsi="inter" w:eastAsia="inter" w:cs="inter"/>
          <w:color w:val="000000"/>
        </w:rPr>
        <w:t xml:space="preserve"> (in Pakistan/South Asia) or </w:t>
      </w:r>
      <w:r>
        <w:rPr>
          <w:rFonts w:ascii="inter" w:hAnsi="inter" w:eastAsia="inter" w:cs="inter"/>
          <w:i/>
          <w:color w:val="000000"/>
        </w:rPr>
        <w:t>hijra</w:t>
      </w:r>
      <w:r>
        <w:rPr>
          <w:rFonts w:ascii="inter" w:hAnsi="inter" w:eastAsia="inter" w:cs="inter"/>
          <w:color w:val="000000"/>
        </w:rPr>
        <w:t xml:space="preserve"> (in India)—hold historically recognized social roles in ritual contexts (weddings, births, mourning) while remaining systematically excluded from formal employment, legal recognition, and social dignity in everyday life. Cinema functions as one of the few platforms through which transgender individuals can narrate their own subjectivities rather than being narrated </w:t>
      </w:r>
      <w:r>
        <w:rPr>
          <w:rFonts w:ascii="inter" w:hAnsi="inter" w:eastAsia="inter" w:cs="inter"/>
          <w:i/>
          <w:color w:val="000000"/>
        </w:rPr>
        <w:t>about</w:t>
      </w:r>
      <w:r>
        <w:rPr>
          <w:rFonts w:ascii="inter" w:hAnsi="inter" w:eastAsia="inter" w:cs="inter"/>
          <w:color w:val="000000"/>
        </w:rPr>
        <w:t>.</w:t>
      </w:r>
      <w:bookmarkStart w:id="8" w:name="fnref5"/>
      <w:bookmarkEnd w:id="8"/>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9" w:name="fnref6"/>
      <w:bookmarkEnd w:id="9"/>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1D234FD4">
      <w:pPr>
        <w:spacing w:after="210" w:line="360" w:lineRule="auto"/>
      </w:pPr>
      <w:r>
        <w:rPr>
          <w:rFonts w:ascii="inter" w:hAnsi="inter" w:eastAsia="inter" w:cs="inter"/>
          <w:color w:val="000000"/>
        </w:rPr>
        <w:t>Third, the emergence of queer and transgender cinema in the MENA region coincides with broader geopolitical shifts—the rise of independent filmmaking, digital distribution platforms (streaming), transnational co-productions, and the consolidation of regional film festivals (such as Aflamuna, founded in 2020 as the first explicitly queer Arab film festival in Beirut). These developments create unprecedented opportunities for representing marginalized identities while simultaneously generating new pressures from both state authorities and conservative constituencies.</w:t>
      </w:r>
      <w:bookmarkStart w:id="10" w:name="fnref7"/>
      <w:bookmarkEnd w:id="10"/>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11" w:name="fnref8"/>
      <w:bookmarkEnd w:id="11"/>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3AF5A795">
      <w:pPr>
        <w:spacing w:before="315" w:after="105" w:line="360" w:lineRule="auto"/>
        <w:ind w:left="-30"/>
        <w:jc w:val="left"/>
      </w:pPr>
      <w:bookmarkStart w:id="12" w:name="b_terminology_and_theoretical_fou_a6e60e"/>
      <w:r>
        <w:rPr>
          <w:rFonts w:ascii="inter" w:hAnsi="inter" w:eastAsia="inter" w:cs="inter"/>
          <w:b/>
          <w:color w:val="000000"/>
          <w:sz w:val="24"/>
        </w:rPr>
        <w:t>B. Terminology and Theoretical Foundations</w:t>
      </w:r>
      <w:bookmarkEnd w:id="12"/>
    </w:p>
    <w:p w14:paraId="141F26E1">
      <w:pPr>
        <w:spacing w:after="210" w:line="360" w:lineRule="auto"/>
      </w:pPr>
      <w:r>
        <w:rPr>
          <w:rFonts w:ascii="inter" w:hAnsi="inter" w:eastAsia="inter" w:cs="inter"/>
          <w:color w:val="000000"/>
        </w:rPr>
        <w:t>A critical preliminary note on terminology: Western categories of "transgender," "gay," and "lesbian" are not seamlessly transferable to MENA contexts, a point emphasized by postcolonial scholars like Joseph Massad, who argues that such terminologies constitute Western imports applied to non-Western sexual subjects. However, scholars like Dina Georgis counter that this logic risks reducing self-identified queer Arabs to "self-hating assimilationists," denying their agency in claiming these terms. This report adopts a position of critical pluralism: it recognizes local terminologies (</w:t>
      </w:r>
      <w:r>
        <w:rPr>
          <w:rFonts w:ascii="inter" w:hAnsi="inter" w:eastAsia="inter" w:cs="inter"/>
          <w:i/>
          <w:color w:val="000000"/>
        </w:rPr>
        <w:t>khawaja sira</w:t>
      </w:r>
      <w:r>
        <w:rPr>
          <w:rFonts w:ascii="inter" w:hAnsi="inter" w:eastAsia="inter" w:cs="inter"/>
          <w:color w:val="000000"/>
        </w:rPr>
        <w:t xml:space="preserve">, </w:t>
      </w:r>
      <w:r>
        <w:rPr>
          <w:rFonts w:ascii="inter" w:hAnsi="inter" w:eastAsia="inter" w:cs="inter"/>
          <w:i/>
          <w:color w:val="000000"/>
        </w:rPr>
        <w:t>shaadh</w:t>
      </w:r>
      <w:r>
        <w:rPr>
          <w:rFonts w:ascii="inter" w:hAnsi="inter" w:eastAsia="inter" w:cs="inter"/>
          <w:color w:val="000000"/>
        </w:rPr>
        <w:t xml:space="preserve">, "alternative love") while acknowledging that many MENA-based queer and trans people strategically employ Western terminology precisely because Arabic equivalents carry heavy stigma. The films analyzed herein demonstrate this linguistic negotiation explicitly: characters choose to speak the word "lesbian" in English rather than its Arabic equivalent </w:t>
      </w:r>
      <w:r>
        <w:rPr>
          <w:rFonts w:ascii="inter" w:hAnsi="inter" w:eastAsia="inter" w:cs="inter"/>
          <w:i/>
          <w:color w:val="000000"/>
        </w:rPr>
        <w:t>suhaaqiyya</w:t>
      </w:r>
      <w:r>
        <w:rPr>
          <w:rFonts w:ascii="inter" w:hAnsi="inter" w:eastAsia="inter" w:cs="inter"/>
          <w:color w:val="000000"/>
        </w:rPr>
        <w:t>, which carries deeply negative connotations.</w:t>
      </w:r>
      <w:bookmarkStart w:id="13" w:name="fnref9"/>
      <w:bookmarkEnd w:id="13"/>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14" w:name="fnref10"/>
      <w:bookmarkEnd w:id="14"/>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08824F8E">
      <w:pPr>
        <w:spacing w:after="210" w:line="360" w:lineRule="auto"/>
      </w:pPr>
      <w:r>
        <w:rPr>
          <w:rFonts w:ascii="inter" w:hAnsi="inter" w:eastAsia="inter" w:cs="inter"/>
          <w:color w:val="000000"/>
        </w:rPr>
        <w:t>The theoretical frameworks employed throughout this analysis—gender performativity (Butler), the gaze (Mulvey and feminist revisions), intersectionality (Crenshaw), regimes of visibility (Aaron), and postcolonial film theory—are mobilized not as imposed Western analytical instruments but as interpretive lenses that themselves become contested and renegotiated within MENA filmmaking practice. As the Emirati director Abdulla Al-Kaabi notes, the aesthetic and narrative choices made in representing gender identity are fundamentally about "how you expose it"—that is, the forms of address, timing, framing, and cultural tone one adopts.</w:t>
      </w:r>
      <w:bookmarkStart w:id="15" w:name="fnref3_1"/>
      <w:bookmarkEnd w:id="15"/>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16" w:name="fnref11"/>
      <w:bookmarkEnd w:id="16"/>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2C00F6D0">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29333893">
      <w:pPr>
        <w:spacing w:before="315" w:after="105" w:line="360" w:lineRule="auto"/>
        <w:ind w:left="-30"/>
        <w:jc w:val="left"/>
      </w:pPr>
      <w:bookmarkStart w:id="17" w:name="ii_the_regional_context_legal_sta_4af59b"/>
      <w:r>
        <w:rPr>
          <w:rFonts w:ascii="inter" w:hAnsi="inter" w:eastAsia="inter" w:cs="inter"/>
          <w:b/>
          <w:color w:val="000000"/>
          <w:sz w:val="24"/>
        </w:rPr>
        <w:t>II. The Regional Context: Legal Status, Censorship, and Cultural Conditions</w:t>
      </w:r>
      <w:bookmarkEnd w:id="17"/>
    </w:p>
    <w:p w14:paraId="257FD72F">
      <w:pPr>
        <w:spacing w:before="315" w:after="105" w:line="360" w:lineRule="auto"/>
        <w:ind w:left="-30"/>
        <w:jc w:val="left"/>
      </w:pPr>
      <w:bookmarkStart w:id="18" w:name="a_legal_criminalization_and_enfor_22c5bc"/>
      <w:r>
        <w:rPr>
          <w:rFonts w:ascii="inter" w:hAnsi="inter" w:eastAsia="inter" w:cs="inter"/>
          <w:b/>
          <w:color w:val="000000"/>
          <w:sz w:val="24"/>
        </w:rPr>
        <w:t>A. Legal Criminalization and Enforcement Trends</w:t>
      </w:r>
      <w:bookmarkEnd w:id="18"/>
    </w:p>
    <w:p w14:paraId="112104D0">
      <w:pPr>
        <w:spacing w:after="210" w:line="360" w:lineRule="auto"/>
      </w:pPr>
      <w:r>
        <w:rPr>
          <w:rFonts w:ascii="inter" w:hAnsi="inter" w:eastAsia="inter" w:cs="inter"/>
          <w:color w:val="000000"/>
        </w:rPr>
        <w:t>The legal environment for LGBTQ+ individuals across the MENA region has deteriorated markedly since 2023. A comprehensive 2024 human rights assessment documents an orchestrated campaign of criminalization spanning multiple national jurisdictions:</w:t>
      </w:r>
      <w:bookmarkStart w:id="19" w:name="fnref1_1"/>
      <w:bookmarkEnd w:id="19"/>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626"/>
        <w:gridCol w:w="2305"/>
        <w:gridCol w:w="5909"/>
      </w:tblGrid>
      <w:tr w14:paraId="6ADE5C1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5144380">
            <w:pPr>
              <w:spacing w:after="0" w:line="360" w:lineRule="auto"/>
            </w:pPr>
            <w:r>
              <w:rPr>
                <w:rFonts w:ascii="inter" w:hAnsi="inter" w:eastAsia="inter" w:cs="inter"/>
                <w:color w:val="000000"/>
                <w:sz w:val="17"/>
              </w:rPr>
              <w:t>Country</w:t>
            </w:r>
          </w:p>
        </w:tc>
        <w:tc>
          <w:tcPr>
            <w:tcBorders>
              <w:top w:val="single" w:color="000000" w:sz="0" w:space="0"/>
              <w:bottom w:val="single" w:color="000000" w:sz="0" w:space="0"/>
              <w:right w:val="single" w:color="000000" w:sz="0" w:space="0"/>
            </w:tcBorders>
          </w:tcPr>
          <w:p w14:paraId="624F4D81">
            <w:pPr>
              <w:spacing w:after="0" w:line="360" w:lineRule="auto"/>
            </w:pPr>
            <w:r>
              <w:rPr>
                <w:rFonts w:ascii="inter" w:hAnsi="inter" w:eastAsia="inter" w:cs="inter"/>
                <w:color w:val="000000"/>
                <w:sz w:val="17"/>
              </w:rPr>
              <w:t>Legal Status</w:t>
            </w:r>
          </w:p>
        </w:tc>
        <w:tc>
          <w:tcPr>
            <w:tcBorders>
              <w:top w:val="single" w:color="000000" w:sz="0" w:space="0"/>
              <w:bottom w:val="single" w:color="000000" w:sz="0" w:space="0"/>
            </w:tcBorders>
          </w:tcPr>
          <w:p w14:paraId="1057C787">
            <w:pPr>
              <w:spacing w:after="0" w:line="360" w:lineRule="auto"/>
            </w:pPr>
            <w:r>
              <w:rPr>
                <w:rFonts w:ascii="inter" w:hAnsi="inter" w:eastAsia="inter" w:cs="inter"/>
                <w:color w:val="000000"/>
                <w:sz w:val="17"/>
              </w:rPr>
              <w:t>Recent Developments (2023-2024)</w:t>
            </w:r>
          </w:p>
        </w:tc>
      </w:tr>
      <w:tr w14:paraId="0EA6E58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DDD0309">
            <w:pPr>
              <w:spacing w:after="0" w:line="360" w:lineRule="auto"/>
            </w:pPr>
            <w:r>
              <w:rPr>
                <w:rFonts w:ascii="inter" w:hAnsi="inter" w:eastAsia="inter" w:cs="inter"/>
                <w:b/>
                <w:color w:val="000000"/>
                <w:sz w:val="17"/>
              </w:rPr>
              <w:t>Iraq</w:t>
            </w:r>
          </w:p>
        </w:tc>
        <w:tc>
          <w:tcPr>
            <w:tcBorders>
              <w:top w:val="single" w:color="000000" w:sz="0" w:space="0"/>
              <w:bottom w:val="single" w:color="000000" w:sz="0" w:space="0"/>
              <w:right w:val="single" w:color="000000" w:sz="0" w:space="0"/>
            </w:tcBorders>
          </w:tcPr>
          <w:p w14:paraId="446B9876">
            <w:pPr>
              <w:spacing w:after="0" w:line="360" w:lineRule="auto"/>
            </w:pPr>
            <w:r>
              <w:rPr>
                <w:rFonts w:ascii="inter" w:hAnsi="inter" w:eastAsia="inter" w:cs="inter"/>
                <w:color w:val="000000"/>
                <w:sz w:val="17"/>
              </w:rPr>
              <w:t>Explicit criminalization</w:t>
            </w:r>
          </w:p>
        </w:tc>
        <w:tc>
          <w:tcPr>
            <w:tcBorders>
              <w:top w:val="single" w:color="000000" w:sz="0" w:space="0"/>
              <w:bottom w:val="single" w:color="000000" w:sz="0" w:space="0"/>
            </w:tcBorders>
          </w:tcPr>
          <w:p w14:paraId="708F5439">
            <w:pPr>
              <w:spacing w:after="0" w:line="360" w:lineRule="auto"/>
            </w:pPr>
            <w:r>
              <w:rPr>
                <w:rFonts w:ascii="inter" w:hAnsi="inter" w:eastAsia="inter" w:cs="inter"/>
                <w:color w:val="000000"/>
                <w:sz w:val="17"/>
              </w:rPr>
              <w:t xml:space="preserve">April 2024: Parliament amended Anti-Sex Work Law to explicitly criminalize homosexual acts (1-15 years imprisonment), hormone therapy, transgender identity (1-3 years); death penalty proposed </w:t>
            </w:r>
            <w:r>
              <w:fldChar w:fldCharType="begin"/>
            </w:r>
            <w:r>
              <w:instrText xml:space="preserve"> HYPERLINK \l "fn1" \h </w:instrText>
            </w:r>
            <w:r>
              <w:fldChar w:fldCharType="separate"/>
            </w:r>
            <w:r>
              <w:rPr>
                <w:rFonts w:ascii="inter" w:hAnsi="inter" w:eastAsia="inter" w:cs="inter"/>
                <w:color w:val="000000"/>
                <w:sz w:val="17"/>
                <w:u w:val="single"/>
                <w:vertAlign w:val="superscript"/>
              </w:rPr>
              <w:t>[1]</w:t>
            </w:r>
            <w:r>
              <w:rPr>
                <w:rFonts w:ascii="inter" w:hAnsi="inter" w:eastAsia="inter" w:cs="inter"/>
                <w:color w:val="000000"/>
                <w:sz w:val="17"/>
                <w:u w:val="single"/>
                <w:vertAlign w:val="superscript"/>
              </w:rPr>
              <w:fldChar w:fldCharType="end"/>
            </w:r>
          </w:p>
        </w:tc>
      </w:tr>
      <w:tr w14:paraId="7FB04D1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2EBAD0B">
            <w:pPr>
              <w:spacing w:after="0" w:line="360" w:lineRule="auto"/>
            </w:pPr>
            <w:r>
              <w:rPr>
                <w:rFonts w:ascii="inter" w:hAnsi="inter" w:eastAsia="inter" w:cs="inter"/>
                <w:b/>
                <w:color w:val="000000"/>
                <w:sz w:val="17"/>
              </w:rPr>
              <w:t>Iran</w:t>
            </w:r>
          </w:p>
        </w:tc>
        <w:tc>
          <w:tcPr>
            <w:tcBorders>
              <w:top w:val="single" w:color="000000" w:sz="0" w:space="0"/>
              <w:bottom w:val="single" w:color="000000" w:sz="0" w:space="0"/>
              <w:right w:val="single" w:color="000000" w:sz="0" w:space="0"/>
            </w:tcBorders>
          </w:tcPr>
          <w:p w14:paraId="005AB75F">
            <w:pPr>
              <w:spacing w:after="0" w:line="360" w:lineRule="auto"/>
            </w:pPr>
            <w:r>
              <w:rPr>
                <w:rFonts w:ascii="inter" w:hAnsi="inter" w:eastAsia="inter" w:cs="inter"/>
                <w:color w:val="000000"/>
                <w:sz w:val="17"/>
              </w:rPr>
              <w:t>Death penalty possible</w:t>
            </w:r>
          </w:p>
        </w:tc>
        <w:tc>
          <w:tcPr>
            <w:tcBorders>
              <w:top w:val="single" w:color="000000" w:sz="0" w:space="0"/>
              <w:bottom w:val="single" w:color="000000" w:sz="0" w:space="0"/>
            </w:tcBorders>
          </w:tcPr>
          <w:p w14:paraId="40090837">
            <w:pPr>
              <w:spacing w:after="0" w:line="360" w:lineRule="auto"/>
            </w:pPr>
            <w:r>
              <w:rPr>
                <w:rFonts w:ascii="inter" w:hAnsi="inter" w:eastAsia="inter" w:cs="inter"/>
                <w:color w:val="000000"/>
                <w:sz w:val="17"/>
              </w:rPr>
              <w:t xml:space="preserve">Long-standing: homosexual acts punishable by death/flogging; 2005 executions of minors (Mahmoud Asghari, age 17; Ayaz Marhoni, age 18) </w:t>
            </w:r>
            <w:r>
              <w:fldChar w:fldCharType="begin"/>
            </w:r>
            <w:r>
              <w:instrText xml:space="preserve"> HYPERLINK \l "fn2" \h </w:instrText>
            </w:r>
            <w:r>
              <w:fldChar w:fldCharType="separate"/>
            </w:r>
            <w:r>
              <w:rPr>
                <w:rFonts w:ascii="inter" w:hAnsi="inter" w:eastAsia="inter" w:cs="inter"/>
                <w:color w:val="000000"/>
                <w:sz w:val="17"/>
                <w:u w:val="single"/>
                <w:vertAlign w:val="superscript"/>
              </w:rPr>
              <w:t>[2]</w:t>
            </w:r>
            <w:r>
              <w:rPr>
                <w:rFonts w:ascii="inter" w:hAnsi="inter" w:eastAsia="inter" w:cs="inter"/>
                <w:color w:val="000000"/>
                <w:sz w:val="17"/>
                <w:u w:val="single"/>
                <w:vertAlign w:val="superscript"/>
              </w:rPr>
              <w:fldChar w:fldCharType="end"/>
            </w:r>
            <w:r>
              <w:rPr>
                <w:rFonts w:ascii="inter" w:hAnsi="inter" w:eastAsia="inter" w:cs="inter"/>
                <w:color w:val="000000"/>
                <w:sz w:val="17"/>
              </w:rPr>
              <w:t xml:space="preserve">; regime denies LGBTQ existence </w:t>
            </w:r>
            <w:r>
              <w:fldChar w:fldCharType="begin"/>
            </w:r>
            <w:r>
              <w:instrText xml:space="preserve"> HYPERLINK \l "fn9" \h </w:instrText>
            </w:r>
            <w:r>
              <w:fldChar w:fldCharType="separate"/>
            </w:r>
            <w:r>
              <w:rPr>
                <w:rFonts w:ascii="inter" w:hAnsi="inter" w:eastAsia="inter" w:cs="inter"/>
                <w:color w:val="000000"/>
                <w:sz w:val="17"/>
                <w:u w:val="single"/>
                <w:vertAlign w:val="superscript"/>
              </w:rPr>
              <w:t>[9]</w:t>
            </w:r>
            <w:r>
              <w:rPr>
                <w:rFonts w:ascii="inter" w:hAnsi="inter" w:eastAsia="inter" w:cs="inter"/>
                <w:color w:val="000000"/>
                <w:sz w:val="17"/>
                <w:u w:val="single"/>
                <w:vertAlign w:val="superscript"/>
              </w:rPr>
              <w:fldChar w:fldCharType="end"/>
            </w:r>
          </w:p>
        </w:tc>
      </w:tr>
      <w:tr w14:paraId="01A12D5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CF33EFA">
            <w:pPr>
              <w:spacing w:after="0" w:line="360" w:lineRule="auto"/>
            </w:pPr>
            <w:r>
              <w:rPr>
                <w:rFonts w:ascii="inter" w:hAnsi="inter" w:eastAsia="inter" w:cs="inter"/>
                <w:b/>
                <w:color w:val="000000"/>
                <w:sz w:val="17"/>
              </w:rPr>
              <w:t>Morocco</w:t>
            </w:r>
          </w:p>
        </w:tc>
        <w:tc>
          <w:tcPr>
            <w:tcBorders>
              <w:top w:val="single" w:color="000000" w:sz="0" w:space="0"/>
              <w:bottom w:val="single" w:color="000000" w:sz="0" w:space="0"/>
              <w:right w:val="single" w:color="000000" w:sz="0" w:space="0"/>
            </w:tcBorders>
          </w:tcPr>
          <w:p w14:paraId="74A1B997">
            <w:pPr>
              <w:spacing w:after="0" w:line="360" w:lineRule="auto"/>
            </w:pPr>
            <w:r>
              <w:rPr>
                <w:rFonts w:ascii="inter" w:hAnsi="inter" w:eastAsia="inter" w:cs="inter"/>
                <w:color w:val="000000"/>
                <w:sz w:val="17"/>
              </w:rPr>
              <w:t>De facto criminalization</w:t>
            </w:r>
          </w:p>
        </w:tc>
        <w:tc>
          <w:tcPr>
            <w:tcBorders>
              <w:top w:val="single" w:color="000000" w:sz="0" w:space="0"/>
              <w:bottom w:val="single" w:color="000000" w:sz="0" w:space="0"/>
            </w:tcBorders>
          </w:tcPr>
          <w:p w14:paraId="3450BD51">
            <w:pPr>
              <w:spacing w:after="0" w:line="360" w:lineRule="auto"/>
            </w:pPr>
            <w:r>
              <w:rPr>
                <w:rFonts w:ascii="inter" w:hAnsi="inter" w:eastAsia="inter" w:cs="inter"/>
                <w:color w:val="000000"/>
                <w:sz w:val="17"/>
              </w:rPr>
              <w:t xml:space="preserve">Article 498 criminalizes "lewd acts"; de facto arrests of transgender individuals on moral charges; limited access to gender-affirming healthcare; self-medication common </w:t>
            </w:r>
            <w:r>
              <w:fldChar w:fldCharType="begin"/>
            </w:r>
            <w:r>
              <w:instrText xml:space="preserve"> HYPERLINK \l "fn12" \h </w:instrText>
            </w:r>
            <w:r>
              <w:fldChar w:fldCharType="separate"/>
            </w:r>
            <w:r>
              <w:rPr>
                <w:rFonts w:ascii="inter" w:hAnsi="inter" w:eastAsia="inter" w:cs="inter"/>
                <w:color w:val="000000"/>
                <w:sz w:val="17"/>
                <w:u w:val="single"/>
                <w:vertAlign w:val="superscript"/>
              </w:rPr>
              <w:t>[12]</w:t>
            </w:r>
            <w:r>
              <w:rPr>
                <w:rFonts w:ascii="inter" w:hAnsi="inter" w:eastAsia="inter" w:cs="inter"/>
                <w:color w:val="000000"/>
                <w:sz w:val="17"/>
                <w:u w:val="single"/>
                <w:vertAlign w:val="superscript"/>
              </w:rPr>
              <w:fldChar w:fldCharType="end"/>
            </w:r>
            <w:r>
              <w:fldChar w:fldCharType="begin"/>
            </w:r>
            <w:r>
              <w:instrText xml:space="preserve"> HYPERLINK \l "fn13" \h </w:instrText>
            </w:r>
            <w:r>
              <w:fldChar w:fldCharType="separate"/>
            </w:r>
            <w:r>
              <w:rPr>
                <w:rFonts w:ascii="inter" w:hAnsi="inter" w:eastAsia="inter" w:cs="inter"/>
                <w:color w:val="000000"/>
                <w:sz w:val="17"/>
                <w:u w:val="single"/>
                <w:vertAlign w:val="superscript"/>
              </w:rPr>
              <w:t>[13]</w:t>
            </w:r>
            <w:r>
              <w:rPr>
                <w:rFonts w:ascii="inter" w:hAnsi="inter" w:eastAsia="inter" w:cs="inter"/>
                <w:color w:val="000000"/>
                <w:sz w:val="17"/>
                <w:u w:val="single"/>
                <w:vertAlign w:val="superscript"/>
              </w:rPr>
              <w:fldChar w:fldCharType="end"/>
            </w:r>
          </w:p>
        </w:tc>
      </w:tr>
      <w:tr w14:paraId="4CA487E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AC2FF95">
            <w:pPr>
              <w:spacing w:after="0" w:line="360" w:lineRule="auto"/>
            </w:pPr>
            <w:r>
              <w:rPr>
                <w:rFonts w:ascii="inter" w:hAnsi="inter" w:eastAsia="inter" w:cs="inter"/>
                <w:b/>
                <w:color w:val="000000"/>
                <w:sz w:val="17"/>
              </w:rPr>
              <w:t>Lebanon</w:t>
            </w:r>
          </w:p>
        </w:tc>
        <w:tc>
          <w:tcPr>
            <w:tcBorders>
              <w:top w:val="single" w:color="000000" w:sz="0" w:space="0"/>
              <w:bottom w:val="single" w:color="000000" w:sz="0" w:space="0"/>
              <w:right w:val="single" w:color="000000" w:sz="0" w:space="0"/>
            </w:tcBorders>
          </w:tcPr>
          <w:p w14:paraId="7F6E1D8E">
            <w:pPr>
              <w:spacing w:after="0" w:line="360" w:lineRule="auto"/>
            </w:pPr>
            <w:r>
              <w:rPr>
                <w:rFonts w:ascii="inter" w:hAnsi="inter" w:eastAsia="inter" w:cs="inter"/>
                <w:color w:val="000000"/>
                <w:sz w:val="17"/>
              </w:rPr>
              <w:t>Ambiguous/contested</w:t>
            </w:r>
          </w:p>
        </w:tc>
        <w:tc>
          <w:tcPr>
            <w:tcBorders>
              <w:top w:val="single" w:color="000000" w:sz="0" w:space="0"/>
              <w:bottom w:val="single" w:color="000000" w:sz="0" w:space="0"/>
            </w:tcBorders>
          </w:tcPr>
          <w:p w14:paraId="646A4CEF">
            <w:pPr>
              <w:spacing w:after="0" w:line="360" w:lineRule="auto"/>
            </w:pPr>
            <w:r>
              <w:rPr>
                <w:rFonts w:ascii="inter" w:hAnsi="inter" w:eastAsia="inter" w:cs="inter"/>
                <w:color w:val="000000"/>
                <w:sz w:val="17"/>
              </w:rPr>
              <w:t xml:space="preserve">Article 534 criminalizes "sexual intercourse contrary to nature"; July 2023: 12 Change MPs signed decriminalization petition; counter-proposals for explicit criminalization by conservative blocs </w:t>
            </w:r>
            <w:r>
              <w:fldChar w:fldCharType="begin"/>
            </w:r>
            <w:r>
              <w:instrText xml:space="preserve"> HYPERLINK \l "fn1" \h </w:instrText>
            </w:r>
            <w:r>
              <w:fldChar w:fldCharType="separate"/>
            </w:r>
            <w:r>
              <w:rPr>
                <w:rFonts w:ascii="inter" w:hAnsi="inter" w:eastAsia="inter" w:cs="inter"/>
                <w:color w:val="000000"/>
                <w:sz w:val="17"/>
                <w:u w:val="single"/>
                <w:vertAlign w:val="superscript"/>
              </w:rPr>
              <w:t>[1]</w:t>
            </w:r>
            <w:r>
              <w:rPr>
                <w:rFonts w:ascii="inter" w:hAnsi="inter" w:eastAsia="inter" w:cs="inter"/>
                <w:color w:val="000000"/>
                <w:sz w:val="17"/>
                <w:u w:val="single"/>
                <w:vertAlign w:val="superscript"/>
              </w:rPr>
              <w:fldChar w:fldCharType="end"/>
            </w:r>
          </w:p>
        </w:tc>
      </w:tr>
      <w:tr w14:paraId="4F562AE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FE666EA">
            <w:pPr>
              <w:spacing w:after="0" w:line="360" w:lineRule="auto"/>
            </w:pPr>
            <w:r>
              <w:rPr>
                <w:rFonts w:ascii="inter" w:hAnsi="inter" w:eastAsia="inter" w:cs="inter"/>
                <w:b/>
                <w:color w:val="000000"/>
                <w:sz w:val="17"/>
              </w:rPr>
              <w:t>Egypt</w:t>
            </w:r>
          </w:p>
        </w:tc>
        <w:tc>
          <w:tcPr>
            <w:tcBorders>
              <w:top w:val="single" w:color="000000" w:sz="0" w:space="0"/>
              <w:bottom w:val="single" w:color="000000" w:sz="0" w:space="0"/>
              <w:right w:val="single" w:color="000000" w:sz="0" w:space="0"/>
            </w:tcBorders>
          </w:tcPr>
          <w:p w14:paraId="7B78C284">
            <w:pPr>
              <w:spacing w:after="0" w:line="360" w:lineRule="auto"/>
            </w:pPr>
            <w:r>
              <w:rPr>
                <w:rFonts w:ascii="inter" w:hAnsi="inter" w:eastAsia="inter" w:cs="inter"/>
                <w:color w:val="000000"/>
                <w:sz w:val="17"/>
              </w:rPr>
              <w:t>De facto via cybercrime law</w:t>
            </w:r>
          </w:p>
        </w:tc>
        <w:tc>
          <w:tcPr>
            <w:tcBorders>
              <w:top w:val="single" w:color="000000" w:sz="0" w:space="0"/>
              <w:bottom w:val="single" w:color="000000" w:sz="0" w:space="0"/>
            </w:tcBorders>
          </w:tcPr>
          <w:p w14:paraId="28FF1090">
            <w:pPr>
              <w:spacing w:after="0" w:line="360" w:lineRule="auto"/>
            </w:pPr>
            <w:r>
              <w:rPr>
                <w:rFonts w:ascii="inter" w:hAnsi="inter" w:eastAsia="inter" w:cs="inter"/>
                <w:color w:val="000000"/>
                <w:sz w:val="17"/>
              </w:rPr>
              <w:t xml:space="preserve">Cybercrime Law Article 25: courts interpret "violations of social/family values" as explicit criminalization of homosexuality without proving sex work </w:t>
            </w:r>
            <w:r>
              <w:fldChar w:fldCharType="begin"/>
            </w:r>
            <w:r>
              <w:instrText xml:space="preserve"> HYPERLINK \l "fn1" \h </w:instrText>
            </w:r>
            <w:r>
              <w:fldChar w:fldCharType="separate"/>
            </w:r>
            <w:r>
              <w:rPr>
                <w:rFonts w:ascii="inter" w:hAnsi="inter" w:eastAsia="inter" w:cs="inter"/>
                <w:color w:val="000000"/>
                <w:sz w:val="17"/>
                <w:u w:val="single"/>
                <w:vertAlign w:val="superscript"/>
              </w:rPr>
              <w:t>[1]</w:t>
            </w:r>
            <w:r>
              <w:rPr>
                <w:rFonts w:ascii="inter" w:hAnsi="inter" w:eastAsia="inter" w:cs="inter"/>
                <w:color w:val="000000"/>
                <w:sz w:val="17"/>
                <w:u w:val="single"/>
                <w:vertAlign w:val="superscript"/>
              </w:rPr>
              <w:fldChar w:fldCharType="end"/>
            </w:r>
            <w:r>
              <w:rPr>
                <w:rFonts w:ascii="inter" w:hAnsi="inter" w:eastAsia="inter" w:cs="inter"/>
                <w:color w:val="000000"/>
                <w:sz w:val="17"/>
              </w:rPr>
              <w:t xml:space="preserve">; documented arrests, torture, imprisonment </w:t>
            </w:r>
            <w:r>
              <w:fldChar w:fldCharType="begin"/>
            </w:r>
            <w:r>
              <w:instrText xml:space="preserve"> HYPERLINK \l "fn9" \h </w:instrText>
            </w:r>
            <w:r>
              <w:fldChar w:fldCharType="separate"/>
            </w:r>
            <w:r>
              <w:rPr>
                <w:rFonts w:ascii="inter" w:hAnsi="inter" w:eastAsia="inter" w:cs="inter"/>
                <w:color w:val="000000"/>
                <w:sz w:val="17"/>
                <w:u w:val="single"/>
                <w:vertAlign w:val="superscript"/>
              </w:rPr>
              <w:t>[9]</w:t>
            </w:r>
            <w:r>
              <w:rPr>
                <w:rFonts w:ascii="inter" w:hAnsi="inter" w:eastAsia="inter" w:cs="inter"/>
                <w:color w:val="000000"/>
                <w:sz w:val="17"/>
                <w:u w:val="single"/>
                <w:vertAlign w:val="superscript"/>
              </w:rPr>
              <w:fldChar w:fldCharType="end"/>
            </w:r>
          </w:p>
        </w:tc>
      </w:tr>
      <w:tr w14:paraId="7749172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973554C">
            <w:pPr>
              <w:spacing w:after="0" w:line="360" w:lineRule="auto"/>
            </w:pPr>
            <w:r>
              <w:rPr>
                <w:rFonts w:ascii="inter" w:hAnsi="inter" w:eastAsia="inter" w:cs="inter"/>
                <w:b/>
                <w:color w:val="000000"/>
                <w:sz w:val="17"/>
              </w:rPr>
              <w:t>Kuwait</w:t>
            </w:r>
          </w:p>
        </w:tc>
        <w:tc>
          <w:tcPr>
            <w:tcBorders>
              <w:top w:val="single" w:color="000000" w:sz="0" w:space="0"/>
              <w:bottom w:val="single" w:color="000000" w:sz="0" w:space="0"/>
              <w:right w:val="single" w:color="000000" w:sz="0" w:space="0"/>
            </w:tcBorders>
          </w:tcPr>
          <w:p w14:paraId="589A6684">
            <w:pPr>
              <w:spacing w:after="0" w:line="360" w:lineRule="auto"/>
            </w:pPr>
            <w:r>
              <w:rPr>
                <w:rFonts w:ascii="inter" w:hAnsi="inter" w:eastAsia="inter" w:cs="inter"/>
                <w:color w:val="000000"/>
                <w:sz w:val="17"/>
              </w:rPr>
              <w:t>Recent tightening</w:t>
            </w:r>
          </w:p>
        </w:tc>
        <w:tc>
          <w:tcPr>
            <w:tcBorders>
              <w:top w:val="single" w:color="000000" w:sz="0" w:space="0"/>
              <w:bottom w:val="single" w:color="000000" w:sz="0" w:space="0"/>
            </w:tcBorders>
          </w:tcPr>
          <w:p w14:paraId="0CECB132">
            <w:pPr>
              <w:spacing w:after="0" w:line="360" w:lineRule="auto"/>
            </w:pPr>
            <w:r>
              <w:rPr>
                <w:rFonts w:ascii="inter" w:hAnsi="inter" w:eastAsia="inter" w:cs="inter"/>
                <w:color w:val="000000"/>
                <w:sz w:val="17"/>
              </w:rPr>
              <w:t xml:space="preserve">2022: Supreme Court overturned Article 198 (imitating opposite sex) as vague; lawmakers propose new legislation explicitly criminalizing transgender identity and hormone therapy </w:t>
            </w:r>
            <w:r>
              <w:fldChar w:fldCharType="begin"/>
            </w:r>
            <w:r>
              <w:instrText xml:space="preserve"> HYPERLINK \l "fn1" \h </w:instrText>
            </w:r>
            <w:r>
              <w:fldChar w:fldCharType="separate"/>
            </w:r>
            <w:r>
              <w:rPr>
                <w:rFonts w:ascii="inter" w:hAnsi="inter" w:eastAsia="inter" w:cs="inter"/>
                <w:color w:val="000000"/>
                <w:sz w:val="17"/>
                <w:u w:val="single"/>
                <w:vertAlign w:val="superscript"/>
              </w:rPr>
              <w:t>[1]</w:t>
            </w:r>
            <w:r>
              <w:rPr>
                <w:rFonts w:ascii="inter" w:hAnsi="inter" w:eastAsia="inter" w:cs="inter"/>
                <w:color w:val="000000"/>
                <w:sz w:val="17"/>
                <w:u w:val="single"/>
                <w:vertAlign w:val="superscript"/>
              </w:rPr>
              <w:fldChar w:fldCharType="end"/>
            </w:r>
          </w:p>
        </w:tc>
      </w:tr>
      <w:tr w14:paraId="22D1C14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9D2F816">
            <w:pPr>
              <w:spacing w:after="0" w:line="360" w:lineRule="auto"/>
            </w:pPr>
            <w:r>
              <w:rPr>
                <w:rFonts w:ascii="inter" w:hAnsi="inter" w:eastAsia="inter" w:cs="inter"/>
                <w:b/>
                <w:color w:val="000000"/>
                <w:sz w:val="17"/>
              </w:rPr>
              <w:t>Yemen</w:t>
            </w:r>
          </w:p>
        </w:tc>
        <w:tc>
          <w:tcPr>
            <w:tcBorders>
              <w:top w:val="single" w:color="000000" w:sz="0" w:space="0"/>
              <w:bottom w:val="single" w:color="000000" w:sz="0" w:space="0"/>
              <w:right w:val="single" w:color="000000" w:sz="0" w:space="0"/>
            </w:tcBorders>
          </w:tcPr>
          <w:p w14:paraId="0BE3A6CA">
            <w:pPr>
              <w:spacing w:after="0" w:line="360" w:lineRule="auto"/>
            </w:pPr>
            <w:r>
              <w:rPr>
                <w:rFonts w:ascii="inter" w:hAnsi="inter" w:eastAsia="inter" w:cs="inter"/>
                <w:color w:val="000000"/>
                <w:sz w:val="17"/>
              </w:rPr>
              <w:t>Death penalty executed</w:t>
            </w:r>
          </w:p>
        </w:tc>
        <w:tc>
          <w:tcPr>
            <w:tcBorders>
              <w:top w:val="single" w:color="000000" w:sz="0" w:space="0"/>
              <w:bottom w:val="single" w:color="000000" w:sz="0" w:space="0"/>
            </w:tcBorders>
          </w:tcPr>
          <w:p w14:paraId="4B67C255">
            <w:pPr>
              <w:spacing w:after="0" w:line="360" w:lineRule="auto"/>
            </w:pPr>
            <w:r>
              <w:rPr>
                <w:rFonts w:ascii="inter" w:hAnsi="inter" w:eastAsia="inter" w:cs="inter"/>
                <w:color w:val="000000"/>
                <w:sz w:val="17"/>
              </w:rPr>
              <w:t xml:space="preserve">January 2024: Ibb court (Houthi-controlled) sentenced 13 university students to public execution for homosexuality; three to five years imprisonment </w:t>
            </w:r>
            <w:r>
              <w:fldChar w:fldCharType="begin"/>
            </w:r>
            <w:r>
              <w:instrText xml:space="preserve"> HYPERLINK \l "fn1" \h </w:instrText>
            </w:r>
            <w:r>
              <w:fldChar w:fldCharType="separate"/>
            </w:r>
            <w:r>
              <w:rPr>
                <w:rFonts w:ascii="inter" w:hAnsi="inter" w:eastAsia="inter" w:cs="inter"/>
                <w:color w:val="000000"/>
                <w:sz w:val="17"/>
                <w:u w:val="single"/>
                <w:vertAlign w:val="superscript"/>
              </w:rPr>
              <w:t>[1]</w:t>
            </w:r>
            <w:r>
              <w:rPr>
                <w:rFonts w:ascii="inter" w:hAnsi="inter" w:eastAsia="inter" w:cs="inter"/>
                <w:color w:val="000000"/>
                <w:sz w:val="17"/>
                <w:u w:val="single"/>
                <w:vertAlign w:val="superscript"/>
              </w:rPr>
              <w:fldChar w:fldCharType="end"/>
            </w:r>
          </w:p>
        </w:tc>
      </w:tr>
      <w:tr w14:paraId="592F77D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8A7528B">
            <w:pPr>
              <w:spacing w:after="0" w:line="360" w:lineRule="auto"/>
            </w:pPr>
            <w:r>
              <w:rPr>
                <w:rFonts w:ascii="inter" w:hAnsi="inter" w:eastAsia="inter" w:cs="inter"/>
                <w:b/>
                <w:color w:val="000000"/>
                <w:sz w:val="17"/>
              </w:rPr>
              <w:t>Palestine/Israel</w:t>
            </w:r>
          </w:p>
        </w:tc>
        <w:tc>
          <w:tcPr>
            <w:tcBorders>
              <w:top w:val="single" w:color="000000" w:sz="0" w:space="0"/>
              <w:bottom w:val="single" w:color="000000" w:sz="0" w:space="0"/>
              <w:right w:val="single" w:color="000000" w:sz="0" w:space="0"/>
            </w:tcBorders>
          </w:tcPr>
          <w:p w14:paraId="52944ACC">
            <w:pPr>
              <w:spacing w:after="0" w:line="360" w:lineRule="auto"/>
            </w:pPr>
            <w:r>
              <w:rPr>
                <w:rFonts w:ascii="inter" w:hAnsi="inter" w:eastAsia="inter" w:cs="inter"/>
                <w:color w:val="000000"/>
                <w:sz w:val="17"/>
              </w:rPr>
              <w:t>Complex occupation</w:t>
            </w:r>
          </w:p>
        </w:tc>
        <w:tc>
          <w:tcPr>
            <w:tcBorders>
              <w:top w:val="single" w:color="000000" w:sz="0" w:space="0"/>
              <w:bottom w:val="single" w:color="000000" w:sz="0" w:space="0"/>
            </w:tcBorders>
          </w:tcPr>
          <w:p w14:paraId="1162885A">
            <w:pPr>
              <w:spacing w:after="0" w:line="360" w:lineRule="auto"/>
            </w:pPr>
            <w:r>
              <w:rPr>
                <w:rFonts w:ascii="inter" w:hAnsi="inter" w:eastAsia="inter" w:cs="inter"/>
                <w:color w:val="000000"/>
                <w:sz w:val="17"/>
              </w:rPr>
              <w:t xml:space="preserve">No explicit criminalization in Israel; Palestinian queers face dual oppression (cultural homophobia + Israeli occupation); Israeli "pinkwashing" masks Palestinian rights violations </w:t>
            </w:r>
            <w:r>
              <w:fldChar w:fldCharType="begin"/>
            </w:r>
            <w:r>
              <w:instrText xml:space="preserve"> HYPERLINK \l "fn9" \h </w:instrText>
            </w:r>
            <w:r>
              <w:fldChar w:fldCharType="separate"/>
            </w:r>
            <w:r>
              <w:rPr>
                <w:rFonts w:ascii="inter" w:hAnsi="inter" w:eastAsia="inter" w:cs="inter"/>
                <w:color w:val="000000"/>
                <w:sz w:val="17"/>
                <w:u w:val="single"/>
                <w:vertAlign w:val="superscript"/>
              </w:rPr>
              <w:t>[9]</w:t>
            </w:r>
            <w:r>
              <w:rPr>
                <w:rFonts w:ascii="inter" w:hAnsi="inter" w:eastAsia="inter" w:cs="inter"/>
                <w:color w:val="000000"/>
                <w:sz w:val="17"/>
                <w:u w:val="single"/>
                <w:vertAlign w:val="superscript"/>
              </w:rPr>
              <w:fldChar w:fldCharType="end"/>
            </w:r>
          </w:p>
        </w:tc>
      </w:tr>
    </w:tbl>
    <w:p w14:paraId="022DAA01"/>
    <w:p w14:paraId="514BBEF3">
      <w:pPr>
        <w:spacing w:after="210" w:line="360" w:lineRule="auto"/>
      </w:pPr>
      <w:r>
        <w:rPr>
          <w:rFonts w:ascii="inter" w:hAnsi="inter" w:eastAsia="inter" w:cs="inter"/>
          <w:color w:val="000000"/>
        </w:rPr>
        <w:t xml:space="preserve">This legal backdrop is not merely administrative; it shapes the precise aesthetic and narrative choices available to filmmakers. As the scholar Maria Abdel Karim notes, "Middle Eastern filmmakers who openly represent positive queer relationships in their films face several consequences, ranging from censorship to punishment by the State or religious extremists." The Iranian-American director Maryam Keshavarz, whose </w:t>
      </w:r>
      <w:r>
        <w:rPr>
          <w:rFonts w:ascii="inter" w:hAnsi="inter" w:eastAsia="inter" w:cs="inter"/>
          <w:i/>
          <w:color w:val="000000"/>
        </w:rPr>
        <w:t>Circumstance</w:t>
      </w:r>
      <w:r>
        <w:rPr>
          <w:rFonts w:ascii="inter" w:hAnsi="inter" w:eastAsia="inter" w:cs="inter"/>
          <w:color w:val="000000"/>
        </w:rPr>
        <w:t xml:space="preserve"> (2011) depicts lesbian teenagers in Iran, received sustained death threats and was unable to return to Iran after release; she severed contact with her family to protect them from government retaliation.</w:t>
      </w:r>
      <w:bookmarkStart w:id="20" w:name="fnref9_4"/>
      <w:bookmarkEnd w:id="20"/>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21" w:name="fnref10_1"/>
      <w:bookmarkEnd w:id="21"/>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60B57301">
      <w:pPr>
        <w:spacing w:before="315" w:after="105" w:line="360" w:lineRule="auto"/>
        <w:ind w:left="-30"/>
        <w:jc w:val="left"/>
      </w:pPr>
      <w:bookmarkStart w:id="22" w:name="b_state_censorship_mechanisms_and_f68811"/>
      <w:r>
        <w:rPr>
          <w:rFonts w:ascii="inter" w:hAnsi="inter" w:eastAsia="inter" w:cs="inter"/>
          <w:b/>
          <w:color w:val="000000"/>
          <w:sz w:val="24"/>
        </w:rPr>
        <w:t>B. State Censorship Mechanisms and Filmmaker Strategies</w:t>
      </w:r>
      <w:bookmarkEnd w:id="22"/>
    </w:p>
    <w:p w14:paraId="2FB61491">
      <w:pPr>
        <w:spacing w:after="210" w:line="360" w:lineRule="auto"/>
      </w:pPr>
      <w:r>
        <w:rPr>
          <w:rFonts w:ascii="inter" w:hAnsi="inter" w:eastAsia="inter" w:cs="inter"/>
          <w:color w:val="000000"/>
        </w:rPr>
        <w:t>Filmmakers in the region have developed sophisticated strategies to navigate censorship while maintaining artistic integrity. These strategies illuminate the concept of "regimes of visibility" (Michele Aaron): the spectrum from covert (coded, suggestive) to overt (explicit, named) representation, with each position carrying distinct risks and affordances.</w:t>
      </w:r>
      <w:bookmarkStart w:id="23" w:name="fnref9_5"/>
      <w:bookmarkEnd w:id="23"/>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7DE6DC05">
      <w:pPr>
        <w:spacing w:after="210" w:line="360" w:lineRule="auto"/>
      </w:pPr>
      <w:r>
        <w:rPr>
          <w:rFonts w:ascii="inter" w:hAnsi="inter" w:eastAsia="inter" w:cs="inter"/>
          <w:b/>
          <w:color w:val="000000"/>
        </w:rPr>
        <w:t>Covert Representation:</w:t>
      </w:r>
      <w:r>
        <w:rPr>
          <w:rFonts w:ascii="inter" w:hAnsi="inter" w:eastAsia="inter" w:cs="inter"/>
          <w:color w:val="000000"/>
        </w:rPr>
        <w:t xml:space="preserve"> Nadine Labaki's </w:t>
      </w:r>
      <w:r>
        <w:rPr>
          <w:rFonts w:ascii="inter" w:hAnsi="inter" w:eastAsia="inter" w:cs="inter"/>
          <w:i/>
          <w:color w:val="000000"/>
        </w:rPr>
        <w:t>Caramel</w:t>
      </w:r>
      <w:r>
        <w:rPr>
          <w:rFonts w:ascii="inter" w:hAnsi="inter" w:eastAsia="inter" w:cs="inter"/>
          <w:color w:val="000000"/>
        </w:rPr>
        <w:t xml:space="preserve"> (2007) exemplifies the covert strategy. The film centers on a lesbian character, Rima, whose sexuality is conveyed through connotative homosexuality—her tomboyish dress, refusal of feminine conventions, and erotic (but non-explicit) exchanges of gazes with a female client in the salon's private treatment room. Labaki has stated: "I do not think you can get anywhere by shocking people. It is a bad way to communicate." This approach enabled </w:t>
      </w:r>
      <w:r>
        <w:rPr>
          <w:rFonts w:ascii="inter" w:hAnsi="inter" w:eastAsia="inter" w:cs="inter"/>
          <w:i/>
          <w:color w:val="000000"/>
        </w:rPr>
        <w:t>Caramel</w:t>
      </w:r>
      <w:r>
        <w:rPr>
          <w:rFonts w:ascii="inter" w:hAnsi="inter" w:eastAsia="inter" w:cs="inter"/>
          <w:color w:val="000000"/>
        </w:rPr>
        <w:t xml:space="preserve"> to become "the financially most successful Lebanese film ever," while receiving positive international recognition. The trade-off is that the film never utters the word "lesbian," never depicts explicit intimacy, and ultimately frames queerness as one issue among many women's issues rather than as a distinct political and sexual identity.</w:t>
      </w:r>
      <w:bookmarkStart w:id="24" w:name="fnref14"/>
      <w:bookmarkEnd w:id="24"/>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25" w:name="fnref9_6"/>
      <w:bookmarkEnd w:id="25"/>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516F4523">
      <w:pPr>
        <w:spacing w:after="210" w:line="360" w:lineRule="auto"/>
      </w:pPr>
      <w:r>
        <w:rPr>
          <w:rFonts w:ascii="inter" w:hAnsi="inter" w:eastAsia="inter" w:cs="inter"/>
          <w:b/>
          <w:color w:val="000000"/>
        </w:rPr>
        <w:t>Overt Representation:</w:t>
      </w:r>
      <w:r>
        <w:rPr>
          <w:rFonts w:ascii="inter" w:hAnsi="inter" w:eastAsia="inter" w:cs="inter"/>
          <w:color w:val="000000"/>
        </w:rPr>
        <w:t xml:space="preserve"> Maryam Keshavarz's </w:t>
      </w:r>
      <w:r>
        <w:rPr>
          <w:rFonts w:ascii="inter" w:hAnsi="inter" w:eastAsia="inter" w:cs="inter"/>
          <w:i/>
          <w:color w:val="000000"/>
        </w:rPr>
        <w:t>Circumstance</w:t>
      </w:r>
      <w:r>
        <w:rPr>
          <w:rFonts w:ascii="inter" w:hAnsi="inter" w:eastAsia="inter" w:cs="inter"/>
          <w:color w:val="000000"/>
        </w:rPr>
        <w:t xml:space="preserve"> (2011) and Maysaloun Hamoud's </w:t>
      </w:r>
      <w:r>
        <w:rPr>
          <w:rFonts w:ascii="inter" w:hAnsi="inter" w:eastAsia="inter" w:cs="inter"/>
          <w:i/>
          <w:color w:val="000000"/>
        </w:rPr>
        <w:t>In Between</w:t>
      </w:r>
      <w:r>
        <w:rPr>
          <w:rFonts w:ascii="inter" w:hAnsi="inter" w:eastAsia="inter" w:cs="inter"/>
          <w:color w:val="000000"/>
        </w:rPr>
        <w:t xml:space="preserve"> (2016) pursue the opposite strategy. </w:t>
      </w:r>
      <w:r>
        <w:rPr>
          <w:rFonts w:ascii="inter" w:hAnsi="inter" w:eastAsia="inter" w:cs="inter"/>
          <w:i/>
          <w:color w:val="000000"/>
        </w:rPr>
        <w:t>Circumstance</w:t>
      </w:r>
      <w:r>
        <w:rPr>
          <w:rFonts w:ascii="inter" w:hAnsi="inter" w:eastAsia="inter" w:cs="inter"/>
          <w:color w:val="000000"/>
        </w:rPr>
        <w:t xml:space="preserve"> depicts explicit lovemaking between teenage girls (Atafeh and Shireen) to the ironic soundtrack of the Islamic prayer </w:t>
      </w:r>
      <w:r>
        <w:rPr>
          <w:rFonts w:ascii="inter" w:hAnsi="inter" w:eastAsia="inter" w:cs="inter"/>
          <w:i/>
          <w:color w:val="000000"/>
        </w:rPr>
        <w:t>adhan</w:t>
      </w:r>
      <w:r>
        <w:rPr>
          <w:rFonts w:ascii="inter" w:hAnsi="inter" w:eastAsia="inter" w:cs="inter"/>
          <w:color w:val="000000"/>
        </w:rPr>
        <w:t xml:space="preserve">—a provocative choice that signals rebellion against what Keshavarz regards as "homophobic Islam." The film was banned throughout the Middle East and Iran but won the Audience Award at the 2011 Sundance Film Festival. </w:t>
      </w:r>
      <w:r>
        <w:rPr>
          <w:rFonts w:ascii="inter" w:hAnsi="inter" w:eastAsia="inter" w:cs="inter"/>
          <w:i/>
          <w:color w:val="000000"/>
        </w:rPr>
        <w:t>In Between</w:t>
      </w:r>
      <w:r>
        <w:rPr>
          <w:rFonts w:ascii="inter" w:hAnsi="inter" w:eastAsia="inter" w:cs="inter"/>
          <w:color w:val="000000"/>
        </w:rPr>
        <w:t xml:space="preserve"> similarly depicts lesbian intimacy in broad daylight (defying the stereotype that queer relations must be hidden) and uses the English word "lesbian" explicitly, as well as the smoking motif to signal feminist liberation.</w:t>
      </w:r>
      <w:bookmarkStart w:id="26" w:name="fnref9_7"/>
      <w:bookmarkEnd w:id="26"/>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7AB3A7CF">
      <w:pPr>
        <w:spacing w:after="210" w:line="360" w:lineRule="auto"/>
      </w:pPr>
      <w:r>
        <w:rPr>
          <w:rFonts w:ascii="inter" w:hAnsi="inter" w:eastAsia="inter" w:cs="inter"/>
          <w:color w:val="000000"/>
        </w:rPr>
        <w:t>Keshavarz's solution to censorship—filming in Lebanon rather than Iran, submitting a false script to authorities, and distributing internationally before domestic release—represents a third strategic possibility: geographic displacement coupled with festival circulation.</w:t>
      </w:r>
      <w:bookmarkStart w:id="27" w:name="fnref10_2"/>
      <w:bookmarkEnd w:id="27"/>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28" w:name="fnref9_8"/>
      <w:bookmarkEnd w:id="28"/>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17AE9CB5">
      <w:pPr>
        <w:spacing w:after="210" w:line="360" w:lineRule="auto"/>
      </w:pPr>
      <w:r>
        <w:rPr>
          <w:rFonts w:ascii="inter" w:hAnsi="inter" w:eastAsia="inter" w:cs="inter"/>
          <w:b/>
          <w:color w:val="000000"/>
        </w:rPr>
        <w:t>Trans-Regional Production:</w:t>
      </w:r>
      <w:r>
        <w:rPr>
          <w:rFonts w:ascii="inter" w:hAnsi="inter" w:eastAsia="inter" w:cs="inter"/>
          <w:color w:val="000000"/>
        </w:rPr>
        <w:t xml:space="preserve"> Director Abdulla Al-Kaabi (</w:t>
      </w:r>
      <w:r>
        <w:rPr>
          <w:rFonts w:ascii="inter" w:hAnsi="inter" w:eastAsia="inter" w:cs="inter"/>
          <w:i/>
          <w:color w:val="000000"/>
        </w:rPr>
        <w:t>Only Men Go to the Grave</w:t>
      </w:r>
      <w:r>
        <w:rPr>
          <w:rFonts w:ascii="inter" w:hAnsi="inter" w:eastAsia="inter" w:cs="inter"/>
          <w:color w:val="000000"/>
        </w:rPr>
        <w:t>, 2016) adopted yet another strategy. As an Emirati filmmaker addressing gender identity and same-sex love in a Gulf context, he filmed in Iran using Iranian and Iraqi actors, leveraging the country's more vibrant (if still constrained) film industry. His approach emphasizes what he calls "good taste"—avoiding gratuitous scenes while refusing to obscure the reality of gender non-conformity and same-sex desire. The resulting film passed Dubai censors (unusual for the UAE in depicting such themes) and won Best Emirati Film at the 2016 Dubai International Film Festival.</w:t>
      </w:r>
      <w:bookmarkStart w:id="29" w:name="fnref11_1"/>
      <w:bookmarkEnd w:id="29"/>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bookmarkStart w:id="30" w:name="fnref15"/>
      <w:bookmarkEnd w:id="30"/>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5ABF3088">
      <w:pPr>
        <w:spacing w:before="315" w:after="105" w:line="360" w:lineRule="auto"/>
        <w:ind w:left="-30"/>
        <w:jc w:val="left"/>
      </w:pPr>
      <w:bookmarkStart w:id="31" w:name="c_cultural_context_patriarchy_fam_e57a3c"/>
      <w:r>
        <w:rPr>
          <w:rFonts w:ascii="inter" w:hAnsi="inter" w:eastAsia="inter" w:cs="inter"/>
          <w:b/>
          <w:color w:val="000000"/>
          <w:sz w:val="24"/>
        </w:rPr>
        <w:t>C. Cultural Context: Patriarchy, Family Control, and Economic Marginalization</w:t>
      </w:r>
      <w:bookmarkEnd w:id="31"/>
    </w:p>
    <w:p w14:paraId="21AC5BF8">
      <w:pPr>
        <w:spacing w:after="210" w:line="360" w:lineRule="auto"/>
      </w:pPr>
      <w:r>
        <w:rPr>
          <w:rFonts w:ascii="inter" w:hAnsi="inter" w:eastAsia="inter" w:cs="inter"/>
          <w:color w:val="000000"/>
        </w:rPr>
        <w:t>Beyond formal legal structures, transgender and queer individuals in the MENA region navigate deeply entrenched patriarchal family systems, religious moral frameworks, and economic precarity. The ethnographic and sociological literature documents:</w:t>
      </w:r>
    </w:p>
    <w:p w14:paraId="79CAF4B3">
      <w:pPr>
        <w:spacing w:after="210" w:line="360" w:lineRule="auto"/>
      </w:pPr>
      <w:r>
        <w:rPr>
          <w:rFonts w:ascii="inter" w:hAnsi="inter" w:eastAsia="inter" w:cs="inter"/>
          <w:b/>
          <w:color w:val="000000"/>
        </w:rPr>
        <w:t>Family as Site of Control:</w:t>
      </w:r>
      <w:r>
        <w:rPr>
          <w:rFonts w:ascii="inter" w:hAnsi="inter" w:eastAsia="inter" w:cs="inter"/>
          <w:color w:val="000000"/>
        </w:rPr>
        <w:t xml:space="preserve"> Lebanese society, as depicted in both </w:t>
      </w:r>
      <w:r>
        <w:rPr>
          <w:rFonts w:ascii="inter" w:hAnsi="inter" w:eastAsia="inter" w:cs="inter"/>
          <w:i/>
          <w:color w:val="000000"/>
        </w:rPr>
        <w:t>Caramel</w:t>
      </w:r>
      <w:r>
        <w:rPr>
          <w:rFonts w:ascii="inter" w:hAnsi="inter" w:eastAsia="inter" w:cs="inter"/>
          <w:color w:val="000000"/>
        </w:rPr>
        <w:t xml:space="preserve"> and </w:t>
      </w:r>
      <w:r>
        <w:rPr>
          <w:rFonts w:ascii="inter" w:hAnsi="inter" w:eastAsia="inter" w:cs="inter"/>
          <w:i/>
          <w:color w:val="000000"/>
        </w:rPr>
        <w:t>The Blue Caftan</w:t>
      </w:r>
      <w:r>
        <w:rPr>
          <w:rFonts w:ascii="inter" w:hAnsi="inter" w:eastAsia="inter" w:cs="inter"/>
          <w:color w:val="000000"/>
        </w:rPr>
        <w:t xml:space="preserve">, is "very much based on family ties and religious traditions," where "most gays face a simple but painful choice: admit your sexuality and be ostracized from your family or continue leading a double life." Similarly, in </w:t>
      </w:r>
      <w:r>
        <w:rPr>
          <w:rFonts w:ascii="inter" w:hAnsi="inter" w:eastAsia="inter" w:cs="inter"/>
          <w:i/>
          <w:color w:val="000000"/>
        </w:rPr>
        <w:t>Joyland</w:t>
      </w:r>
      <w:r>
        <w:rPr>
          <w:rFonts w:ascii="inter" w:hAnsi="inter" w:eastAsia="inter" w:cs="inter"/>
          <w:color w:val="000000"/>
        </w:rPr>
        <w:t>, Haider's family patriarch demands the production of grandsons; Haider's participation in erotic dance is discovered and becomes a site of familial shame and violence.</w:t>
      </w:r>
      <w:bookmarkStart w:id="32" w:name="fnref16"/>
      <w:bookmarkEnd w:id="32"/>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bookmarkStart w:id="33" w:name="fnref17"/>
      <w:bookmarkEnd w:id="33"/>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bookmarkStart w:id="34" w:name="fnref14_1"/>
      <w:bookmarkEnd w:id="34"/>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35" w:name="fnref9_9"/>
      <w:bookmarkEnd w:id="35"/>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1388761E">
      <w:pPr>
        <w:spacing w:after="210" w:line="360" w:lineRule="auto"/>
      </w:pPr>
      <w:r>
        <w:rPr>
          <w:rFonts w:ascii="inter" w:hAnsi="inter" w:eastAsia="inter" w:cs="inter"/>
          <w:b/>
          <w:color w:val="000000"/>
        </w:rPr>
        <w:t>Economic Marginalization and Sex Work:</w:t>
      </w:r>
      <w:r>
        <w:rPr>
          <w:rFonts w:ascii="inter" w:hAnsi="inter" w:eastAsia="inter" w:cs="inter"/>
          <w:color w:val="000000"/>
        </w:rPr>
        <w:t xml:space="preserve"> Transgender women in South Asia and the broader MENA region frequently lack access to formal employment due to legal discrimination and social stigma. In </w:t>
      </w:r>
      <w:r>
        <w:rPr>
          <w:rFonts w:ascii="inter" w:hAnsi="inter" w:eastAsia="inter" w:cs="inter"/>
          <w:i/>
          <w:color w:val="000000"/>
        </w:rPr>
        <w:t>Joyland</w:t>
      </w:r>
      <w:r>
        <w:rPr>
          <w:rFonts w:ascii="inter" w:hAnsi="inter" w:eastAsia="inter" w:cs="inter"/>
          <w:color w:val="000000"/>
        </w:rPr>
        <w:t xml:space="preserve">, Biba works as an erotic dancer—one of the few occupations available to openly transgender women in Pakistan. In the 1993 documentary </w:t>
      </w:r>
      <w:r>
        <w:rPr>
          <w:rFonts w:ascii="inter" w:hAnsi="inter" w:eastAsia="inter" w:cs="inter"/>
          <w:i/>
          <w:color w:val="000000"/>
        </w:rPr>
        <w:t>Cinema Fouad</w:t>
      </w:r>
      <w:r>
        <w:rPr>
          <w:rFonts w:ascii="inter" w:hAnsi="inter" w:eastAsia="inter" w:cs="inter"/>
          <w:color w:val="000000"/>
        </w:rPr>
        <w:t>, Khaled El Kurdi, a Syrian trans woman displaced by war, survives through domestic work and belly dancing while aspiring to gender-affirming surgery she cannot otherwise afford. This economic reality—transgender identity as entangled with survival sex work and precarious labor—becomes a central ethical focus in the films examined here.</w:t>
      </w:r>
      <w:bookmarkStart w:id="36" w:name="fnref18"/>
      <w:bookmarkEnd w:id="36"/>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bookmarkStart w:id="37" w:name="fnref19"/>
      <w:bookmarkEnd w:id="37"/>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bookmarkStart w:id="38" w:name="fnref6_1"/>
      <w:bookmarkEnd w:id="38"/>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39" w:name="fnref16_1"/>
      <w:bookmarkEnd w:id="39"/>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p>
    <w:p w14:paraId="0A738C47">
      <w:pPr>
        <w:spacing w:after="210" w:line="360" w:lineRule="auto"/>
      </w:pPr>
      <w:r>
        <w:rPr>
          <w:rFonts w:ascii="inter" w:hAnsi="inter" w:eastAsia="inter" w:cs="inter"/>
          <w:b/>
          <w:color w:val="000000"/>
        </w:rPr>
        <w:t>Religious Framing of Queerness:</w:t>
      </w:r>
      <w:r>
        <w:rPr>
          <w:rFonts w:ascii="inter" w:hAnsi="inter" w:eastAsia="inter" w:cs="inter"/>
          <w:color w:val="000000"/>
        </w:rPr>
        <w:t xml:space="preserve"> Across the MENA region, same-sex relations and gender non-conformity are systematically framed through religious discourse as un-Islamic, unnatural, and imported from the West. The Lebanese MP and critic quoted in news reports regarding </w:t>
      </w:r>
      <w:r>
        <w:rPr>
          <w:rFonts w:ascii="inter" w:hAnsi="inter" w:eastAsia="inter" w:cs="inter"/>
          <w:i/>
          <w:color w:val="000000"/>
        </w:rPr>
        <w:t>The Blue Caftan</w:t>
      </w:r>
      <w:r>
        <w:rPr>
          <w:rFonts w:ascii="inter" w:hAnsi="inter" w:eastAsia="inter" w:cs="inter"/>
          <w:color w:val="000000"/>
        </w:rPr>
        <w:t xml:space="preserve"> invoked "Islamic values" to oppose the film's sympathetic portrayal of a gay marriage. Yet, as scholars and filmmakers note, this invocation is selective: pre-modern Islamic texts and historical practice contained more complex understandings of gender and sexuality than contemporary Wahhabist and fundamentalist interpretations allow.</w:t>
      </w:r>
      <w:bookmarkStart w:id="40" w:name="fnref8_1"/>
      <w:bookmarkEnd w:id="40"/>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41" w:name="fnref20"/>
      <w:bookmarkEnd w:id="41"/>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bookmarkStart w:id="42" w:name="fnref3_2"/>
      <w:bookmarkEnd w:id="42"/>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43" w:name="fnref1_7"/>
      <w:bookmarkEnd w:id="43"/>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44" w:name="fnref9_10"/>
      <w:bookmarkEnd w:id="44"/>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07C2D027">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19FC373E">
      <w:pPr>
        <w:spacing w:before="315" w:after="105" w:line="360" w:lineRule="auto"/>
        <w:ind w:left="-30"/>
        <w:jc w:val="left"/>
      </w:pPr>
      <w:bookmarkStart w:id="45" w:name="iii_theoretical_frameworks_film_t_8810fc"/>
      <w:r>
        <w:rPr>
          <w:rFonts w:ascii="inter" w:hAnsi="inter" w:eastAsia="inter" w:cs="inter"/>
          <w:b/>
          <w:color w:val="000000"/>
          <w:sz w:val="24"/>
        </w:rPr>
        <w:t>III. Theoretical Frameworks: Film Theory, Gender Studies, and Postcolonial Perspectives</w:t>
      </w:r>
      <w:bookmarkEnd w:id="45"/>
    </w:p>
    <w:p w14:paraId="5DAB2547">
      <w:pPr>
        <w:spacing w:before="315" w:after="105" w:line="360" w:lineRule="auto"/>
        <w:ind w:left="-30"/>
        <w:jc w:val="left"/>
      </w:pPr>
      <w:bookmarkStart w:id="46" w:name="a_gender_performativity_and_the_s_89cd77"/>
      <w:r>
        <w:rPr>
          <w:rFonts w:ascii="inter" w:hAnsi="inter" w:eastAsia="inter" w:cs="inter"/>
          <w:b/>
          <w:color w:val="000000"/>
          <w:sz w:val="24"/>
        </w:rPr>
        <w:t>A. Gender Performativity and the Semiotics of Clothing</w:t>
      </w:r>
      <w:bookmarkEnd w:id="46"/>
    </w:p>
    <w:p w14:paraId="637EF823">
      <w:pPr>
        <w:spacing w:after="210" w:line="360" w:lineRule="auto"/>
      </w:pPr>
      <w:r>
        <w:rPr>
          <w:rFonts w:ascii="inter" w:hAnsi="inter" w:eastAsia="inter" w:cs="inter"/>
          <w:color w:val="000000"/>
        </w:rPr>
        <w:t>Judith Butler's theory of gender performativity provides crucial analytical leverage for understanding transgender representation in cinema. Butler argues that gender is not an expression of an inner essence but rather "a performative accomplishment compelled by social sanction and taboo." Gender identity is constituted through "iterative" acts—repeated, stylized bodily gestures, movements, speech patterns, and, significantly, sartorial choices. Importantly, Butler emphasizes that these performances are not freely chosen; they are constrained by what she calls the "heterosexual matrix" and compulsory heterosexuality.</w:t>
      </w:r>
      <w:bookmarkStart w:id="47" w:name="fnref21"/>
      <w:bookmarkEnd w:id="47"/>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bookmarkStart w:id="48" w:name="fnref22"/>
      <w:bookmarkEnd w:id="48"/>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p>
    <w:p w14:paraId="4D9DBFD9">
      <w:pPr>
        <w:spacing w:after="210" w:line="360" w:lineRule="auto"/>
      </w:pPr>
      <w:r>
        <w:rPr>
          <w:rFonts w:ascii="inter" w:hAnsi="inter" w:eastAsia="inter" w:cs="inter"/>
          <w:color w:val="000000"/>
        </w:rPr>
        <w:t xml:space="preserve">In film, this performativity becomes visible precisely through costume, color, gesture, and spatial positioning. A recent study of </w:t>
      </w:r>
      <w:r>
        <w:rPr>
          <w:rFonts w:ascii="inter" w:hAnsi="inter" w:eastAsia="inter" w:cs="inter"/>
          <w:i/>
          <w:color w:val="000000"/>
        </w:rPr>
        <w:t>Joyland</w:t>
      </w:r>
      <w:r>
        <w:rPr>
          <w:rFonts w:ascii="inter" w:hAnsi="inter" w:eastAsia="inter" w:cs="inter"/>
          <w:color w:val="000000"/>
        </w:rPr>
        <w:t xml:space="preserve"> employs Roland Barthes's semiotic analysis to demonstrate how Biba's clothing communicates her subjectivity across the film's narrative arc: the glittering, vibrant costumes of her stage performances (orange dress, theatrical makeup) signal confidence and visibility, while her off-stage costume—a simple </w:t>
      </w:r>
      <w:r>
        <w:rPr>
          <w:rFonts w:ascii="inter" w:hAnsi="inter" w:eastAsia="inter" w:cs="inter"/>
          <w:i/>
          <w:color w:val="000000"/>
        </w:rPr>
        <w:t>shalwar kameez</w:t>
      </w:r>
      <w:r>
        <w:rPr>
          <w:rFonts w:ascii="inter" w:hAnsi="inter" w:eastAsia="inter" w:cs="inter"/>
          <w:color w:val="000000"/>
        </w:rPr>
        <w:t xml:space="preserve"> and </w:t>
      </w:r>
      <w:r>
        <w:rPr>
          <w:rFonts w:ascii="inter" w:hAnsi="inter" w:eastAsia="inter" w:cs="inter"/>
          <w:i/>
          <w:color w:val="000000"/>
        </w:rPr>
        <w:t>chunri</w:t>
      </w:r>
      <w:r>
        <w:rPr>
          <w:rFonts w:ascii="inter" w:hAnsi="inter" w:eastAsia="inter" w:cs="inter"/>
          <w:color w:val="000000"/>
        </w:rPr>
        <w:t>—suggests "modesty and emotional depth." The cinematic contrast between these two registers encodes what the study terms a "duality": Biba is "simultaneously visible and vulnerable," hyper-visible in performance yet constrained in everyday life. The film's use of color—deep blues and ambers on the motorcycle scene (freedom and melancholy), beige and earthy tones in intimate domestic moments, cold blue in the final scenes—maps emotional and social states onto the visible spectrum.</w:t>
      </w:r>
      <w:bookmarkStart w:id="49" w:name="fnref5_1"/>
      <w:bookmarkEnd w:id="49"/>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56A94E56">
      <w:pPr>
        <w:spacing w:after="210" w:line="360" w:lineRule="auto"/>
      </w:pPr>
      <w:r>
        <w:rPr>
          <w:rFonts w:ascii="inter" w:hAnsi="inter" w:eastAsia="inter" w:cs="inter"/>
          <w:color w:val="000000"/>
        </w:rPr>
        <w:t xml:space="preserve">This visual semiotics of gender does not simply illustrate Butler's theory; it demonstrates cinema's capacity to render performativity visible precisely where it might otherwise remain naturalized. When Jaber in </w:t>
      </w:r>
      <w:r>
        <w:rPr>
          <w:rFonts w:ascii="inter" w:hAnsi="inter" w:eastAsia="inter" w:cs="inter"/>
          <w:i/>
          <w:color w:val="000000"/>
        </w:rPr>
        <w:t>Only Men Go to the Grave</w:t>
      </w:r>
      <w:r>
        <w:rPr>
          <w:rFonts w:ascii="inter" w:hAnsi="inter" w:eastAsia="inter" w:cs="inter"/>
          <w:color w:val="000000"/>
        </w:rPr>
        <w:t xml:space="preserve"> dons makeup, wig, jewelry, and a dress—the film's "boldest scene"—this act is not a revelation of an interior identity but a cinematic performance of the very process Butler theorizes: gender as a constituted, iterative accomplishment.</w:t>
      </w:r>
      <w:bookmarkStart w:id="50" w:name="fnref3_3"/>
      <w:bookmarkEnd w:id="50"/>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32E0AC2D">
      <w:pPr>
        <w:spacing w:before="315" w:after="105" w:line="360" w:lineRule="auto"/>
        <w:ind w:left="-30"/>
        <w:jc w:val="left"/>
      </w:pPr>
      <w:bookmarkStart w:id="51" w:name="b_the_gaze_and_queer_spectatorship"/>
      <w:r>
        <w:rPr>
          <w:rFonts w:ascii="inter" w:hAnsi="inter" w:eastAsia="inter" w:cs="inter"/>
          <w:b/>
          <w:color w:val="000000"/>
          <w:sz w:val="24"/>
        </w:rPr>
        <w:t>B. The Gaze and Queer Spectatorship</w:t>
      </w:r>
      <w:bookmarkEnd w:id="51"/>
    </w:p>
    <w:p w14:paraId="7E849076">
      <w:pPr>
        <w:spacing w:after="210" w:line="360" w:lineRule="auto"/>
      </w:pPr>
      <w:r>
        <w:rPr>
          <w:rFonts w:ascii="inter" w:hAnsi="inter" w:eastAsia="inter" w:cs="inter"/>
          <w:color w:val="000000"/>
        </w:rPr>
        <w:t>Laura Mulvey's foundational 1975 essay "Visual Pleasure and Narrative Cinema" argues that classical Hollywood cinema is structured around a patriarchal "male gaze"—a three-way coordination of the camera's look, male characters' looks, and the audience's assumed masculine perspective, all serving to render women as objects of erotic consumption. Mulvey contended that this regime of looking is so naturalized that even female spectators are interpellated into adopting a masculine viewing position, experiencing the film from a perspective that objectifies their own gender.</w:t>
      </w:r>
      <w:bookmarkStart w:id="52" w:name="fnref23"/>
      <w:bookmarkEnd w:id="52"/>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bookmarkStart w:id="53" w:name="fnref24"/>
      <w:bookmarkEnd w:id="53"/>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bookmarkStart w:id="54" w:name="fnref25"/>
      <w:bookmarkEnd w:id="54"/>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p>
    <w:p w14:paraId="4E1A1D4C">
      <w:pPr>
        <w:spacing w:after="210" w:line="360" w:lineRule="auto"/>
      </w:pPr>
      <w:r>
        <w:rPr>
          <w:rFonts w:ascii="inter" w:hAnsi="inter" w:eastAsia="inter" w:cs="inter"/>
          <w:color w:val="000000"/>
        </w:rPr>
        <w:t xml:space="preserve">However, subsequent feminist film theorists, particularly Jackie Stacey, have argued for the existence of a "homoerotic gaze" and "lesbian spectatorship" that Mulvey's binary framework overlooks. Stacey notes that "female spectators, like male spectators, are able to make multiple identifications across gender boundaries." In </w:t>
      </w:r>
      <w:r>
        <w:rPr>
          <w:rFonts w:ascii="inter" w:hAnsi="inter" w:eastAsia="inter" w:cs="inter"/>
          <w:i/>
          <w:color w:val="000000"/>
        </w:rPr>
        <w:t>Caramel</w:t>
      </w:r>
      <w:r>
        <w:rPr>
          <w:rFonts w:ascii="inter" w:hAnsi="inter" w:eastAsia="inter" w:cs="inter"/>
          <w:color w:val="000000"/>
        </w:rPr>
        <w:t>, the scene of Rima shampooing Siham's hair in the salon's private treatment room enacts precisely this homoerotic spectatorship. The cinematography—tight close-ups, slow pacing, soft focus on Siham's pleasure—invites the viewer into an erotic identification that is neither classically masculine nor heterosexual. Scholar Luma Balaa argues that Labaki's framing introduces a "lesbian look" or "lesbian gaze," one that cinema historically has neglected when directed by male filmmakers.</w:t>
      </w:r>
      <w:bookmarkStart w:id="55" w:name="fnref9_11"/>
      <w:bookmarkEnd w:id="55"/>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56" w:name="fnref14_2"/>
      <w:bookmarkEnd w:id="56"/>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55C76731">
      <w:pPr>
        <w:spacing w:after="210" w:line="360" w:lineRule="auto"/>
      </w:pPr>
      <w:r>
        <w:rPr>
          <w:rFonts w:ascii="inter" w:hAnsi="inter" w:eastAsia="inter" w:cs="inter"/>
          <w:color w:val="000000"/>
        </w:rPr>
        <w:t xml:space="preserve">Similarly, in </w:t>
      </w:r>
      <w:r>
        <w:rPr>
          <w:rFonts w:ascii="inter" w:hAnsi="inter" w:eastAsia="inter" w:cs="inter"/>
          <w:i/>
          <w:color w:val="000000"/>
        </w:rPr>
        <w:t>In Between</w:t>
      </w:r>
      <w:r>
        <w:rPr>
          <w:rFonts w:ascii="inter" w:hAnsi="inter" w:eastAsia="inter" w:cs="inter"/>
          <w:color w:val="000000"/>
        </w:rPr>
        <w:t>, the daylight kiss between Salma and Dunia (shot with a wide angle to reveal "power dynamics") explicitly rejects what the scholars term the "darkness motif"—the assumption that queer desire must remain hidden, relegated to nighttime or shadowed spaces. By depicting lesbian intimacy in broad daylight and open public space (the bar, Dunia's apartment), Hamoud's cinema asserts a counter-visuality that challenges the compulsory concealment imposed by patriarchal and homophobic societies.</w:t>
      </w:r>
      <w:bookmarkStart w:id="57" w:name="fnref9_12"/>
      <w:bookmarkEnd w:id="57"/>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458EFB8D">
      <w:pPr>
        <w:spacing w:before="315" w:after="105" w:line="360" w:lineRule="auto"/>
        <w:ind w:left="-30"/>
        <w:jc w:val="left"/>
      </w:pPr>
      <w:bookmarkStart w:id="58" w:name="c_intersectionality_and_transnati_62b167"/>
      <w:r>
        <w:rPr>
          <w:rFonts w:ascii="inter" w:hAnsi="inter" w:eastAsia="inter" w:cs="inter"/>
          <w:b/>
          <w:color w:val="000000"/>
          <w:sz w:val="24"/>
        </w:rPr>
        <w:t>C. Intersectionality and Transnational Feminist Film Theory</w:t>
      </w:r>
      <w:bookmarkEnd w:id="58"/>
    </w:p>
    <w:p w14:paraId="4CE7D123">
      <w:pPr>
        <w:spacing w:after="210" w:line="360" w:lineRule="auto"/>
      </w:pPr>
      <w:r>
        <w:rPr>
          <w:rFonts w:ascii="inter" w:hAnsi="inter" w:eastAsia="inter" w:cs="inter"/>
          <w:color w:val="000000"/>
        </w:rPr>
        <w:t>Kimberlé Crenshaw's framework of intersectionality—the concept that oppressions based on gender, race, class, and sexuality intersect and compound rather than adding linearly—has become essential to feminist film studies, particularly in analyzing films from the Global South. Transnational feminist film theory extends this framework to account for how colonialism, imperialism, postcolonial state formation, and global capital shape the availability and meanings of representations.</w:t>
      </w:r>
      <w:bookmarkStart w:id="59" w:name="fnref26"/>
      <w:bookmarkEnd w:id="59"/>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bookmarkStart w:id="60" w:name="fnref27"/>
      <w:bookmarkEnd w:id="60"/>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bookmarkStart w:id="61" w:name="fnref28"/>
      <w:bookmarkEnd w:id="61"/>
      <w:r>
        <w:fldChar w:fldCharType="begin"/>
      </w:r>
      <w:r>
        <w:instrText xml:space="preserve"> HYPERLINK \l "fn28" \h </w:instrText>
      </w:r>
      <w:r>
        <w:fldChar w:fldCharType="separate"/>
      </w:r>
      <w:r>
        <w:rPr>
          <w:rFonts w:ascii="inter" w:hAnsi="inter" w:eastAsia="inter" w:cs="inter"/>
          <w:color w:val="000000"/>
          <w:u w:val="single"/>
          <w:vertAlign w:val="superscript"/>
        </w:rPr>
        <w:t>[28]</w:t>
      </w:r>
      <w:r>
        <w:rPr>
          <w:rFonts w:ascii="inter" w:hAnsi="inter" w:eastAsia="inter" w:cs="inter"/>
          <w:color w:val="000000"/>
          <w:u w:val="single"/>
          <w:vertAlign w:val="superscript"/>
        </w:rPr>
        <w:fldChar w:fldCharType="end"/>
      </w:r>
    </w:p>
    <w:p w14:paraId="7B3CECEB">
      <w:pPr>
        <w:spacing w:after="210" w:line="360" w:lineRule="auto"/>
      </w:pPr>
      <w:r>
        <w:rPr>
          <w:rFonts w:ascii="inter" w:hAnsi="inter" w:eastAsia="inter" w:cs="inter"/>
          <w:color w:val="000000"/>
        </w:rPr>
        <w:t xml:space="preserve">In the context of MENA cinema, intersectionality requires attending to how gender oppression (which affects all women in patriarchal societies) intersects with religious marginalization, national/ethnic identity, economic precarity, and sexuality/gender non-conformity to create distinct subject positions. For instance, in </w:t>
      </w:r>
      <w:r>
        <w:rPr>
          <w:rFonts w:ascii="inter" w:hAnsi="inter" w:eastAsia="inter" w:cs="inter"/>
          <w:i/>
          <w:color w:val="000000"/>
        </w:rPr>
        <w:t>Joyland</w:t>
      </w:r>
      <w:r>
        <w:rPr>
          <w:rFonts w:ascii="inter" w:hAnsi="inter" w:eastAsia="inter" w:cs="inter"/>
          <w:color w:val="000000"/>
        </w:rPr>
        <w:t xml:space="preserve">, Haider's wife Mumtaz faces patriarchal control (pressured to produce sons, confined to domestic space), but her oppression is distinct from Biba's: Mumtaz has social legitimacy as a wife and mother, whereas Biba's trans identity denies her even this constrained form of recognition. The film's power lies partly in showing how patriarchy harms </w:t>
      </w:r>
      <w:r>
        <w:rPr>
          <w:rFonts w:ascii="inter" w:hAnsi="inter" w:eastAsia="inter" w:cs="inter"/>
          <w:i/>
          <w:color w:val="000000"/>
        </w:rPr>
        <w:t>differently</w:t>
      </w:r>
      <w:r>
        <w:rPr>
          <w:rFonts w:ascii="inter" w:hAnsi="inter" w:eastAsia="inter" w:cs="inter"/>
          <w:color w:val="000000"/>
        </w:rPr>
        <w:t xml:space="preserve"> positioned subjects—not erasing difference but refusing to collapse all women's experiences into a single category.</w:t>
      </w:r>
      <w:bookmarkStart w:id="62" w:name="fnref16_2"/>
      <w:bookmarkEnd w:id="62"/>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bookmarkStart w:id="63" w:name="fnref17_1"/>
      <w:bookmarkEnd w:id="63"/>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7F080865">
      <w:pPr>
        <w:spacing w:after="210" w:line="360" w:lineRule="auto"/>
      </w:pPr>
      <w:r>
        <w:rPr>
          <w:rFonts w:ascii="inter" w:hAnsi="inter" w:eastAsia="inter" w:cs="inter"/>
          <w:color w:val="000000"/>
        </w:rPr>
        <w:t xml:space="preserve">Similarly, </w:t>
      </w:r>
      <w:r>
        <w:rPr>
          <w:rFonts w:ascii="inter" w:hAnsi="inter" w:eastAsia="inter" w:cs="inter"/>
          <w:i/>
          <w:color w:val="000000"/>
        </w:rPr>
        <w:t>In Between</w:t>
      </w:r>
      <w:r>
        <w:rPr>
          <w:rFonts w:ascii="inter" w:hAnsi="inter" w:eastAsia="inter" w:cs="inter"/>
          <w:color w:val="000000"/>
        </w:rPr>
        <w:t xml:space="preserve"> foregrounds what scholar Dina Georgis calls the "triple marginalization" of queer Palestinian women: they face homophobia from within Palestinian culture, occupation and discrimination from Israeli state forces, and patriarchal control from their families. The concept of "pinkwashing"—Israel's deployment of its (limited) LGBTQ+ rights as a cover for Palestinian dispossession—becomes visible only through an intersectional postcolonial lens.</w:t>
      </w:r>
      <w:bookmarkStart w:id="64" w:name="fnref10_3"/>
      <w:bookmarkEnd w:id="64"/>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65" w:name="fnref9_13"/>
      <w:bookmarkEnd w:id="65"/>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446521F2">
      <w:pPr>
        <w:spacing w:before="315" w:after="105" w:line="360" w:lineRule="auto"/>
        <w:ind w:left="-30"/>
        <w:jc w:val="left"/>
      </w:pPr>
      <w:bookmarkStart w:id="66" w:name="d_regimes_of_visibility_and_the_c_1ca956"/>
      <w:r>
        <w:rPr>
          <w:rFonts w:ascii="inter" w:hAnsi="inter" w:eastAsia="inter" w:cs="inter"/>
          <w:b/>
          <w:color w:val="000000"/>
          <w:sz w:val="24"/>
        </w:rPr>
        <w:t>D. Regimes of Visibility and the Covert/Overt Spectrum</w:t>
      </w:r>
      <w:bookmarkEnd w:id="66"/>
    </w:p>
    <w:p w14:paraId="518D7D0F">
      <w:pPr>
        <w:spacing w:after="210" w:line="360" w:lineRule="auto"/>
      </w:pPr>
      <w:r>
        <w:rPr>
          <w:rFonts w:ascii="inter" w:hAnsi="inter" w:eastAsia="inter" w:cs="inter"/>
          <w:color w:val="000000"/>
        </w:rPr>
        <w:t>Scholar Michele Aaron's concept of "regimes of visibility" is crucial for understanding how MENA filmmakers negotiate representation under censorship. Rather than a simple binary of visibility/invisibility, Aaron proposes a spectrum of representational strategies, each with distinct political and aesthetic implications.</w:t>
      </w:r>
      <w:bookmarkStart w:id="67" w:name="fnref9_14"/>
      <w:bookmarkEnd w:id="67"/>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762E4140">
      <w:pPr>
        <w:spacing w:after="210" w:line="360" w:lineRule="auto"/>
      </w:pPr>
      <w:r>
        <w:rPr>
          <w:rFonts w:ascii="inter" w:hAnsi="inter" w:eastAsia="inter" w:cs="inter"/>
          <w:color w:val="000000"/>
        </w:rPr>
        <w:t xml:space="preserve">Nadine Labaki's </w:t>
      </w:r>
      <w:r>
        <w:rPr>
          <w:rFonts w:ascii="inter" w:hAnsi="inter" w:eastAsia="inter" w:cs="inter"/>
          <w:i/>
          <w:color w:val="000000"/>
        </w:rPr>
        <w:t>Caramel</w:t>
      </w:r>
      <w:r>
        <w:rPr>
          <w:rFonts w:ascii="inter" w:hAnsi="inter" w:eastAsia="inter" w:cs="inter"/>
          <w:color w:val="000000"/>
        </w:rPr>
        <w:t xml:space="preserve"> operates within what might be termed a regime of </w:t>
      </w:r>
      <w:r>
        <w:rPr>
          <w:rFonts w:ascii="inter" w:hAnsi="inter" w:eastAsia="inter" w:cs="inter"/>
          <w:i/>
          <w:color w:val="000000"/>
        </w:rPr>
        <w:t>coded visibility</w:t>
      </w:r>
      <w:r>
        <w:rPr>
          <w:rFonts w:ascii="inter" w:hAnsi="inter" w:eastAsia="inter" w:cs="inter"/>
          <w:color w:val="000000"/>
        </w:rPr>
        <w:t>: queerness is visible to those educated in film semiotics and queer reading practices (the exchanged gazes, the tomboyish appearance, the final haircut as liberation) but remains deniable to conservative audiences or censors who can claim to have seen merely a film about women and friendship. This "plausible deniability" enabled theatrical distribution in Lebanon and the Arab world.</w:t>
      </w:r>
      <w:bookmarkStart w:id="68" w:name="fnref9_15"/>
      <w:bookmarkEnd w:id="68"/>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63733814">
      <w:pPr>
        <w:spacing w:after="210" w:line="360" w:lineRule="auto"/>
      </w:pPr>
      <w:r>
        <w:rPr>
          <w:rFonts w:ascii="inter" w:hAnsi="inter" w:eastAsia="inter" w:cs="inter"/>
          <w:color w:val="000000"/>
        </w:rPr>
        <w:t xml:space="preserve">By contrast, Maryam Keshavarz and Maysaloun Hamoud pursue what might be called regimes of </w:t>
      </w:r>
      <w:r>
        <w:rPr>
          <w:rFonts w:ascii="inter" w:hAnsi="inter" w:eastAsia="inter" w:cs="inter"/>
          <w:i/>
          <w:color w:val="000000"/>
        </w:rPr>
        <w:t>militant visibility</w:t>
      </w:r>
      <w:r>
        <w:rPr>
          <w:rFonts w:ascii="inter" w:hAnsi="inter" w:eastAsia="inter" w:cs="inter"/>
          <w:color w:val="000000"/>
        </w:rPr>
        <w:t xml:space="preserve">: the word "lesbian" is spoken, intimacy is shown, religious imagery is invoked provocatively. This approach forgoes commercial viability within the region in exchange for unambiguous assertion of trans/queer existence and dignity. The cost is high—Hamoud received death threats and a </w:t>
      </w:r>
      <w:r>
        <w:rPr>
          <w:rFonts w:ascii="inter" w:hAnsi="inter" w:eastAsia="inter" w:cs="inter"/>
          <w:i/>
          <w:color w:val="000000"/>
        </w:rPr>
        <w:t>fatwa</w:t>
      </w:r>
      <w:r>
        <w:rPr>
          <w:rFonts w:ascii="inter" w:hAnsi="inter" w:eastAsia="inter" w:cs="inter"/>
          <w:color w:val="000000"/>
        </w:rPr>
        <w:t xml:space="preserve"> (unprecedented in Palestine in 70 years, according to reporting); Keshavarz cannot return to Iran.</w:t>
      </w:r>
      <w:bookmarkStart w:id="69" w:name="fnref10_4"/>
      <w:bookmarkEnd w:id="69"/>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70" w:name="fnref9_16"/>
      <w:bookmarkEnd w:id="70"/>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7D18A3BF">
      <w:pPr>
        <w:spacing w:after="210" w:line="360" w:lineRule="auto"/>
      </w:pPr>
      <w:r>
        <w:rPr>
          <w:rFonts w:ascii="inter" w:hAnsi="inter" w:eastAsia="inter" w:cs="inter"/>
          <w:color w:val="000000"/>
        </w:rPr>
        <w:t xml:space="preserve">Saim Sadiq's </w:t>
      </w:r>
      <w:r>
        <w:rPr>
          <w:rFonts w:ascii="inter" w:hAnsi="inter" w:eastAsia="inter" w:cs="inter"/>
          <w:i/>
          <w:color w:val="000000"/>
        </w:rPr>
        <w:t>Joyland</w:t>
      </w:r>
      <w:r>
        <w:rPr>
          <w:rFonts w:ascii="inter" w:hAnsi="inter" w:eastAsia="inter" w:cs="inter"/>
          <w:color w:val="000000"/>
        </w:rPr>
        <w:t xml:space="preserve"> represents a more recent strategic position: </w:t>
      </w:r>
      <w:r>
        <w:rPr>
          <w:rFonts w:ascii="inter" w:hAnsi="inter" w:eastAsia="inter" w:cs="inter"/>
          <w:i/>
          <w:color w:val="000000"/>
        </w:rPr>
        <w:t>ensemble visibility without segregation</w:t>
      </w:r>
      <w:r>
        <w:rPr>
          <w:rFonts w:ascii="inter" w:hAnsi="inter" w:eastAsia="inter" w:cs="inter"/>
          <w:color w:val="000000"/>
        </w:rPr>
        <w:t>. Rather than making the film "about" a trans character, Sadiq centers Biba within a family melodrama where her story intersects with—but is not subsumed by—the stories of Haider, his wife Mumtaz, and his father. As actor Alina Khan (who plays Biba and is herself trans) notes in interviews: "It was that inherent inclusion that makes Biba, and the film, revolutionary because it shows trans people don't have to be segregated and exist separately both in life and in stories."</w:t>
      </w:r>
      <w:bookmarkStart w:id="71" w:name="fnref29"/>
      <w:bookmarkEnd w:id="71"/>
      <w:r>
        <w:fldChar w:fldCharType="begin"/>
      </w:r>
      <w:r>
        <w:instrText xml:space="preserve"> HYPERLINK \l "fn29" \h </w:instrText>
      </w:r>
      <w:r>
        <w:fldChar w:fldCharType="separate"/>
      </w:r>
      <w:r>
        <w:rPr>
          <w:rFonts w:ascii="inter" w:hAnsi="inter" w:eastAsia="inter" w:cs="inter"/>
          <w:color w:val="000000"/>
          <w:u w:val="single"/>
          <w:vertAlign w:val="superscript"/>
        </w:rPr>
        <w:t>[29]</w:t>
      </w:r>
      <w:r>
        <w:rPr>
          <w:rFonts w:ascii="inter" w:hAnsi="inter" w:eastAsia="inter" w:cs="inter"/>
          <w:color w:val="000000"/>
          <w:u w:val="single"/>
          <w:vertAlign w:val="superscript"/>
        </w:rPr>
        <w:fldChar w:fldCharType="end"/>
      </w:r>
      <w:bookmarkStart w:id="72" w:name="fnref30"/>
      <w:bookmarkEnd w:id="72"/>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p>
    <w:p w14:paraId="71422822">
      <w:pPr>
        <w:spacing w:before="210" w:after="0" w:line="360" w:lineRule="auto"/>
      </w:pPr>
      <w:r>
        <w:pict>
          <v:rect id="_x0000_s1029" o:spid="_x0000_s1029" o:spt="1" style="height:0.05pt;width:475.5pt;" coordsize="21600,21600">
            <v:path/>
            <v:fill focussize="0,0"/>
            <v:stroke weight="1pt" color="#000000" opacity="0f"/>
            <v:imagedata o:title=""/>
            <o:lock v:ext="edit"/>
            <w10:wrap type="none"/>
            <w10:anchorlock/>
          </v:rect>
        </w:pict>
      </w:r>
    </w:p>
    <w:p w14:paraId="63355004">
      <w:pPr>
        <w:spacing w:before="315" w:after="105" w:line="360" w:lineRule="auto"/>
        <w:ind w:left="-30"/>
        <w:jc w:val="left"/>
      </w:pPr>
      <w:bookmarkStart w:id="73" w:name="iv_case_study_analyses_four_films_7a9a1b"/>
      <w:r>
        <w:rPr>
          <w:rFonts w:ascii="inter" w:hAnsi="inter" w:eastAsia="inter" w:cs="inter"/>
          <w:b/>
          <w:color w:val="000000"/>
          <w:sz w:val="24"/>
        </w:rPr>
        <w:t>IV. Case Study Analyses: Four Films, Multiple Strategies</w:t>
      </w:r>
      <w:bookmarkEnd w:id="73"/>
    </w:p>
    <w:p w14:paraId="19CADC9D">
      <w:pPr>
        <w:spacing w:after="0" w:line="360" w:lineRule="auto"/>
        <w:jc w:val="center"/>
      </w:pPr>
      <w:r>
        <w:rPr>
          <w:rFonts w:ascii="inter" w:hAnsi="inter" w:eastAsia="inter" w:cs="inter"/>
          <w:color w:val="000000"/>
        </w:rPr>
        <w:drawing>
          <wp:inline distT="0" distB="0" distL="0" distR="0">
            <wp:extent cx="6038850" cy="4025900"/>
            <wp:effectExtent l="0" t="0" r="0" b="0"/>
            <wp:docPr id="2" name="image-86a2cfecdb3338cbbffa310c53e792c13d4c9b31.png" descr="Comparative Analysis of Transgender and Queer Representation in MENA Cinema: Four Case Studies"/>
            <wp:cNvGraphicFramePr/>
            <a:graphic xmlns:a="http://schemas.openxmlformats.org/drawingml/2006/main">
              <a:graphicData uri="http://schemas.openxmlformats.org/drawingml/2006/picture">
                <pic:pic xmlns:pic="http://schemas.openxmlformats.org/drawingml/2006/picture">
                  <pic:nvPicPr>
                    <pic:cNvPr id="2" name="image-86a2cfecdb3338cbbffa310c53e792c13d4c9b31.png" descr="Comparative Analysis of Transgender and Queer Representation in MENA Cinema: Four Case Studies"/>
                    <pic:cNvPicPr/>
                  </pic:nvPicPr>
                  <pic:blipFill>
                    <a:blip r:embed="rId6" cstate="print"/>
                    <a:srcRect/>
                    <a:stretch>
                      <a:fillRect/>
                    </a:stretch>
                  </pic:blipFill>
                  <pic:spPr>
                    <a:xfrm>
                      <a:off x="0" y="0"/>
                      <a:ext cx="6038850" cy="4025900"/>
                    </a:xfrm>
                    <a:prstGeom prst="rect">
                      <a:avLst/>
                    </a:prstGeom>
                  </pic:spPr>
                </pic:pic>
              </a:graphicData>
            </a:graphic>
          </wp:inline>
        </w:drawing>
      </w:r>
    </w:p>
    <w:p w14:paraId="6D6359B1">
      <w:pPr>
        <w:spacing w:after="210" w:line="360" w:lineRule="auto"/>
      </w:pPr>
      <w:r>
        <w:rPr>
          <w:rFonts w:ascii="inter" w:hAnsi="inter" w:eastAsia="inter" w:cs="inter"/>
          <w:color w:val="000000"/>
        </w:rPr>
        <w:t>Comparative Analysis of Transgender and Queer Representation in MENA Cinema: Four Case Studies</w:t>
      </w:r>
    </w:p>
    <w:p w14:paraId="48E6EA85">
      <w:pPr>
        <w:spacing w:before="315" w:after="105" w:line="360" w:lineRule="auto"/>
        <w:ind w:left="-30"/>
        <w:jc w:val="left"/>
      </w:pPr>
      <w:bookmarkStart w:id="74" w:name="a_cinema_fouad_1993_documentary_p_2ef366"/>
      <w:r>
        <w:rPr>
          <w:rFonts w:ascii="inter" w:hAnsi="inter" w:eastAsia="inter" w:cs="inter"/>
          <w:b/>
          <w:color w:val="000000"/>
          <w:sz w:val="24"/>
        </w:rPr>
        <w:t>A. Cinema Fouad (1993): Documentary Portraiture as Queer Archive</w:t>
      </w:r>
      <w:bookmarkEnd w:id="74"/>
    </w:p>
    <w:p w14:paraId="09642EB8">
      <w:pPr>
        <w:spacing w:after="210" w:line="360" w:lineRule="auto"/>
      </w:pPr>
      <w:r>
        <w:rPr>
          <w:rFonts w:ascii="inter" w:hAnsi="inter" w:eastAsia="inter" w:cs="inter"/>
          <w:color w:val="000000"/>
        </w:rPr>
        <w:t xml:space="preserve">Mohamed Soueid's </w:t>
      </w:r>
      <w:r>
        <w:rPr>
          <w:rFonts w:ascii="inter" w:hAnsi="inter" w:eastAsia="inter" w:cs="inter"/>
          <w:i/>
          <w:color w:val="000000"/>
        </w:rPr>
        <w:t>Cinema Fouad</w:t>
      </w:r>
      <w:r>
        <w:rPr>
          <w:rFonts w:ascii="inter" w:hAnsi="inter" w:eastAsia="inter" w:cs="inter"/>
          <w:color w:val="000000"/>
        </w:rPr>
        <w:t>, a 41-minute documentary, stands as the earliest significant cinematic representation of a trans individual in Arab cinema. The film is a intimate portrait of Khaled El Kurdi, a Syrian trans woman living in Beirut in the early 1990s—a period of Lebanese civil war, economic precarity, and regional displacement. The film follows El Kurdi through domestic scenes: eating, applying makeup, dancing in her bedroom, reflecting on her life.</w:t>
      </w:r>
      <w:bookmarkStart w:id="75" w:name="fnref18_1"/>
      <w:bookmarkEnd w:id="75"/>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bookmarkStart w:id="76" w:name="fnref19_1"/>
      <w:bookmarkEnd w:id="76"/>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bookmarkStart w:id="77" w:name="fnref31"/>
      <w:bookmarkEnd w:id="77"/>
      <w:r>
        <w:fldChar w:fldCharType="begin"/>
      </w:r>
      <w:r>
        <w:instrText xml:space="preserve"> HYPERLINK \l "fn31" \h </w:instrText>
      </w:r>
      <w:r>
        <w:fldChar w:fldCharType="separate"/>
      </w:r>
      <w:r>
        <w:rPr>
          <w:rFonts w:ascii="inter" w:hAnsi="inter" w:eastAsia="inter" w:cs="inter"/>
          <w:color w:val="000000"/>
          <w:u w:val="single"/>
          <w:vertAlign w:val="superscript"/>
        </w:rPr>
        <w:t>[31]</w:t>
      </w:r>
      <w:r>
        <w:rPr>
          <w:rFonts w:ascii="inter" w:hAnsi="inter" w:eastAsia="inter" w:cs="inter"/>
          <w:color w:val="000000"/>
          <w:u w:val="single"/>
          <w:vertAlign w:val="superscript"/>
        </w:rPr>
        <w:fldChar w:fldCharType="end"/>
      </w:r>
    </w:p>
    <w:p w14:paraId="7C887D90">
      <w:pPr>
        <w:spacing w:after="210" w:line="360" w:lineRule="auto"/>
      </w:pPr>
      <w:r>
        <w:rPr>
          <w:rFonts w:ascii="inter" w:hAnsi="inter" w:eastAsia="inter" w:cs="inter"/>
          <w:b/>
          <w:color w:val="000000"/>
        </w:rPr>
        <w:t>Representational Approach:</w:t>
      </w:r>
      <w:r>
        <w:rPr>
          <w:rFonts w:ascii="inter" w:hAnsi="inter" w:eastAsia="inter" w:cs="inter"/>
          <w:color w:val="000000"/>
        </w:rPr>
        <w:t xml:space="preserve"> Soueid's method is observational documentary, emphasizing El Kurdi's subjectivity through voice-over reflection, intimate domestic scenes, and her "adept defiance" in response to his (sometimes probing, even goading) interview questions. The film does not explain or pathologize; it presents El Kurdi as a fully realized person with aspirations, grief, humor, and agency. She speaks of her desire for gender-affirming surgery, mourns the death of her Palestinian lover (a freedom fighter), and alludes to aggression she faces outside her home.</w:t>
      </w:r>
      <w:bookmarkStart w:id="78" w:name="fnref19_2"/>
      <w:bookmarkEnd w:id="78"/>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bookmarkStart w:id="79" w:name="fnref31_1"/>
      <w:bookmarkEnd w:id="79"/>
      <w:r>
        <w:fldChar w:fldCharType="begin"/>
      </w:r>
      <w:r>
        <w:instrText xml:space="preserve"> HYPERLINK \l "fn31" \h </w:instrText>
      </w:r>
      <w:r>
        <w:fldChar w:fldCharType="separate"/>
      </w:r>
      <w:r>
        <w:rPr>
          <w:rFonts w:ascii="inter" w:hAnsi="inter" w:eastAsia="inter" w:cs="inter"/>
          <w:color w:val="000000"/>
          <w:u w:val="single"/>
          <w:vertAlign w:val="superscript"/>
        </w:rPr>
        <w:t>[31]</w:t>
      </w:r>
      <w:r>
        <w:rPr>
          <w:rFonts w:ascii="inter" w:hAnsi="inter" w:eastAsia="inter" w:cs="inter"/>
          <w:color w:val="000000"/>
          <w:u w:val="single"/>
          <w:vertAlign w:val="superscript"/>
        </w:rPr>
        <w:fldChar w:fldCharType="end"/>
      </w:r>
    </w:p>
    <w:p w14:paraId="3FE5BFD9">
      <w:pPr>
        <w:spacing w:after="210" w:line="360" w:lineRule="auto"/>
      </w:pPr>
      <w:r>
        <w:rPr>
          <w:rFonts w:ascii="inter" w:hAnsi="inter" w:eastAsia="inter" w:cs="inter"/>
          <w:b/>
          <w:color w:val="000000"/>
        </w:rPr>
        <w:t>Theoretical Significance:</w:t>
      </w:r>
      <w:r>
        <w:rPr>
          <w:rFonts w:ascii="inter" w:hAnsi="inter" w:eastAsia="inter" w:cs="inter"/>
          <w:color w:val="000000"/>
        </w:rPr>
        <w:t xml:space="preserve"> The film enacts what theorists term an "archive of queer possibility"—it documents a life, a person, a way of being that dominant discourse claims does not exist. By simply showing El Kurdi—her daily rituals, her dreams, her survival—Soueid asserts a counter-archive to state denials of queer existence in the Arab world. The intimate scale (41 minutes, limited distribution) and documentary form make it a foundational text precisely because it establishes that transgender people are subjects worthy of sustained, non-sensationalizing cinematic attention.</w:t>
      </w:r>
    </w:p>
    <w:p w14:paraId="2E7AAE78">
      <w:pPr>
        <w:spacing w:after="210" w:line="360" w:lineRule="auto"/>
      </w:pPr>
      <w:r>
        <w:rPr>
          <w:rFonts w:ascii="inter" w:hAnsi="inter" w:eastAsia="inter" w:cs="inter"/>
          <w:b/>
          <w:color w:val="000000"/>
        </w:rPr>
        <w:t>Reception and Legacy:</w:t>
      </w:r>
      <w:r>
        <w:rPr>
          <w:rFonts w:ascii="inter" w:hAnsi="inter" w:eastAsia="inter" w:cs="inter"/>
          <w:color w:val="000000"/>
        </w:rPr>
        <w:t xml:space="preserve"> </w:t>
      </w:r>
      <w:r>
        <w:rPr>
          <w:rFonts w:ascii="inter" w:hAnsi="inter" w:eastAsia="inter" w:cs="inter"/>
          <w:i/>
          <w:color w:val="000000"/>
        </w:rPr>
        <w:t>Cinema Fouad</w:t>
      </w:r>
      <w:r>
        <w:rPr>
          <w:rFonts w:ascii="inter" w:hAnsi="inter" w:eastAsia="inter" w:cs="inter"/>
          <w:color w:val="000000"/>
        </w:rPr>
        <w:t xml:space="preserve"> had limited theatrical distribution but has been made available online for free, enabling broader access. Crucially, it became the namesake of Cinema Al Fouad, the Beirut organization that founded the first explicitly queer Arab film festival (</w:t>
      </w:r>
      <w:r>
        <w:rPr>
          <w:rFonts w:ascii="inter" w:hAnsi="inter" w:eastAsia="inter" w:cs="inter"/>
          <w:i/>
          <w:color w:val="000000"/>
        </w:rPr>
        <w:t>Aflamuna</w:t>
      </w:r>
      <w:r>
        <w:rPr>
          <w:rFonts w:ascii="inter" w:hAnsi="inter" w:eastAsia="inter" w:cs="inter"/>
          <w:color w:val="000000"/>
        </w:rPr>
        <w:t>) in 2020—creating a genealogical and activist link across nearly three decades.</w:t>
      </w:r>
      <w:bookmarkStart w:id="80" w:name="fnref7_1"/>
      <w:bookmarkEnd w:id="80"/>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81" w:name="fnref32"/>
      <w:bookmarkEnd w:id="81"/>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bookmarkStart w:id="82" w:name="fnref18_2"/>
      <w:bookmarkEnd w:id="82"/>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p>
    <w:p w14:paraId="1F49322F">
      <w:pPr>
        <w:spacing w:before="315" w:after="105" w:line="360" w:lineRule="auto"/>
        <w:ind w:left="-30"/>
        <w:jc w:val="left"/>
      </w:pPr>
      <w:bookmarkStart w:id="83" w:name="b_the_blue_caftan_2022_coded_repr_8abd92"/>
      <w:r>
        <w:rPr>
          <w:rFonts w:ascii="inter" w:hAnsi="inter" w:eastAsia="inter" w:cs="inter"/>
          <w:b/>
          <w:color w:val="000000"/>
          <w:sz w:val="24"/>
        </w:rPr>
        <w:t>B. The Blue Caftan (2022): Coded Representation and Craftsmanship as Metaphor</w:t>
      </w:r>
      <w:bookmarkEnd w:id="83"/>
    </w:p>
    <w:p w14:paraId="30C6D763">
      <w:pPr>
        <w:spacing w:after="210" w:line="360" w:lineRule="auto"/>
      </w:pPr>
      <w:r>
        <w:rPr>
          <w:rFonts w:ascii="inter" w:hAnsi="inter" w:eastAsia="inter" w:cs="inter"/>
          <w:color w:val="000000"/>
        </w:rPr>
        <w:t xml:space="preserve">Moroccan director Maryam Touzani's </w:t>
      </w:r>
      <w:r>
        <w:rPr>
          <w:rFonts w:ascii="inter" w:hAnsi="inter" w:eastAsia="inter" w:cs="inter"/>
          <w:i/>
          <w:color w:val="000000"/>
        </w:rPr>
        <w:t>The Blue Caftan</w:t>
      </w:r>
      <w:r>
        <w:rPr>
          <w:rFonts w:ascii="inter" w:hAnsi="inter" w:eastAsia="inter" w:cs="inter"/>
          <w:color w:val="000000"/>
        </w:rPr>
        <w:t>, a 118-minute drama, takes a radically different approach to representing gender and sexuality. Rather than foregrounding trans identity explicitly, the film represents homosexuality through what scholars call "connotative homosexuality"—coded visual and narrative signifiers that convey non-heterosexual desire without explicit statement.</w:t>
      </w:r>
      <w:bookmarkStart w:id="84" w:name="fnref9_17"/>
      <w:bookmarkEnd w:id="84"/>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0CAA8F86">
      <w:pPr>
        <w:spacing w:after="210" w:line="360" w:lineRule="auto"/>
      </w:pPr>
      <w:r>
        <w:rPr>
          <w:rFonts w:ascii="inter" w:hAnsi="inter" w:eastAsia="inter" w:cs="inter"/>
          <w:b/>
          <w:color w:val="000000"/>
        </w:rPr>
        <w:t>Narrative and Characters:</w:t>
      </w:r>
      <w:r>
        <w:rPr>
          <w:rFonts w:ascii="inter" w:hAnsi="inter" w:eastAsia="inter" w:cs="inter"/>
          <w:color w:val="000000"/>
        </w:rPr>
        <w:t xml:space="preserve"> The film is set in the medina of Salé, Morocco, in a traditional caftan (formal gown) shop run by Halim, a master </w:t>
      </w:r>
      <w:r>
        <w:rPr>
          <w:rFonts w:ascii="inter" w:hAnsi="inter" w:eastAsia="inter" w:cs="inter"/>
          <w:i/>
          <w:color w:val="000000"/>
        </w:rPr>
        <w:t>maalem</w:t>
      </w:r>
      <w:r>
        <w:rPr>
          <w:rFonts w:ascii="inter" w:hAnsi="inter" w:eastAsia="inter" w:cs="inter"/>
          <w:color w:val="000000"/>
        </w:rPr>
        <w:t xml:space="preserve"> (craftsman) of rare skill, and his wife Mina, who has managed the business for over 25 years. When a young apprentice, Youssef, joins the workshop, unspoken tensions surface: Halim experiences a rekindling of emotional and sensual connection with Youssef, while Mina (increasingly ill) begins to recognize that her husband's needs are "not entirely met by her." The film's climax involves Halim's production of an extraordinarily complex blue caftan—a feat that consumes him even as Mina's health deteriorates and Youssef becomes indispensable.</w:t>
      </w:r>
      <w:bookmarkStart w:id="85" w:name="fnref33"/>
      <w:bookmarkEnd w:id="85"/>
      <w:r>
        <w:fldChar w:fldCharType="begin"/>
      </w:r>
      <w:r>
        <w:instrText xml:space="preserve"> HYPERLINK \l "fn33" \h </w:instrText>
      </w:r>
      <w:r>
        <w:fldChar w:fldCharType="separate"/>
      </w:r>
      <w:r>
        <w:rPr>
          <w:rFonts w:ascii="inter" w:hAnsi="inter" w:eastAsia="inter" w:cs="inter"/>
          <w:color w:val="000000"/>
          <w:u w:val="single"/>
          <w:vertAlign w:val="superscript"/>
        </w:rPr>
        <w:t>[33]</w:t>
      </w:r>
      <w:r>
        <w:rPr>
          <w:rFonts w:ascii="inter" w:hAnsi="inter" w:eastAsia="inter" w:cs="inter"/>
          <w:color w:val="000000"/>
          <w:u w:val="single"/>
          <w:vertAlign w:val="superscript"/>
        </w:rPr>
        <w:fldChar w:fldCharType="end"/>
      </w:r>
    </w:p>
    <w:p w14:paraId="2B409C87">
      <w:pPr>
        <w:spacing w:after="210" w:line="360" w:lineRule="auto"/>
      </w:pPr>
      <w:r>
        <w:rPr>
          <w:rFonts w:ascii="inter" w:hAnsi="inter" w:eastAsia="inter" w:cs="inter"/>
          <w:b/>
          <w:color w:val="000000"/>
        </w:rPr>
        <w:t>Theoretical Approach: Craft, Color, Silence:</w:t>
      </w:r>
      <w:r>
        <w:rPr>
          <w:rFonts w:ascii="inter" w:hAnsi="inter" w:eastAsia="inter" w:cs="inter"/>
          <w:color w:val="000000"/>
        </w:rPr>
        <w:t xml:space="preserve"> Rather than dialogue explicitly addressing sexuality, Touzani communicates through what the film scholar Melissa Chemam calls "powerful cinematography": the colors of silk, the light framing scenes, and the cinematographer's choice to convey "emotions through looks" rather than words. The blue caftan itself becomes the central symbol—a work of extraordinary complexity and beauty that represents both Halim's artistry and his emotional/sensual investment. The film's aesthetic philosophy refuses crude exposition; meaning emerges through visual composition and the pregnant silences between characters.</w:t>
      </w:r>
      <w:bookmarkStart w:id="86" w:name="fnref34"/>
      <w:bookmarkEnd w:id="86"/>
      <w:r>
        <w:fldChar w:fldCharType="begin"/>
      </w:r>
      <w:r>
        <w:instrText xml:space="preserve"> HYPERLINK \l "fn34" \h </w:instrText>
      </w:r>
      <w:r>
        <w:fldChar w:fldCharType="separate"/>
      </w:r>
      <w:r>
        <w:rPr>
          <w:rFonts w:ascii="inter" w:hAnsi="inter" w:eastAsia="inter" w:cs="inter"/>
          <w:color w:val="000000"/>
          <w:u w:val="single"/>
          <w:vertAlign w:val="superscript"/>
        </w:rPr>
        <w:t>[34]</w:t>
      </w:r>
      <w:r>
        <w:rPr>
          <w:rFonts w:ascii="inter" w:hAnsi="inter" w:eastAsia="inter" w:cs="inter"/>
          <w:color w:val="000000"/>
          <w:u w:val="single"/>
          <w:vertAlign w:val="superscript"/>
        </w:rPr>
        <w:fldChar w:fldCharType="end"/>
      </w:r>
      <w:bookmarkStart w:id="87" w:name="fnref33_1"/>
      <w:bookmarkEnd w:id="87"/>
      <w:r>
        <w:fldChar w:fldCharType="begin"/>
      </w:r>
      <w:r>
        <w:instrText xml:space="preserve"> HYPERLINK \l "fn33" \h </w:instrText>
      </w:r>
      <w:r>
        <w:fldChar w:fldCharType="separate"/>
      </w:r>
      <w:r>
        <w:rPr>
          <w:rFonts w:ascii="inter" w:hAnsi="inter" w:eastAsia="inter" w:cs="inter"/>
          <w:color w:val="000000"/>
          <w:u w:val="single"/>
          <w:vertAlign w:val="superscript"/>
        </w:rPr>
        <w:t>[33]</w:t>
      </w:r>
      <w:r>
        <w:rPr>
          <w:rFonts w:ascii="inter" w:hAnsi="inter" w:eastAsia="inter" w:cs="inter"/>
          <w:color w:val="000000"/>
          <w:u w:val="single"/>
          <w:vertAlign w:val="superscript"/>
        </w:rPr>
        <w:fldChar w:fldCharType="end"/>
      </w:r>
    </w:p>
    <w:p w14:paraId="33910898">
      <w:pPr>
        <w:spacing w:after="210" w:line="360" w:lineRule="auto"/>
      </w:pPr>
      <w:r>
        <w:rPr>
          <w:rFonts w:ascii="inter" w:hAnsi="inter" w:eastAsia="inter" w:cs="inter"/>
          <w:color w:val="000000"/>
        </w:rPr>
        <w:t>The director explains: "It's very important to be able to say things without words, to reduce dialogue to a minimum and I like to convey emotions through looks." This approach evokes what theorist Laura Mulvey identified as the capacity of cinema to convey desire and subjectivity through visual grammar alone, without recourse to explicit speech.</w:t>
      </w:r>
      <w:bookmarkStart w:id="88" w:name="fnref33_2"/>
      <w:bookmarkEnd w:id="88"/>
      <w:r>
        <w:fldChar w:fldCharType="begin"/>
      </w:r>
      <w:r>
        <w:instrText xml:space="preserve"> HYPERLINK \l "fn33" \h </w:instrText>
      </w:r>
      <w:r>
        <w:fldChar w:fldCharType="separate"/>
      </w:r>
      <w:r>
        <w:rPr>
          <w:rFonts w:ascii="inter" w:hAnsi="inter" w:eastAsia="inter" w:cs="inter"/>
          <w:color w:val="000000"/>
          <w:u w:val="single"/>
          <w:vertAlign w:val="superscript"/>
        </w:rPr>
        <w:t>[33]</w:t>
      </w:r>
      <w:r>
        <w:rPr>
          <w:rFonts w:ascii="inter" w:hAnsi="inter" w:eastAsia="inter" w:cs="inter"/>
          <w:color w:val="000000"/>
          <w:u w:val="single"/>
          <w:vertAlign w:val="superscript"/>
        </w:rPr>
        <w:fldChar w:fldCharType="end"/>
      </w:r>
    </w:p>
    <w:p w14:paraId="6261556A">
      <w:pPr>
        <w:spacing w:after="210" w:line="360" w:lineRule="auto"/>
      </w:pPr>
      <w:r>
        <w:rPr>
          <w:rFonts w:ascii="inter" w:hAnsi="inter" w:eastAsia="inter" w:cs="inter"/>
          <w:b/>
          <w:color w:val="000000"/>
        </w:rPr>
        <w:t>Cultural Significance and Reception:</w:t>
      </w:r>
      <w:r>
        <w:rPr>
          <w:rFonts w:ascii="inter" w:hAnsi="inter" w:eastAsia="inter" w:cs="inter"/>
          <w:color w:val="000000"/>
        </w:rPr>
        <w:t xml:space="preserve"> </w:t>
      </w:r>
      <w:r>
        <w:rPr>
          <w:rFonts w:ascii="inter" w:hAnsi="inter" w:eastAsia="inter" w:cs="inter"/>
          <w:i/>
          <w:color w:val="000000"/>
        </w:rPr>
        <w:t>The Blue Caftan</w:t>
      </w:r>
      <w:r>
        <w:rPr>
          <w:rFonts w:ascii="inter" w:hAnsi="inter" w:eastAsia="inter" w:cs="inter"/>
          <w:color w:val="000000"/>
        </w:rPr>
        <w:t xml:space="preserve"> won the prestigious FIPRESCI Prize at the 2022 Cannes Film Festival, making it "the first Moroccan film to win this international award." It has since screened at major festivals globally (TIFF, BFI London, Marrakech). Importantly, director Touzani has stated: "In Morocco, homosexuality is illegal and I don't have words to describe how it makes me feel. As a human being, that's something I cannot accept." Yet the film avoids preaching; instead, it asks the viewer to recognize Halim's humanity, his suffering, and his capacity for deep feeling—and, implicitly, to question a legal and social system that criminalizes such feeling.</w:t>
      </w:r>
      <w:bookmarkStart w:id="89" w:name="fnref34_1"/>
      <w:bookmarkEnd w:id="89"/>
      <w:r>
        <w:fldChar w:fldCharType="begin"/>
      </w:r>
      <w:r>
        <w:instrText xml:space="preserve"> HYPERLINK \l "fn34" \h </w:instrText>
      </w:r>
      <w:r>
        <w:fldChar w:fldCharType="separate"/>
      </w:r>
      <w:r>
        <w:rPr>
          <w:rFonts w:ascii="inter" w:hAnsi="inter" w:eastAsia="inter" w:cs="inter"/>
          <w:color w:val="000000"/>
          <w:u w:val="single"/>
          <w:vertAlign w:val="superscript"/>
        </w:rPr>
        <w:t>[34]</w:t>
      </w:r>
      <w:r>
        <w:rPr>
          <w:rFonts w:ascii="inter" w:hAnsi="inter" w:eastAsia="inter" w:cs="inter"/>
          <w:color w:val="000000"/>
          <w:u w:val="single"/>
          <w:vertAlign w:val="superscript"/>
        </w:rPr>
        <w:fldChar w:fldCharType="end"/>
      </w:r>
      <w:bookmarkStart w:id="90" w:name="fnref33_3"/>
      <w:bookmarkEnd w:id="90"/>
      <w:r>
        <w:fldChar w:fldCharType="begin"/>
      </w:r>
      <w:r>
        <w:instrText xml:space="preserve"> HYPERLINK \l "fn33" \h </w:instrText>
      </w:r>
      <w:r>
        <w:fldChar w:fldCharType="separate"/>
      </w:r>
      <w:r>
        <w:rPr>
          <w:rFonts w:ascii="inter" w:hAnsi="inter" w:eastAsia="inter" w:cs="inter"/>
          <w:color w:val="000000"/>
          <w:u w:val="single"/>
          <w:vertAlign w:val="superscript"/>
        </w:rPr>
        <w:t>[33]</w:t>
      </w:r>
      <w:r>
        <w:rPr>
          <w:rFonts w:ascii="inter" w:hAnsi="inter" w:eastAsia="inter" w:cs="inter"/>
          <w:color w:val="000000"/>
          <w:u w:val="single"/>
          <w:vertAlign w:val="superscript"/>
        </w:rPr>
        <w:fldChar w:fldCharType="end"/>
      </w:r>
    </w:p>
    <w:p w14:paraId="23936CED">
      <w:pPr>
        <w:spacing w:after="210" w:line="360" w:lineRule="auto"/>
      </w:pPr>
      <w:r>
        <w:rPr>
          <w:rFonts w:ascii="inter" w:hAnsi="inter" w:eastAsia="inter" w:cs="inter"/>
          <w:b/>
          <w:color w:val="000000"/>
        </w:rPr>
        <w:t>Potential Limitations:</w:t>
      </w:r>
      <w:r>
        <w:rPr>
          <w:rFonts w:ascii="inter" w:hAnsi="inter" w:eastAsia="inter" w:cs="inter"/>
          <w:color w:val="000000"/>
        </w:rPr>
        <w:t xml:space="preserve"> Scholars have noted that the film's coding strategy, while enabling broad distribution and international recognition, also means that Halim's identity is never explicitly named as gay or homosexual within the film itself. Some queer viewers and theorists might argue that this reinforces the very silence and shame that queer liberation movements have worked to overcome. Additionally, the film centers a married man's interior conflict rather than depicting a consummated queer relationship or asserting queer identity as publicly visible and livable.</w:t>
      </w:r>
    </w:p>
    <w:p w14:paraId="10E26CFA">
      <w:pPr>
        <w:spacing w:before="315" w:after="105" w:line="360" w:lineRule="auto"/>
        <w:ind w:left="-30"/>
        <w:jc w:val="left"/>
      </w:pPr>
      <w:bookmarkStart w:id="91" w:name="c_joyland_2022_trans_agency_and_e_287b76"/>
      <w:r>
        <w:rPr>
          <w:rFonts w:ascii="inter" w:hAnsi="inter" w:eastAsia="inter" w:cs="inter"/>
          <w:b/>
          <w:color w:val="000000"/>
          <w:sz w:val="24"/>
        </w:rPr>
        <w:t>C. Joyland (2022): Trans Agency and Ensemble Inclusion in Pakistani Cinema</w:t>
      </w:r>
      <w:bookmarkEnd w:id="91"/>
    </w:p>
    <w:p w14:paraId="4BE5EF56">
      <w:pPr>
        <w:spacing w:after="210" w:line="360" w:lineRule="auto"/>
      </w:pPr>
      <w:r>
        <w:rPr>
          <w:rFonts w:ascii="inter" w:hAnsi="inter" w:eastAsia="inter" w:cs="inter"/>
          <w:color w:val="000000"/>
        </w:rPr>
        <w:t xml:space="preserve">Pakistani director Saim Sadiq's feature debut </w:t>
      </w:r>
      <w:r>
        <w:rPr>
          <w:rFonts w:ascii="inter" w:hAnsi="inter" w:eastAsia="inter" w:cs="inter"/>
          <w:i/>
          <w:color w:val="000000"/>
        </w:rPr>
        <w:t>Joyland</w:t>
      </w:r>
      <w:r>
        <w:rPr>
          <w:rFonts w:ascii="inter" w:hAnsi="inter" w:eastAsia="inter" w:cs="inter"/>
          <w:color w:val="000000"/>
        </w:rPr>
        <w:t xml:space="preserve"> (2022) represents a watershed moment in South Asian cinema: the first major film to cast a trans performer in a leading role and to center a trans woman's subjectivity within a family melodrama rather than relegating it to periphery or spectacle.</w:t>
      </w:r>
    </w:p>
    <w:p w14:paraId="14334D7C">
      <w:pPr>
        <w:spacing w:after="210" w:line="360" w:lineRule="auto"/>
      </w:pPr>
      <w:r>
        <w:rPr>
          <w:rFonts w:ascii="inter" w:hAnsi="inter" w:eastAsia="inter" w:cs="inter"/>
          <w:b/>
          <w:color w:val="000000"/>
        </w:rPr>
        <w:t>Narrative and Cultural Context:</w:t>
      </w:r>
      <w:r>
        <w:rPr>
          <w:rFonts w:ascii="inter" w:hAnsi="inter" w:eastAsia="inter" w:cs="inter"/>
          <w:color w:val="000000"/>
        </w:rPr>
        <w:t xml:space="preserve"> The film follows the Rana family in Lahore's old city: Aman (the patriarch, yearning for grandsons), his son Faisal (Haider in the film), Faisal's wife Mumtaz, and their two daughters. When Aman's pressure for a grandson continues unmet, Faisal (secretly) takes a job as a backup dancer at an erotic dance theatre managed by Biba, a trans woman performer and sex worker. Faisal and Biba begin a secret romantic/sexual relationship, which progressively destabilizes the family's patriarchal structure. The film's title, "Joyland," refers both to the theatre and to a metaphorical space of desire and transgression.</w:t>
      </w:r>
    </w:p>
    <w:p w14:paraId="11A7056C">
      <w:pPr>
        <w:spacing w:after="210" w:line="360" w:lineRule="auto"/>
      </w:pPr>
      <w:r>
        <w:rPr>
          <w:rFonts w:ascii="inter" w:hAnsi="inter" w:eastAsia="inter" w:cs="inter"/>
          <w:b/>
          <w:color w:val="000000"/>
        </w:rPr>
        <w:t>Trans Representation and Casting:</w:t>
      </w:r>
      <w:r>
        <w:rPr>
          <w:rFonts w:ascii="inter" w:hAnsi="inter" w:eastAsia="inter" w:cs="inter"/>
          <w:color w:val="000000"/>
        </w:rPr>
        <w:t xml:space="preserve"> Biba is played by Alina Khan, a Pakistani trans woman—a decision Sadiq identifies as crucial to the film's ethics and authenticity. In interviews, Khan explains: "I thought that I needed to play this character because it was the first time in a South Asian film that a trans character was in control of her own life." This assertion of trans agency—Biba is not a victim, not a supporting character, not a tragic figure, but a complex protagonist with desires, anger, agency, and vulnerability—marks a significant departure from historical patterns in South Asian and Arab cinema, where trans/queer characters have been portrayed as comic relief, villains, or objects of pity.</w:t>
      </w:r>
      <w:bookmarkStart w:id="92" w:name="fnref16_3"/>
      <w:bookmarkEnd w:id="92"/>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bookmarkStart w:id="93" w:name="fnref5_2"/>
      <w:bookmarkEnd w:id="93"/>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94" w:name="fnref6_2"/>
      <w:bookmarkEnd w:id="94"/>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95" w:name="fnref29_1"/>
      <w:bookmarkEnd w:id="95"/>
      <w:r>
        <w:fldChar w:fldCharType="begin"/>
      </w:r>
      <w:r>
        <w:instrText xml:space="preserve"> HYPERLINK \l "fn29" \h </w:instrText>
      </w:r>
      <w:r>
        <w:fldChar w:fldCharType="separate"/>
      </w:r>
      <w:r>
        <w:rPr>
          <w:rFonts w:ascii="inter" w:hAnsi="inter" w:eastAsia="inter" w:cs="inter"/>
          <w:color w:val="000000"/>
          <w:u w:val="single"/>
          <w:vertAlign w:val="superscript"/>
        </w:rPr>
        <w:t>[29]</w:t>
      </w:r>
      <w:r>
        <w:rPr>
          <w:rFonts w:ascii="inter" w:hAnsi="inter" w:eastAsia="inter" w:cs="inter"/>
          <w:color w:val="000000"/>
          <w:u w:val="single"/>
          <w:vertAlign w:val="superscript"/>
        </w:rPr>
        <w:fldChar w:fldCharType="end"/>
      </w:r>
      <w:bookmarkStart w:id="96" w:name="fnref30_1"/>
      <w:bookmarkEnd w:id="96"/>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bookmarkStart w:id="97" w:name="fnref35"/>
      <w:bookmarkEnd w:id="97"/>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p>
    <w:p w14:paraId="57ADA4A4">
      <w:pPr>
        <w:spacing w:after="210" w:line="360" w:lineRule="auto"/>
      </w:pPr>
      <w:r>
        <w:rPr>
          <w:rFonts w:ascii="inter" w:hAnsi="inter" w:eastAsia="inter" w:cs="inter"/>
          <w:b/>
          <w:color w:val="000000"/>
        </w:rPr>
        <w:t>Visual Semiotics and Cinematic Language:</w:t>
      </w:r>
      <w:r>
        <w:rPr>
          <w:rFonts w:ascii="inter" w:hAnsi="inter" w:eastAsia="inter" w:cs="inter"/>
          <w:color w:val="000000"/>
        </w:rPr>
        <w:t xml:space="preserve"> Scholar analysis of </w:t>
      </w:r>
      <w:r>
        <w:rPr>
          <w:rFonts w:ascii="inter" w:hAnsi="inter" w:eastAsia="inter" w:cs="inter"/>
          <w:i/>
          <w:color w:val="000000"/>
        </w:rPr>
        <w:t>Joyland</w:t>
      </w:r>
      <w:r>
        <w:rPr>
          <w:rFonts w:ascii="inter" w:hAnsi="inter" w:eastAsia="inter" w:cs="inter"/>
          <w:color w:val="000000"/>
        </w:rPr>
        <w:t>'s visual register identifies a systematic use of color, framing, and camera movement to encode Biba's contradictory position in Pakistani society. The film uses Academy ratio (a narrower, more square frame than standard cinema), which creates a visual sense of confinement—appropriate for a film about patriarchal entrapment and surveillance. Within this constraint, Biba's stage performances are shot in vibrant, saturated colors (oranges, reds, golds), with dynamic lighting and flowing camera movements that follow her body's motion. By contrast, domestic scenes employ muted tones (beiges, grays) and static framing, creating a visual opposition between Biba's public hypervisibility and her private vulnerability.</w:t>
      </w:r>
      <w:bookmarkStart w:id="98" w:name="fnref5_3"/>
      <w:bookmarkEnd w:id="98"/>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99" w:name="fnref16_4"/>
      <w:bookmarkEnd w:id="99"/>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p>
    <w:p w14:paraId="6FB04C5D">
      <w:pPr>
        <w:spacing w:after="210" w:line="360" w:lineRule="auto"/>
      </w:pPr>
      <w:r>
        <w:rPr>
          <w:rFonts w:ascii="inter" w:hAnsi="inter" w:eastAsia="inter" w:cs="inter"/>
          <w:color w:val="000000"/>
        </w:rPr>
        <w:t>The motorcycle scene (Scene 5) shifts into "deep blues and amber," colors that the analysis terms a "chromatic duality representing freedom and melancholy." This visual language—learned from film history and color theory—allows the director to communicate interior states without relying on dialogue or exposition.</w:t>
      </w:r>
      <w:bookmarkStart w:id="100" w:name="fnref5_4"/>
      <w:bookmarkEnd w:id="100"/>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30D4B5EB">
      <w:pPr>
        <w:spacing w:after="210" w:line="360" w:lineRule="auto"/>
      </w:pPr>
      <w:r>
        <w:rPr>
          <w:rFonts w:ascii="inter" w:hAnsi="inter" w:eastAsia="inter" w:cs="inter"/>
          <w:b/>
          <w:color w:val="000000"/>
        </w:rPr>
        <w:t>Director's Approach to Ethical Representation:</w:t>
      </w:r>
      <w:r>
        <w:rPr>
          <w:rFonts w:ascii="inter" w:hAnsi="inter" w:eastAsia="inter" w:cs="inter"/>
          <w:color w:val="000000"/>
        </w:rPr>
        <w:t xml:space="preserve"> Sadiq's interviews reveal careful attention to the ethics of depicting a trans character. When asked how he avoided exploiting Khan's trans identity, he responded: "I think that's the only way" to treat her "with the same level of dignity and understanding and inquisitiveness as you treat all the other characters, whether male or female." Notably, Sadiq included a scene in the film itself where trans women discuss how documentary filmmakers can be exploitative—a moment of reflexivity that acknowledges the power dynamics at stake in any representation.</w:t>
      </w:r>
      <w:bookmarkStart w:id="101" w:name="fnref30_2"/>
      <w:bookmarkEnd w:id="101"/>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bookmarkStart w:id="102" w:name="fnref35_1"/>
      <w:bookmarkEnd w:id="102"/>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p>
    <w:p w14:paraId="5407AA26">
      <w:pPr>
        <w:spacing w:after="210" w:line="360" w:lineRule="auto"/>
      </w:pPr>
      <w:r>
        <w:rPr>
          <w:rFonts w:ascii="inter" w:hAnsi="inter" w:eastAsia="inter" w:cs="inter"/>
          <w:b/>
          <w:color w:val="000000"/>
        </w:rPr>
        <w:t>Reception, Controversy, and Significance:</w:t>
      </w:r>
      <w:r>
        <w:rPr>
          <w:rFonts w:ascii="inter" w:hAnsi="inter" w:eastAsia="inter" w:cs="inter"/>
          <w:color w:val="000000"/>
        </w:rPr>
        <w:t xml:space="preserve"> </w:t>
      </w:r>
      <w:r>
        <w:rPr>
          <w:rFonts w:ascii="inter" w:hAnsi="inter" w:eastAsia="inter" w:cs="inter"/>
          <w:i/>
          <w:color w:val="000000"/>
        </w:rPr>
        <w:t>Joyland</w:t>
      </w:r>
      <w:r>
        <w:rPr>
          <w:rFonts w:ascii="inter" w:hAnsi="inter" w:eastAsia="inter" w:cs="inter"/>
          <w:color w:val="000000"/>
        </w:rPr>
        <w:t xml:space="preserve"> was Pakistan's official entry for the 2023 Academy Awards. However, in November 2022, Pakistan's government briefly banned the film, citing that it contained material "repugnant to the norms of decency and morality" and "highly objectionable" to "social values and moral standards." The ban sparked international outcry and debate within Pakistan itself. Importantly, Sadiq notes that domestic support within Pakistan proved "far more than I had expected," suggesting that civil society discourse is evolving faster than state policy.</w:t>
      </w:r>
      <w:bookmarkStart w:id="103" w:name="fnref6_3"/>
      <w:bookmarkEnd w:id="103"/>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104" w:name="fnref36"/>
      <w:bookmarkEnd w:id="104"/>
      <w:r>
        <w:fldChar w:fldCharType="begin"/>
      </w:r>
      <w:r>
        <w:instrText xml:space="preserve"> HYPERLINK \l "fn36" \h </w:instrText>
      </w:r>
      <w:r>
        <w:fldChar w:fldCharType="separate"/>
      </w:r>
      <w:r>
        <w:rPr>
          <w:rFonts w:ascii="inter" w:hAnsi="inter" w:eastAsia="inter" w:cs="inter"/>
          <w:color w:val="000000"/>
          <w:u w:val="single"/>
          <w:vertAlign w:val="superscript"/>
        </w:rPr>
        <w:t>[36]</w:t>
      </w:r>
      <w:r>
        <w:rPr>
          <w:rFonts w:ascii="inter" w:hAnsi="inter" w:eastAsia="inter" w:cs="inter"/>
          <w:color w:val="000000"/>
          <w:u w:val="single"/>
          <w:vertAlign w:val="superscript"/>
        </w:rPr>
        <w:fldChar w:fldCharType="end"/>
      </w:r>
      <w:bookmarkStart w:id="105" w:name="fnref29_2"/>
      <w:bookmarkEnd w:id="105"/>
      <w:r>
        <w:fldChar w:fldCharType="begin"/>
      </w:r>
      <w:r>
        <w:instrText xml:space="preserve"> HYPERLINK \l "fn29" \h </w:instrText>
      </w:r>
      <w:r>
        <w:fldChar w:fldCharType="separate"/>
      </w:r>
      <w:r>
        <w:rPr>
          <w:rFonts w:ascii="inter" w:hAnsi="inter" w:eastAsia="inter" w:cs="inter"/>
          <w:color w:val="000000"/>
          <w:u w:val="single"/>
          <w:vertAlign w:val="superscript"/>
        </w:rPr>
        <w:t>[29]</w:t>
      </w:r>
      <w:r>
        <w:rPr>
          <w:rFonts w:ascii="inter" w:hAnsi="inter" w:eastAsia="inter" w:cs="inter"/>
          <w:color w:val="000000"/>
          <w:u w:val="single"/>
          <w:vertAlign w:val="superscript"/>
        </w:rPr>
        <w:fldChar w:fldCharType="end"/>
      </w:r>
      <w:bookmarkStart w:id="106" w:name="fnref30_3"/>
      <w:bookmarkEnd w:id="106"/>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p>
    <w:p w14:paraId="51128FD1">
      <w:pPr>
        <w:spacing w:after="210" w:line="360" w:lineRule="auto"/>
      </w:pPr>
      <w:r>
        <w:rPr>
          <w:rFonts w:ascii="inter" w:hAnsi="inter" w:eastAsia="inter" w:cs="inter"/>
          <w:color w:val="000000"/>
        </w:rPr>
        <w:t>The film won the Un Certain Regard Jury Prize and the Queer Palm at Cannes 2022, the Independent Spirit Award for Best International Film (2023), and screened at major international festivals (TIFF, Sundance, BFI). It demonstrated that a South Asian narrative centered on a trans character and queer desire could achieve both artistic recognition and mainstream audience engagement, challenging assumptions about audience appetite and commercial viability.</w:t>
      </w:r>
    </w:p>
    <w:p w14:paraId="12D474D8">
      <w:pPr>
        <w:spacing w:before="315" w:after="105" w:line="360" w:lineRule="auto"/>
        <w:ind w:left="-30"/>
        <w:jc w:val="left"/>
      </w:pPr>
      <w:bookmarkStart w:id="107" w:name="d_only_men_go_to_the_grave_2016_g_641899"/>
      <w:r>
        <w:rPr>
          <w:rFonts w:ascii="inter" w:hAnsi="inter" w:eastAsia="inter" w:cs="inter"/>
          <w:b/>
          <w:color w:val="000000"/>
          <w:sz w:val="24"/>
        </w:rPr>
        <w:t>D. Only Men Go to the Grave (2016): Gender Identity and "Alternative Love" in Gulf Cinema</w:t>
      </w:r>
      <w:bookmarkEnd w:id="107"/>
    </w:p>
    <w:p w14:paraId="42BC146E">
      <w:pPr>
        <w:spacing w:after="210" w:line="360" w:lineRule="auto"/>
      </w:pPr>
      <w:r>
        <w:rPr>
          <w:rFonts w:ascii="inter" w:hAnsi="inter" w:eastAsia="inter" w:cs="inter"/>
          <w:color w:val="000000"/>
        </w:rPr>
        <w:t xml:space="preserve">Emirati director Abdulla Al-Kaabi's </w:t>
      </w:r>
      <w:r>
        <w:rPr>
          <w:rFonts w:ascii="inter" w:hAnsi="inter" w:eastAsia="inter" w:cs="inter"/>
          <w:i/>
          <w:color w:val="000000"/>
        </w:rPr>
        <w:t>Only Men Go to the Grave</w:t>
      </w:r>
      <w:r>
        <w:rPr>
          <w:rFonts w:ascii="inter" w:hAnsi="inter" w:eastAsia="inter" w:cs="inter"/>
          <w:color w:val="000000"/>
        </w:rPr>
        <w:t xml:space="preserve"> (2016, 80 minutes) represents the breakthrough of explicitly queer and gender-nonconforming representation in Gulf cinema—a region known for severe legal and social restrictions on LGBTQ+ expression.</w:t>
      </w:r>
    </w:p>
    <w:p w14:paraId="1F1AC8B2">
      <w:pPr>
        <w:spacing w:after="210" w:line="360" w:lineRule="auto"/>
      </w:pPr>
      <w:r>
        <w:rPr>
          <w:rFonts w:ascii="inter" w:hAnsi="inter" w:eastAsia="inter" w:cs="inter"/>
          <w:b/>
          <w:color w:val="000000"/>
        </w:rPr>
        <w:t>Narrative Framing:</w:t>
      </w:r>
      <w:r>
        <w:rPr>
          <w:rFonts w:ascii="inter" w:hAnsi="inter" w:eastAsia="inter" w:cs="inter"/>
          <w:color w:val="000000"/>
        </w:rPr>
        <w:t xml:space="preserve"> The film is structured around the death and funeral of a blind mother who, before dying, begins to reveal a secret to her estranged daughters. The daughters—who have returned to the family home for the funeral—are forced to excavate not only the mother's hidden history but also their own buried secrets and desires. Throughout the funeral ritual and the family's gathering, previously concealed truths surface: one daughter's same-sex relationship, another's gender-nonconforming identity and cross-dressing practices, financial betrayals, sectarian tensions (the family is Shia Muslim in a predominantly Sunni context), and the patriarchal violence that has shaped their lives.</w:t>
      </w:r>
    </w:p>
    <w:p w14:paraId="2D6FB4AB">
      <w:pPr>
        <w:spacing w:after="210" w:line="360" w:lineRule="auto"/>
      </w:pPr>
      <w:r>
        <w:rPr>
          <w:rFonts w:ascii="inter" w:hAnsi="inter" w:eastAsia="inter" w:cs="inter"/>
          <w:b/>
          <w:color w:val="000000"/>
        </w:rPr>
        <w:t>Gender Representation and Staging:</w:t>
      </w:r>
      <w:r>
        <w:rPr>
          <w:rFonts w:ascii="inter" w:hAnsi="inter" w:eastAsia="inter" w:cs="inter"/>
          <w:color w:val="000000"/>
        </w:rPr>
        <w:t xml:space="preserve"> The film's boldest moment involves the character Jaber, whose gender identity is explored through a scene in which he appears in full makeup, wig, jewelry, and dress—what critics term the film's "most daring scene." This visual transgression of gender norms is not explained or moralized; it simply appears as part of Jaber's self-exploration and the family's confrontation with previously denied realities. Director Al-Kaabi's statement is worth quoting at length:</w:t>
      </w:r>
      <w:bookmarkStart w:id="108" w:name="fnref3_4"/>
      <w:bookmarkEnd w:id="108"/>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109" w:name="fnref37"/>
      <w:bookmarkEnd w:id="109"/>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bookmarkStart w:id="110" w:name="fnref38"/>
      <w:bookmarkEnd w:id="110"/>
      <w:r>
        <w:fldChar w:fldCharType="begin"/>
      </w:r>
      <w:r>
        <w:instrText xml:space="preserve"> HYPERLINK \l "fn38" \h </w:instrText>
      </w:r>
      <w:r>
        <w:fldChar w:fldCharType="separate"/>
      </w:r>
      <w:r>
        <w:rPr>
          <w:rFonts w:ascii="inter" w:hAnsi="inter" w:eastAsia="inter" w:cs="inter"/>
          <w:color w:val="000000"/>
          <w:u w:val="single"/>
          <w:vertAlign w:val="superscript"/>
        </w:rPr>
        <w:t>[38]</w:t>
      </w:r>
      <w:r>
        <w:rPr>
          <w:rFonts w:ascii="inter" w:hAnsi="inter" w:eastAsia="inter" w:cs="inter"/>
          <w:color w:val="000000"/>
          <w:u w:val="single"/>
          <w:vertAlign w:val="superscript"/>
        </w:rPr>
        <w:fldChar w:fldCharType="end"/>
      </w:r>
    </w:p>
    <w:p w14:paraId="58C1653F">
      <w:pPr>
        <w:spacing w:after="210" w:line="360" w:lineRule="auto"/>
      </w:pPr>
      <w:r>
        <w:rPr>
          <w:rFonts w:ascii="inter" w:hAnsi="inter" w:eastAsia="inter" w:cs="inter"/>
          <w:color w:val="000000"/>
        </w:rPr>
        <w:t>"I wanted to show powerful women and I love how Pedro Almodovar portrays his women; they are extremely powerful. Arab women, in my opinion and the way I see them, from my perspective, are powerful individuals too... I wanted to explore transgenderism, I wanted to explore gender identity in the Arab world and I wanted to explore alternative love in the Arab world."</w:t>
      </w:r>
      <w:bookmarkStart w:id="111" w:name="fnref11_2"/>
      <w:bookmarkEnd w:id="111"/>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12509910">
      <w:pPr>
        <w:spacing w:after="210" w:line="360" w:lineRule="auto"/>
      </w:pPr>
      <w:r>
        <w:rPr>
          <w:rFonts w:ascii="inter" w:hAnsi="inter" w:eastAsia="inter" w:cs="inter"/>
          <w:b/>
          <w:color w:val="000000"/>
        </w:rPr>
        <w:t>Directorial Strategy and Reception:</w:t>
      </w:r>
      <w:r>
        <w:rPr>
          <w:rFonts w:ascii="inter" w:hAnsi="inter" w:eastAsia="inter" w:cs="inter"/>
          <w:color w:val="000000"/>
        </w:rPr>
        <w:t xml:space="preserve"> Al-Kaabi deliberately rejects what he calls a strategy of shock. Instead, he argues that representing controversial themes requires "good taste"—a commitment to form, nuance, and cultural sensitivity. Notably, the lovers in his film are never shown in explicit physical intimacy, a choice that some might read as a concession to conservative audiences but that Al-Kaabi frames as respecting both the characters' dignity and the audience's capacity for subtle emotional register. The film passed UAE censors and won Best Emirati Film at the 2016 Dubai International Film Festival—a significant achievement given the emirate's legal prohibition on homosexuality.</w:t>
      </w:r>
      <w:bookmarkStart w:id="112" w:name="fnref15_1"/>
      <w:bookmarkEnd w:id="112"/>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bookmarkStart w:id="113" w:name="fnref3_5"/>
      <w:bookmarkEnd w:id="113"/>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114" w:name="fnref11_3"/>
      <w:bookmarkEnd w:id="114"/>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53C67F5B">
      <w:pPr>
        <w:spacing w:after="210" w:line="360" w:lineRule="auto"/>
      </w:pPr>
      <w:r>
        <w:rPr>
          <w:rFonts w:ascii="inter" w:hAnsi="inter" w:eastAsia="inter" w:cs="inter"/>
          <w:b/>
          <w:color w:val="000000"/>
        </w:rPr>
        <w:t>Reception and Ambiguities:</w:t>
      </w:r>
      <w:r>
        <w:rPr>
          <w:rFonts w:ascii="inter" w:hAnsi="inter" w:eastAsia="inter" w:cs="inter"/>
          <w:color w:val="000000"/>
        </w:rPr>
        <w:t xml:space="preserve"> Audience response was mixed. Some viewers, particularly young Emirati college students, reported confusion about Jaber's cross-dressing, asking "Why was he wearing these kinds of clothes like woman clothes?" Others, particularly film students, expressed pride that "someone finally spoke out about" gender identity issues that "exist but everybody turns a blind eye." This range of responses suggests that the film functioned as an opening wedge for public discourse in the Gulf—not resolving the debate but making gender identity and same-sex love visible as topics worth discussing.</w:t>
      </w:r>
      <w:bookmarkStart w:id="115" w:name="fnref3_6"/>
      <w:bookmarkEnd w:id="115"/>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29F18140">
      <w:pPr>
        <w:spacing w:before="210" w:after="0" w:line="360" w:lineRule="auto"/>
      </w:pPr>
      <w:r>
        <w:pict>
          <v:rect id="_x0000_s1030" o:spid="_x0000_s1030" o:spt="1" style="height:0.05pt;width:475.5pt;" coordsize="21600,21600">
            <v:path/>
            <v:fill focussize="0,0"/>
            <v:stroke weight="1pt" color="#000000" opacity="0f"/>
            <v:imagedata o:title=""/>
            <o:lock v:ext="edit"/>
            <w10:wrap type="none"/>
            <w10:anchorlock/>
          </v:rect>
        </w:pict>
      </w:r>
    </w:p>
    <w:p w14:paraId="2F2AB73B">
      <w:pPr>
        <w:spacing w:before="315" w:after="105" w:line="360" w:lineRule="auto"/>
        <w:ind w:left="-30"/>
        <w:jc w:val="left"/>
      </w:pPr>
      <w:bookmarkStart w:id="116" w:name="v_intersecting_patterns_toward_a_c4cfea"/>
      <w:r>
        <w:rPr>
          <w:rFonts w:ascii="inter" w:hAnsi="inter" w:eastAsia="inter" w:cs="inter"/>
          <w:b/>
          <w:color w:val="000000"/>
          <w:sz w:val="24"/>
        </w:rPr>
        <w:t>V. Intersecting Patterns: Toward a Typology of MENA Transgender Cinema</w:t>
      </w:r>
      <w:bookmarkEnd w:id="116"/>
    </w:p>
    <w:p w14:paraId="0949FB49">
      <w:pPr>
        <w:spacing w:after="210" w:line="360" w:lineRule="auto"/>
      </w:pPr>
      <w:r>
        <w:rPr>
          <w:rFonts w:ascii="inter" w:hAnsi="inter" w:eastAsia="inter" w:cs="inter"/>
          <w:color w:val="000000"/>
        </w:rPr>
        <w:t>Across these four films spanning three decades and multiple MENA regions, several intersecting patterns emerge:</w:t>
      </w:r>
    </w:p>
    <w:p w14:paraId="16917826">
      <w:pPr>
        <w:spacing w:before="315" w:after="105" w:line="360" w:lineRule="auto"/>
        <w:ind w:left="-30"/>
        <w:jc w:val="left"/>
      </w:pPr>
      <w:bookmarkStart w:id="117" w:name="a_the_patriarchy_visibility_nexus"/>
      <w:r>
        <w:rPr>
          <w:rFonts w:ascii="inter" w:hAnsi="inter" w:eastAsia="inter" w:cs="inter"/>
          <w:b/>
          <w:color w:val="000000"/>
          <w:sz w:val="24"/>
        </w:rPr>
        <w:t>A. The Patriarchy-Visibility Nexus</w:t>
      </w:r>
      <w:bookmarkEnd w:id="117"/>
    </w:p>
    <w:p w14:paraId="7C4611D1">
      <w:pPr>
        <w:spacing w:after="210" w:line="360" w:lineRule="auto"/>
      </w:pPr>
      <w:r>
        <w:rPr>
          <w:rFonts w:ascii="inter" w:hAnsi="inter" w:eastAsia="inter" w:cs="inter"/>
          <w:color w:val="000000"/>
        </w:rPr>
        <w:t xml:space="preserve">All four films centralize patriarchy—specifically, the control of women and the enforcement of heterosexuality—as the material and ideological context within which transgender and queer identities become legible. In </w:t>
      </w:r>
      <w:r>
        <w:rPr>
          <w:rFonts w:ascii="inter" w:hAnsi="inter" w:eastAsia="inter" w:cs="inter"/>
          <w:i/>
          <w:color w:val="000000"/>
        </w:rPr>
        <w:t>Joyland</w:t>
      </w:r>
      <w:r>
        <w:rPr>
          <w:rFonts w:ascii="inter" w:hAnsi="inter" w:eastAsia="inter" w:cs="inter"/>
          <w:color w:val="000000"/>
        </w:rPr>
        <w:t xml:space="preserve">, Haider's patriarchal father demands sons; in </w:t>
      </w:r>
      <w:r>
        <w:rPr>
          <w:rFonts w:ascii="inter" w:hAnsi="inter" w:eastAsia="inter" w:cs="inter"/>
          <w:i/>
          <w:color w:val="000000"/>
        </w:rPr>
        <w:t>The Blue Caftan</w:t>
      </w:r>
      <w:r>
        <w:rPr>
          <w:rFonts w:ascii="inter" w:hAnsi="inter" w:eastAsia="inter" w:cs="inter"/>
          <w:color w:val="000000"/>
        </w:rPr>
        <w:t xml:space="preserve">, Halim is constrained within a heterosexual marriage despite his affective orientation toward Youssef; in </w:t>
      </w:r>
      <w:r>
        <w:rPr>
          <w:rFonts w:ascii="inter" w:hAnsi="inter" w:eastAsia="inter" w:cs="inter"/>
          <w:i/>
          <w:color w:val="000000"/>
        </w:rPr>
        <w:t>In Between</w:t>
      </w:r>
      <w:r>
        <w:rPr>
          <w:rFonts w:ascii="inter" w:hAnsi="inter" w:eastAsia="inter" w:cs="inter"/>
          <w:color w:val="000000"/>
        </w:rPr>
        <w:t xml:space="preserve">, Palestinian women face familial attempts to control their sexuality through forced marriage; in </w:t>
      </w:r>
      <w:r>
        <w:rPr>
          <w:rFonts w:ascii="inter" w:hAnsi="inter" w:eastAsia="inter" w:cs="inter"/>
          <w:i/>
          <w:color w:val="000000"/>
        </w:rPr>
        <w:t>Only Men Go to the Grave</w:t>
      </w:r>
      <w:r>
        <w:rPr>
          <w:rFonts w:ascii="inter" w:hAnsi="inter" w:eastAsia="inter" w:cs="inter"/>
          <w:color w:val="000000"/>
        </w:rPr>
        <w:t>, the family's secrets are bound up with patriarchal violence and shame.</w:t>
      </w:r>
      <w:bookmarkStart w:id="118" w:name="fnref16_5"/>
      <w:bookmarkEnd w:id="118"/>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bookmarkStart w:id="119" w:name="fnref9_18"/>
      <w:bookmarkEnd w:id="119"/>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120" w:name="fnref17_2"/>
      <w:bookmarkEnd w:id="120"/>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bookmarkStart w:id="121" w:name="fnref33_4"/>
      <w:bookmarkEnd w:id="121"/>
      <w:r>
        <w:fldChar w:fldCharType="begin"/>
      </w:r>
      <w:r>
        <w:instrText xml:space="preserve"> HYPERLINK \l "fn33" \h </w:instrText>
      </w:r>
      <w:r>
        <w:fldChar w:fldCharType="separate"/>
      </w:r>
      <w:r>
        <w:rPr>
          <w:rFonts w:ascii="inter" w:hAnsi="inter" w:eastAsia="inter" w:cs="inter"/>
          <w:color w:val="000000"/>
          <w:u w:val="single"/>
          <w:vertAlign w:val="superscript"/>
        </w:rPr>
        <w:t>[33]</w:t>
      </w:r>
      <w:r>
        <w:rPr>
          <w:rFonts w:ascii="inter" w:hAnsi="inter" w:eastAsia="inter" w:cs="inter"/>
          <w:color w:val="000000"/>
          <w:u w:val="single"/>
          <w:vertAlign w:val="superscript"/>
        </w:rPr>
        <w:fldChar w:fldCharType="end"/>
      </w:r>
      <w:bookmarkStart w:id="122" w:name="fnref3_7"/>
      <w:bookmarkEnd w:id="122"/>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2568EDBA">
      <w:pPr>
        <w:spacing w:after="210" w:line="360" w:lineRule="auto"/>
      </w:pPr>
      <w:r>
        <w:rPr>
          <w:rFonts w:ascii="inter" w:hAnsi="inter" w:eastAsia="inter" w:cs="inter"/>
          <w:color w:val="000000"/>
        </w:rPr>
        <w:t>This suggests a productive insight: transgender representation in MENA cinema is not primarily about individual identity expression in isolation, but about how gender transgression becomes a site where broader patriarchal structures are challenged and made visible. To be transgender in these films is necessarily also to resist patriarchal control—whether through the beauty salon (Caramel), the dance theatre (Joyland), the crafts workshop (The Blue Caftan), or the family home (Only Men Go to the Grave).</w:t>
      </w:r>
    </w:p>
    <w:p w14:paraId="2C343EDA">
      <w:pPr>
        <w:spacing w:before="315" w:after="105" w:line="360" w:lineRule="auto"/>
        <w:ind w:left="-30"/>
        <w:jc w:val="left"/>
      </w:pPr>
      <w:bookmarkStart w:id="123" w:name="b_emigration_as_escape_structural_f30b97"/>
      <w:r>
        <w:rPr>
          <w:rFonts w:ascii="inter" w:hAnsi="inter" w:eastAsia="inter" w:cs="inter"/>
          <w:b/>
          <w:color w:val="000000"/>
          <w:sz w:val="24"/>
        </w:rPr>
        <w:t>B. Emigration as Escape: Structural Critique or Limiting Narrative?</w:t>
      </w:r>
      <w:bookmarkEnd w:id="123"/>
    </w:p>
    <w:p w14:paraId="144F246E">
      <w:pPr>
        <w:spacing w:after="210" w:line="360" w:lineRule="auto"/>
      </w:pPr>
      <w:r>
        <w:rPr>
          <w:rFonts w:ascii="inter" w:hAnsi="inter" w:eastAsia="inter" w:cs="inter"/>
          <w:color w:val="000000"/>
        </w:rPr>
        <w:t xml:space="preserve">Both </w:t>
      </w:r>
      <w:r>
        <w:rPr>
          <w:rFonts w:ascii="inter" w:hAnsi="inter" w:eastAsia="inter" w:cs="inter"/>
          <w:i/>
          <w:color w:val="000000"/>
        </w:rPr>
        <w:t>Circumstance</w:t>
      </w:r>
      <w:r>
        <w:rPr>
          <w:rFonts w:ascii="inter" w:hAnsi="inter" w:eastAsia="inter" w:cs="inter"/>
          <w:color w:val="000000"/>
        </w:rPr>
        <w:t xml:space="preserve"> and </w:t>
      </w:r>
      <w:r>
        <w:rPr>
          <w:rFonts w:ascii="inter" w:hAnsi="inter" w:eastAsia="inter" w:cs="inter"/>
          <w:i/>
          <w:color w:val="000000"/>
        </w:rPr>
        <w:t>In Between</w:t>
      </w:r>
      <w:r>
        <w:rPr>
          <w:rFonts w:ascii="inter" w:hAnsi="inter" w:eastAsia="inter" w:cs="inter"/>
          <w:color w:val="000000"/>
        </w:rPr>
        <w:t xml:space="preserve"> conclude with the trans/queer protagonists purchasing one-way tickets to escape the region: Atafeh and Salma choose Dubai and Berlin, respectively. This emigration trope reflects a documented reality—many MENA-based LGBTQ+ individuals do seek asylum or relocation to the West—but scholars debate whether depicting emigration as the only viable path reinforces a neocolonial narrative in which "salvation" comes from the West. The UNDP and human rights scholars argue that such narratives risk obscuring the possibility of resistance and transformation within the region itself.</w:t>
      </w:r>
      <w:bookmarkStart w:id="124" w:name="fnref9_19"/>
      <w:bookmarkEnd w:id="124"/>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125" w:name="fnref39"/>
      <w:bookmarkEnd w:id="125"/>
      <w:r>
        <w:fldChar w:fldCharType="begin"/>
      </w:r>
      <w:r>
        <w:instrText xml:space="preserve"> HYPERLINK \l "fn39" \h </w:instrText>
      </w:r>
      <w:r>
        <w:fldChar w:fldCharType="separate"/>
      </w:r>
      <w:r>
        <w:rPr>
          <w:rFonts w:ascii="inter" w:hAnsi="inter" w:eastAsia="inter" w:cs="inter"/>
          <w:color w:val="000000"/>
          <w:u w:val="single"/>
          <w:vertAlign w:val="superscript"/>
        </w:rPr>
        <w:t>[39]</w:t>
      </w:r>
      <w:r>
        <w:rPr>
          <w:rFonts w:ascii="inter" w:hAnsi="inter" w:eastAsia="inter" w:cs="inter"/>
          <w:color w:val="000000"/>
          <w:u w:val="single"/>
          <w:vertAlign w:val="superscript"/>
        </w:rPr>
        <w:fldChar w:fldCharType="end"/>
      </w:r>
      <w:bookmarkStart w:id="126" w:name="fnref40"/>
      <w:bookmarkEnd w:id="126"/>
      <w:r>
        <w:fldChar w:fldCharType="begin"/>
      </w:r>
      <w:r>
        <w:instrText xml:space="preserve"> HYPERLINK \l "fn40" \h </w:instrText>
      </w:r>
      <w:r>
        <w:fldChar w:fldCharType="separate"/>
      </w:r>
      <w:r>
        <w:rPr>
          <w:rFonts w:ascii="inter" w:hAnsi="inter" w:eastAsia="inter" w:cs="inter"/>
          <w:color w:val="000000"/>
          <w:u w:val="single"/>
          <w:vertAlign w:val="superscript"/>
        </w:rPr>
        <w:t>[40]</w:t>
      </w:r>
      <w:r>
        <w:rPr>
          <w:rFonts w:ascii="inter" w:hAnsi="inter" w:eastAsia="inter" w:cs="inter"/>
          <w:color w:val="000000"/>
          <w:u w:val="single"/>
          <w:vertAlign w:val="superscript"/>
        </w:rPr>
        <w:fldChar w:fldCharType="end"/>
      </w:r>
      <w:bookmarkStart w:id="127" w:name="fnref41"/>
      <w:bookmarkEnd w:id="127"/>
      <w:r>
        <w:fldChar w:fldCharType="begin"/>
      </w:r>
      <w:r>
        <w:instrText xml:space="preserve"> HYPERLINK \l "fn41" \h </w:instrText>
      </w:r>
      <w:r>
        <w:fldChar w:fldCharType="separate"/>
      </w:r>
      <w:r>
        <w:rPr>
          <w:rFonts w:ascii="inter" w:hAnsi="inter" w:eastAsia="inter" w:cs="inter"/>
          <w:color w:val="000000"/>
          <w:u w:val="single"/>
          <w:vertAlign w:val="superscript"/>
        </w:rPr>
        <w:t>[41]</w:t>
      </w:r>
      <w:r>
        <w:rPr>
          <w:rFonts w:ascii="inter" w:hAnsi="inter" w:eastAsia="inter" w:cs="inter"/>
          <w:color w:val="000000"/>
          <w:u w:val="single"/>
          <w:vertAlign w:val="superscript"/>
        </w:rPr>
        <w:fldChar w:fldCharType="end"/>
      </w:r>
    </w:p>
    <w:p w14:paraId="43F752C0">
      <w:pPr>
        <w:spacing w:after="210" w:line="360" w:lineRule="auto"/>
      </w:pPr>
      <w:r>
        <w:rPr>
          <w:rFonts w:ascii="inter" w:hAnsi="inter" w:eastAsia="inter" w:cs="inter"/>
          <w:color w:val="000000"/>
        </w:rPr>
        <w:t xml:space="preserve">Significantly, </w:t>
      </w:r>
      <w:r>
        <w:rPr>
          <w:rFonts w:ascii="inter" w:hAnsi="inter" w:eastAsia="inter" w:cs="inter"/>
          <w:i/>
          <w:color w:val="000000"/>
        </w:rPr>
        <w:t>Joyland</w:t>
      </w:r>
      <w:r>
        <w:rPr>
          <w:rFonts w:ascii="inter" w:hAnsi="inter" w:eastAsia="inter" w:cs="inter"/>
          <w:color w:val="000000"/>
        </w:rPr>
        <w:t xml:space="preserve"> and </w:t>
      </w:r>
      <w:r>
        <w:rPr>
          <w:rFonts w:ascii="inter" w:hAnsi="inter" w:eastAsia="inter" w:cs="inter"/>
          <w:i/>
          <w:color w:val="000000"/>
        </w:rPr>
        <w:t>The Blue Caftan</w:t>
      </w:r>
      <w:r>
        <w:rPr>
          <w:rFonts w:ascii="inter" w:hAnsi="inter" w:eastAsia="inter" w:cs="inter"/>
          <w:color w:val="000000"/>
        </w:rPr>
        <w:t xml:space="preserve"> do not resolve through emigration; they remain geographically and emotionally rooted in South Asia and North Africa. This difference may reflect a generational shift in filmmaker confidence about depicting queer/trans lives as viable within the region, even in the absence of legal recognition or social acceptance.</w:t>
      </w:r>
    </w:p>
    <w:p w14:paraId="5D95B075">
      <w:pPr>
        <w:spacing w:before="315" w:after="105" w:line="360" w:lineRule="auto"/>
        <w:ind w:left="-30"/>
        <w:jc w:val="left"/>
      </w:pPr>
      <w:bookmarkStart w:id="128" w:name="c_casting_authorship_and_the_poli_b74691"/>
      <w:r>
        <w:rPr>
          <w:rFonts w:ascii="inter" w:hAnsi="inter" w:eastAsia="inter" w:cs="inter"/>
          <w:b/>
          <w:color w:val="000000"/>
          <w:sz w:val="24"/>
        </w:rPr>
        <w:t>C. Casting, Authorship, and the Politics of Representation</w:t>
      </w:r>
      <w:bookmarkEnd w:id="128"/>
    </w:p>
    <w:p w14:paraId="2DC01B57">
      <w:pPr>
        <w:spacing w:after="210" w:line="360" w:lineRule="auto"/>
      </w:pPr>
      <w:r>
        <w:rPr>
          <w:rFonts w:ascii="inter" w:hAnsi="inter" w:eastAsia="inter" w:cs="inter"/>
          <w:color w:val="000000"/>
        </w:rPr>
        <w:t xml:space="preserve">A crucial difference among these films concerns who is authorized to represent transgender subjectivity. </w:t>
      </w:r>
      <w:r>
        <w:rPr>
          <w:rFonts w:ascii="inter" w:hAnsi="inter" w:eastAsia="inter" w:cs="inter"/>
          <w:i/>
          <w:color w:val="000000"/>
        </w:rPr>
        <w:t>Cinema Fouad</w:t>
      </w:r>
      <w:r>
        <w:rPr>
          <w:rFonts w:ascii="inter" w:hAnsi="inter" w:eastAsia="inter" w:cs="inter"/>
          <w:color w:val="000000"/>
        </w:rPr>
        <w:t xml:space="preserve"> is directed by a cisgender, presumably heterosexual man (Soueid), yet achieves remarkable dignity through its observational, non-sensationalizing approach and El Kurdi's evident control over her own self-presentation. </w:t>
      </w:r>
      <w:r>
        <w:rPr>
          <w:rFonts w:ascii="inter" w:hAnsi="inter" w:eastAsia="inter" w:cs="inter"/>
          <w:i/>
          <w:color w:val="000000"/>
        </w:rPr>
        <w:t>The Blue Caftan</w:t>
      </w:r>
      <w:r>
        <w:rPr>
          <w:rFonts w:ascii="inter" w:hAnsi="inter" w:eastAsia="inter" w:cs="inter"/>
          <w:color w:val="000000"/>
        </w:rPr>
        <w:t xml:space="preserve">, directed by a woman (Touzani) about a gay man (Halim), uses metaphor and visual coding to convey desire. </w:t>
      </w:r>
      <w:r>
        <w:rPr>
          <w:rFonts w:ascii="inter" w:hAnsi="inter" w:eastAsia="inter" w:cs="inter"/>
          <w:i/>
          <w:color w:val="000000"/>
        </w:rPr>
        <w:t>Joyland</w:t>
      </w:r>
      <w:r>
        <w:rPr>
          <w:rFonts w:ascii="inter" w:hAnsi="inter" w:eastAsia="inter" w:cs="inter"/>
          <w:color w:val="000000"/>
        </w:rPr>
        <w:t xml:space="preserve"> deliberately cast a trans woman (Khan) in the leading role, creating what Khan identifies as the first instance of "appropriate casting" of a trans character in South Asian cinema.</w:t>
      </w:r>
      <w:bookmarkStart w:id="129" w:name="fnref18_3"/>
      <w:bookmarkEnd w:id="129"/>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bookmarkStart w:id="130" w:name="fnref19_3"/>
      <w:bookmarkEnd w:id="130"/>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bookmarkStart w:id="131" w:name="fnref33_5"/>
      <w:bookmarkEnd w:id="131"/>
      <w:r>
        <w:fldChar w:fldCharType="begin"/>
      </w:r>
      <w:r>
        <w:instrText xml:space="preserve"> HYPERLINK \l "fn33" \h </w:instrText>
      </w:r>
      <w:r>
        <w:fldChar w:fldCharType="separate"/>
      </w:r>
      <w:r>
        <w:rPr>
          <w:rFonts w:ascii="inter" w:hAnsi="inter" w:eastAsia="inter" w:cs="inter"/>
          <w:color w:val="000000"/>
          <w:u w:val="single"/>
          <w:vertAlign w:val="superscript"/>
        </w:rPr>
        <w:t>[33]</w:t>
      </w:r>
      <w:r>
        <w:rPr>
          <w:rFonts w:ascii="inter" w:hAnsi="inter" w:eastAsia="inter" w:cs="inter"/>
          <w:color w:val="000000"/>
          <w:u w:val="single"/>
          <w:vertAlign w:val="superscript"/>
        </w:rPr>
        <w:fldChar w:fldCharType="end"/>
      </w:r>
      <w:bookmarkStart w:id="132" w:name="fnref29_3"/>
      <w:bookmarkEnd w:id="132"/>
      <w:r>
        <w:fldChar w:fldCharType="begin"/>
      </w:r>
      <w:r>
        <w:instrText xml:space="preserve"> HYPERLINK \l "fn29" \h </w:instrText>
      </w:r>
      <w:r>
        <w:fldChar w:fldCharType="separate"/>
      </w:r>
      <w:r>
        <w:rPr>
          <w:rFonts w:ascii="inter" w:hAnsi="inter" w:eastAsia="inter" w:cs="inter"/>
          <w:color w:val="000000"/>
          <w:u w:val="single"/>
          <w:vertAlign w:val="superscript"/>
        </w:rPr>
        <w:t>[29]</w:t>
      </w:r>
      <w:r>
        <w:rPr>
          <w:rFonts w:ascii="inter" w:hAnsi="inter" w:eastAsia="inter" w:cs="inter"/>
          <w:color w:val="000000"/>
          <w:u w:val="single"/>
          <w:vertAlign w:val="superscript"/>
        </w:rPr>
        <w:fldChar w:fldCharType="end"/>
      </w:r>
      <w:bookmarkStart w:id="133" w:name="fnref30_4"/>
      <w:bookmarkEnd w:id="133"/>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p>
    <w:p w14:paraId="79BB5034">
      <w:pPr>
        <w:spacing w:after="210" w:line="360" w:lineRule="auto"/>
      </w:pPr>
      <w:r>
        <w:rPr>
          <w:rFonts w:ascii="inter" w:hAnsi="inter" w:eastAsia="inter" w:cs="inter"/>
          <w:color w:val="000000"/>
        </w:rPr>
        <w:t>This variation suggests that there is no single "correct" approach to representation ethics. Rather, what matters is transparency about the film's perspective and the care taken in depicting marginalized people. As Sadiq notes, treating trans characters "with the same level of dignity and understanding" as all other characters—avoiding exploitation while acknowledging that representation itself is always, to some degree, a form of power—is the baseline ethical position.</w:t>
      </w:r>
      <w:bookmarkStart w:id="134" w:name="fnref35_2"/>
      <w:bookmarkEnd w:id="134"/>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p>
    <w:p w14:paraId="12870690">
      <w:pPr>
        <w:spacing w:before="315" w:after="105" w:line="360" w:lineRule="auto"/>
        <w:ind w:left="-30"/>
        <w:jc w:val="left"/>
      </w:pPr>
      <w:bookmarkStart w:id="135" w:name="d_the_role_of_international_film_e92070"/>
      <w:r>
        <w:rPr>
          <w:rFonts w:ascii="inter" w:hAnsi="inter" w:eastAsia="inter" w:cs="inter"/>
          <w:b/>
          <w:color w:val="000000"/>
          <w:sz w:val="24"/>
        </w:rPr>
        <w:t>D. The Role of International Film Festivals in Enabling Circulation</w:t>
      </w:r>
      <w:bookmarkEnd w:id="135"/>
    </w:p>
    <w:p w14:paraId="69161B4B">
      <w:pPr>
        <w:spacing w:after="210" w:line="360" w:lineRule="auto"/>
      </w:pPr>
      <w:r>
        <w:rPr>
          <w:rFonts w:ascii="inter" w:hAnsi="inter" w:eastAsia="inter" w:cs="inter"/>
          <w:color w:val="000000"/>
        </w:rPr>
        <w:t>All four films have benefited substantially from international film festival circuits (Cannes, Sundance, TIFF, Berlin, Venice, etc.). This has enabled their films to circulate globally and build reputations that insulate directors somewhat from state persecution. However, the reliance on Western festivals also raises postcolonial questions: Do MENA filmmakers represent their own communities primarily for international audiences, creating a kind of "cultural tourism" effect?</w:t>
      </w:r>
      <w:bookmarkStart w:id="136" w:name="fnref26_1"/>
      <w:bookmarkEnd w:id="136"/>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bookmarkStart w:id="137" w:name="fnref27_1"/>
      <w:bookmarkEnd w:id="137"/>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p>
    <w:p w14:paraId="6289B2CF">
      <w:pPr>
        <w:spacing w:after="210" w:line="360" w:lineRule="auto"/>
      </w:pPr>
      <w:r>
        <w:rPr>
          <w:rFonts w:ascii="inter" w:hAnsi="inter" w:eastAsia="inter" w:cs="inter"/>
          <w:color w:val="000000"/>
        </w:rPr>
        <w:t>The emergence of regional platforms—</w:t>
      </w:r>
      <w:r>
        <w:rPr>
          <w:rFonts w:ascii="inter" w:hAnsi="inter" w:eastAsia="inter" w:cs="inter"/>
          <w:i/>
          <w:color w:val="000000"/>
        </w:rPr>
        <w:t>Aflamuna</w:t>
      </w:r>
      <w:r>
        <w:rPr>
          <w:rFonts w:ascii="inter" w:hAnsi="inter" w:eastAsia="inter" w:cs="inter"/>
          <w:color w:val="000000"/>
        </w:rPr>
        <w:t xml:space="preserve">, </w:t>
      </w:r>
      <w:r>
        <w:rPr>
          <w:rFonts w:ascii="inter" w:hAnsi="inter" w:eastAsia="inter" w:cs="inter"/>
          <w:i/>
          <w:color w:val="000000"/>
        </w:rPr>
        <w:t>Mawjoudin</w:t>
      </w:r>
      <w:r>
        <w:rPr>
          <w:rFonts w:ascii="inter" w:hAnsi="inter" w:eastAsia="inter" w:cs="inter"/>
          <w:color w:val="000000"/>
        </w:rPr>
        <w:t xml:space="preserve">, </w:t>
      </w:r>
      <w:r>
        <w:rPr>
          <w:rFonts w:ascii="inter" w:hAnsi="inter" w:eastAsia="inter" w:cs="inter"/>
          <w:i/>
          <w:color w:val="000000"/>
        </w:rPr>
        <w:t>Jeem</w:t>
      </w:r>
      <w:r>
        <w:rPr>
          <w:rFonts w:ascii="inter" w:hAnsi="inter" w:eastAsia="inter" w:cs="inter"/>
          <w:color w:val="000000"/>
        </w:rPr>
        <w:t>—represents an attempt to build indigenous circuits of production and exhibition. Yet even these platforms benefit from partnerships with international human rights organizations (e.g., Human Rights Watch's collaboration with Cinema Al Fouad) and rely partly on digital distribution (streaming) to reach audiences in the region itself.</w:t>
      </w:r>
      <w:bookmarkStart w:id="138" w:name="fnref7_2"/>
      <w:bookmarkEnd w:id="138"/>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139" w:name="fnref8_2"/>
      <w:bookmarkEnd w:id="139"/>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0E97AF52">
      <w:pPr>
        <w:spacing w:before="210" w:after="0" w:line="360" w:lineRule="auto"/>
      </w:pPr>
      <w:r>
        <w:pict>
          <v:rect id="_x0000_s1031" o:spid="_x0000_s1031" o:spt="1" style="height:0.05pt;width:475.5pt;" coordsize="21600,21600">
            <v:path/>
            <v:fill focussize="0,0"/>
            <v:stroke weight="1pt" color="#000000" opacity="0f"/>
            <v:imagedata o:title=""/>
            <o:lock v:ext="edit"/>
            <w10:wrap type="none"/>
            <w10:anchorlock/>
          </v:rect>
        </w:pict>
      </w:r>
    </w:p>
    <w:p w14:paraId="3E819B3C">
      <w:pPr>
        <w:spacing w:before="315" w:after="105" w:line="360" w:lineRule="auto"/>
        <w:ind w:left="-30"/>
        <w:jc w:val="left"/>
      </w:pPr>
      <w:bookmarkStart w:id="140" w:name="vi_strategic_frameworks_and_broad_dad0ab"/>
      <w:r>
        <w:rPr>
          <w:rFonts w:ascii="inter" w:hAnsi="inter" w:eastAsia="inter" w:cs="inter"/>
          <w:b/>
          <w:color w:val="000000"/>
          <w:sz w:val="24"/>
        </w:rPr>
        <w:t>VI. Strategic Frameworks and Broader Implications</w:t>
      </w:r>
      <w:bookmarkEnd w:id="140"/>
    </w:p>
    <w:p w14:paraId="32D426BC">
      <w:pPr>
        <w:spacing w:before="315" w:after="105" w:line="360" w:lineRule="auto"/>
        <w:ind w:left="-30"/>
        <w:jc w:val="left"/>
      </w:pPr>
      <w:bookmarkStart w:id="141" w:name="a_culture_and_the_sustainable_dev_f141e1"/>
      <w:r>
        <w:rPr>
          <w:rFonts w:ascii="inter" w:hAnsi="inter" w:eastAsia="inter" w:cs="inter"/>
          <w:b/>
          <w:color w:val="000000"/>
          <w:sz w:val="24"/>
        </w:rPr>
        <w:t>A. Culture and the Sustainable Development Goals</w:t>
      </w:r>
      <w:bookmarkEnd w:id="141"/>
    </w:p>
    <w:p w14:paraId="6EAA2DB1">
      <w:pPr>
        <w:spacing w:after="210" w:line="360" w:lineRule="auto"/>
      </w:pPr>
      <w:r>
        <w:rPr>
          <w:rFonts w:ascii="inter" w:hAnsi="inter" w:eastAsia="inter" w:cs="inter"/>
          <w:color w:val="000000"/>
        </w:rPr>
        <w:t>The 2030 United Nations Sustainable Development Agenda, particularly Goals 5 (Gender Equality) and 10 (Reduced Inequalities), explicitly commit to leaving "no one behind," including sexual and gender minorities. However, realizing this commitment in the MENA region faces substantial structural obstacles: legal criminalization, state violence, economic marginalization, and what scholars term "pinkwashing"—the deployment of LGBTQ+ visibility as a cover for other human rights abuses.</w:t>
      </w:r>
      <w:bookmarkStart w:id="142" w:name="fnref9_20"/>
      <w:bookmarkEnd w:id="142"/>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143" w:name="fnref3_8"/>
      <w:bookmarkEnd w:id="143"/>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144" w:name="fnref40_1"/>
      <w:bookmarkEnd w:id="144"/>
      <w:r>
        <w:fldChar w:fldCharType="begin"/>
      </w:r>
      <w:r>
        <w:instrText xml:space="preserve"> HYPERLINK \l "fn40" \h </w:instrText>
      </w:r>
      <w:r>
        <w:fldChar w:fldCharType="separate"/>
      </w:r>
      <w:r>
        <w:rPr>
          <w:rFonts w:ascii="inter" w:hAnsi="inter" w:eastAsia="inter" w:cs="inter"/>
          <w:color w:val="000000"/>
          <w:u w:val="single"/>
          <w:vertAlign w:val="superscript"/>
        </w:rPr>
        <w:t>[40]</w:t>
      </w:r>
      <w:r>
        <w:rPr>
          <w:rFonts w:ascii="inter" w:hAnsi="inter" w:eastAsia="inter" w:cs="inter"/>
          <w:color w:val="000000"/>
          <w:u w:val="single"/>
          <w:vertAlign w:val="superscript"/>
        </w:rPr>
        <w:fldChar w:fldCharType="end"/>
      </w:r>
      <w:bookmarkStart w:id="145" w:name="fnref41_1"/>
      <w:bookmarkEnd w:id="145"/>
      <w:r>
        <w:fldChar w:fldCharType="begin"/>
      </w:r>
      <w:r>
        <w:instrText xml:space="preserve"> HYPERLINK \l "fn41" \h </w:instrText>
      </w:r>
      <w:r>
        <w:fldChar w:fldCharType="separate"/>
      </w:r>
      <w:r>
        <w:rPr>
          <w:rFonts w:ascii="inter" w:hAnsi="inter" w:eastAsia="inter" w:cs="inter"/>
          <w:color w:val="000000"/>
          <w:u w:val="single"/>
          <w:vertAlign w:val="superscript"/>
        </w:rPr>
        <w:t>[41]</w:t>
      </w:r>
      <w:r>
        <w:rPr>
          <w:rFonts w:ascii="inter" w:hAnsi="inter" w:eastAsia="inter" w:cs="inter"/>
          <w:color w:val="000000"/>
          <w:u w:val="single"/>
          <w:vertAlign w:val="superscript"/>
        </w:rPr>
        <w:fldChar w:fldCharType="end"/>
      </w:r>
    </w:p>
    <w:p w14:paraId="3FC63D22">
      <w:pPr>
        <w:spacing w:after="210" w:line="360" w:lineRule="auto"/>
      </w:pPr>
      <w:r>
        <w:rPr>
          <w:rFonts w:ascii="inter" w:hAnsi="inter" w:eastAsia="inter" w:cs="inter"/>
          <w:color w:val="000000"/>
        </w:rPr>
        <w:t xml:space="preserve">Cinema operates at the intersection of culture, rights, and sustainable development. Films like </w:t>
      </w:r>
      <w:r>
        <w:rPr>
          <w:rFonts w:ascii="inter" w:hAnsi="inter" w:eastAsia="inter" w:cs="inter"/>
          <w:i/>
          <w:color w:val="000000"/>
        </w:rPr>
        <w:t>Joyland</w:t>
      </w:r>
      <w:r>
        <w:rPr>
          <w:rFonts w:ascii="inter" w:hAnsi="inter" w:eastAsia="inter" w:cs="inter"/>
          <w:color w:val="000000"/>
        </w:rPr>
        <w:t xml:space="preserve"> and </w:t>
      </w:r>
      <w:r>
        <w:rPr>
          <w:rFonts w:ascii="inter" w:hAnsi="inter" w:eastAsia="inter" w:cs="inter"/>
          <w:i/>
          <w:color w:val="000000"/>
        </w:rPr>
        <w:t>The Blue Caftan</w:t>
      </w:r>
      <w:r>
        <w:rPr>
          <w:rFonts w:ascii="inter" w:hAnsi="inter" w:eastAsia="inter" w:cs="inter"/>
          <w:color w:val="000000"/>
        </w:rPr>
        <w:t xml:space="preserve"> accomplish multiple strategic goals simultaneously: they assert that transgender and queer people exist and deserve dignity (SDG 5 &amp; 10); they challenge patriarchal norms that constrain all people, regardless of sexuality (SDG 5); and they create counter-narratives to state denialism and religious extremism, enabling public discourse and consciousness-raising. In contexts where grassroots activism is suppressed and civil society constrained, cinema becomes a vital technology for expanding the realm of thinkable and sayable alternatives.</w:t>
      </w:r>
    </w:p>
    <w:p w14:paraId="3090BCF5">
      <w:pPr>
        <w:spacing w:before="315" w:after="105" w:line="360" w:lineRule="auto"/>
        <w:ind w:left="-30"/>
        <w:jc w:val="left"/>
      </w:pPr>
      <w:bookmarkStart w:id="146" w:name="b_intersectionality_and_cultural_93031b"/>
      <w:r>
        <w:rPr>
          <w:rFonts w:ascii="inter" w:hAnsi="inter" w:eastAsia="inter" w:cs="inter"/>
          <w:b/>
          <w:color w:val="000000"/>
          <w:sz w:val="24"/>
        </w:rPr>
        <w:t>B. Intersectionality and Cultural Sustainability</w:t>
      </w:r>
      <w:bookmarkEnd w:id="146"/>
    </w:p>
    <w:p w14:paraId="25AD6D3D">
      <w:pPr>
        <w:spacing w:after="210" w:line="360" w:lineRule="auto"/>
      </w:pPr>
      <w:r>
        <w:rPr>
          <w:rFonts w:ascii="inter" w:hAnsi="inter" w:eastAsia="inter" w:cs="inter"/>
          <w:color w:val="000000"/>
        </w:rPr>
        <w:t xml:space="preserve">A strategic implication of intersectional analysis is that cinema addressing gender and sexuality cannot be separated from questions of class, nationality, religion, and colonial history. </w:t>
      </w:r>
      <w:r>
        <w:rPr>
          <w:rFonts w:ascii="inter" w:hAnsi="inter" w:eastAsia="inter" w:cs="inter"/>
          <w:i/>
          <w:color w:val="000000"/>
        </w:rPr>
        <w:t>In Between</w:t>
      </w:r>
      <w:r>
        <w:rPr>
          <w:rFonts w:ascii="inter" w:hAnsi="inter" w:eastAsia="inter" w:cs="inter"/>
          <w:color w:val="000000"/>
        </w:rPr>
        <w:t xml:space="preserve">'s explicit engagement with "pinkwashing" demonstrates how queer representation becomes ethically suspect if it serves to obscure occupation and dispossession. Similarly, </w:t>
      </w:r>
      <w:r>
        <w:rPr>
          <w:rFonts w:ascii="inter" w:hAnsi="inter" w:eastAsia="inter" w:cs="inter"/>
          <w:i/>
          <w:color w:val="000000"/>
        </w:rPr>
        <w:t>Joyland</w:t>
      </w:r>
      <w:r>
        <w:rPr>
          <w:rFonts w:ascii="inter" w:hAnsi="inter" w:eastAsia="inter" w:cs="inter"/>
          <w:color w:val="000000"/>
        </w:rPr>
        <w:t>'s careful attention to Biba's economic precarity—her dependence on sex work, her lack of family support, her vulnerability to police and social violence—prevents the film from depicting her as simply a liberated subject exercising free choice. Instead, the film shows how agency and constraint are entangled.</w:t>
      </w:r>
      <w:bookmarkStart w:id="147" w:name="fnref9_21"/>
      <w:bookmarkEnd w:id="147"/>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641FC74C">
      <w:pPr>
        <w:spacing w:after="210" w:line="360" w:lineRule="auto"/>
      </w:pPr>
      <w:r>
        <w:rPr>
          <w:rFonts w:ascii="inter" w:hAnsi="inter" w:eastAsia="inter" w:cs="inter"/>
          <w:color w:val="000000"/>
        </w:rPr>
        <w:t>This suggests that the "strategic elevation" of transgender representation in MENA cinema must attend to these broader structural inequalities. Cinema that celebrates trans visibility while ignoring economic precarity, colonialism, or patriarchal violence risks reproducing the very systems it purports to critique.</w:t>
      </w:r>
    </w:p>
    <w:p w14:paraId="5348C88D">
      <w:pPr>
        <w:spacing w:before="315" w:after="105" w:line="360" w:lineRule="auto"/>
        <w:ind w:left="-30"/>
        <w:jc w:val="left"/>
      </w:pPr>
      <w:bookmarkStart w:id="148" w:name="c_the_future_of_inclusive_narrati_253daa"/>
      <w:r>
        <w:rPr>
          <w:rFonts w:ascii="inter" w:hAnsi="inter" w:eastAsia="inter" w:cs="inter"/>
          <w:b/>
          <w:color w:val="000000"/>
          <w:sz w:val="24"/>
        </w:rPr>
        <w:t>C. The Future of Inclusive Narratives: Digital Distribution and Regional Circuits</w:t>
      </w:r>
      <w:bookmarkEnd w:id="148"/>
    </w:p>
    <w:p w14:paraId="08FDE83B">
      <w:pPr>
        <w:spacing w:after="210" w:line="360" w:lineRule="auto"/>
      </w:pPr>
      <w:r>
        <w:rPr>
          <w:rFonts w:ascii="inter" w:hAnsi="inter" w:eastAsia="inter" w:cs="inter"/>
          <w:color w:val="000000"/>
        </w:rPr>
        <w:t xml:space="preserve">The rise of streaming platforms, virtual film festivals, and online distribution networks has begun to bypass traditional theatrical and festival circuits, enabling independent filmmakers to reach regional audiences directly. </w:t>
      </w:r>
      <w:r>
        <w:rPr>
          <w:rFonts w:ascii="inter" w:hAnsi="inter" w:eastAsia="inter" w:cs="inter"/>
          <w:i/>
          <w:color w:val="000000"/>
        </w:rPr>
        <w:t>Aflamuna</w:t>
      </w:r>
      <w:r>
        <w:rPr>
          <w:rFonts w:ascii="inter" w:hAnsi="inter" w:eastAsia="inter" w:cs="inter"/>
          <w:color w:val="000000"/>
        </w:rPr>
        <w:t>'s online Pride programming during COVID-19 reached Arab LGBTQ+ viewers in their homes, circumventing state and family surveillance. This technological shift has implications for the future of MENA transgender cinema: it may enable increased production and circulation of stories rooted in regional contexts and addressed to regional audiences, rather than primarily to international festival circuits and Western audiences.</w:t>
      </w:r>
      <w:bookmarkStart w:id="149" w:name="fnref7_3"/>
      <w:bookmarkEnd w:id="149"/>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150" w:name="fnref8_3"/>
      <w:bookmarkEnd w:id="150"/>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0E7BEC73">
      <w:pPr>
        <w:spacing w:after="210" w:line="360" w:lineRule="auto"/>
      </w:pPr>
      <w:r>
        <w:rPr>
          <w:rFonts w:ascii="inter" w:hAnsi="inter" w:eastAsia="inter" w:cs="inter"/>
          <w:color w:val="000000"/>
        </w:rPr>
        <w:t>However, this potential is threatened by accelerating legal criminalization and increased state digital surveillance. The 2023-2024 period has witnessed a concerted campaign across multiple MENA states to criminalize, not merely same-sex relations, but the distribution and consumption of "immoral" digital content—including films. The strategic challenge, then, is to build sustainable, decentralized networks for production and distribution that can withstand state pressure while remaining rooted in local communities and contexts.</w:t>
      </w:r>
      <w:bookmarkStart w:id="151" w:name="fnref1_8"/>
      <w:bookmarkEnd w:id="151"/>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152" w:name="fnref42"/>
      <w:bookmarkEnd w:id="152"/>
      <w:r>
        <w:fldChar w:fldCharType="begin"/>
      </w:r>
      <w:r>
        <w:instrText xml:space="preserve"> HYPERLINK \l "fn42" \h </w:instrText>
      </w:r>
      <w:r>
        <w:fldChar w:fldCharType="separate"/>
      </w:r>
      <w:r>
        <w:rPr>
          <w:rFonts w:ascii="inter" w:hAnsi="inter" w:eastAsia="inter" w:cs="inter"/>
          <w:color w:val="000000"/>
          <w:u w:val="single"/>
          <w:vertAlign w:val="superscript"/>
        </w:rPr>
        <w:t>[42]</w:t>
      </w:r>
      <w:r>
        <w:rPr>
          <w:rFonts w:ascii="inter" w:hAnsi="inter" w:eastAsia="inter" w:cs="inter"/>
          <w:color w:val="000000"/>
          <w:u w:val="single"/>
          <w:vertAlign w:val="superscript"/>
        </w:rPr>
        <w:fldChar w:fldCharType="end"/>
      </w:r>
    </w:p>
    <w:p w14:paraId="05B72269">
      <w:pPr>
        <w:spacing w:before="210" w:after="0" w:line="360" w:lineRule="auto"/>
      </w:pPr>
      <w:r>
        <w:pict>
          <v:rect id="_x0000_s1032" o:spid="_x0000_s1032" o:spt="1" style="height:0.05pt;width:475.5pt;" coordsize="21600,21600">
            <v:path/>
            <v:fill focussize="0,0"/>
            <v:stroke weight="1pt" color="#000000" opacity="0f"/>
            <v:imagedata o:title=""/>
            <o:lock v:ext="edit"/>
            <w10:wrap type="none"/>
            <w10:anchorlock/>
          </v:rect>
        </w:pict>
      </w:r>
    </w:p>
    <w:p w14:paraId="4F4C63BA">
      <w:pPr>
        <w:spacing w:before="315" w:after="105" w:line="360" w:lineRule="auto"/>
        <w:ind w:left="-30"/>
        <w:jc w:val="left"/>
      </w:pPr>
      <w:bookmarkStart w:id="153" w:name="vii_limitations_gaps_and_directio_bad198"/>
      <w:r>
        <w:rPr>
          <w:rFonts w:ascii="inter" w:hAnsi="inter" w:eastAsia="inter" w:cs="inter"/>
          <w:b/>
          <w:color w:val="000000"/>
          <w:sz w:val="24"/>
        </w:rPr>
        <w:t>VII. Limitations, Gaps, and Directions for Future Research</w:t>
      </w:r>
      <w:bookmarkEnd w:id="153"/>
    </w:p>
    <w:p w14:paraId="4DD0FD69">
      <w:pPr>
        <w:spacing w:after="210" w:line="360" w:lineRule="auto"/>
      </w:pPr>
      <w:r>
        <w:rPr>
          <w:rFonts w:ascii="inter" w:hAnsi="inter" w:eastAsia="inter" w:cs="inter"/>
          <w:color w:val="000000"/>
        </w:rPr>
        <w:t>This report, while comprehensive in its analysis of four landmark films and the theoretical frameworks through which they can be understood, necessarily has limitations and raises questions for future investigation:</w:t>
      </w:r>
    </w:p>
    <w:p w14:paraId="28E92BB6">
      <w:pPr>
        <w:spacing w:after="210" w:line="360" w:lineRule="auto"/>
      </w:pPr>
      <w:r>
        <w:rPr>
          <w:rFonts w:ascii="inter" w:hAnsi="inter" w:eastAsia="inter" w:cs="inter"/>
          <w:b/>
          <w:color w:val="000000"/>
        </w:rPr>
        <w:t>Geographic and Sectarian Representation:</w:t>
      </w:r>
      <w:r>
        <w:rPr>
          <w:rFonts w:ascii="inter" w:hAnsi="inter" w:eastAsia="inter" w:cs="inter"/>
          <w:color w:val="000000"/>
        </w:rPr>
        <w:t xml:space="preserve"> The films analyzed are concentrated in Lebanon, Morocco, Pakistan, and the UAE/Iran. Substantial populations of transgender and queer individuals exist in Egypt, Tunisia, Sudan, the Palestinian territories, and the Arabian Peninsula, yet cinematic representation from these contexts is limited or, in some cases, entirely absent from English-language scholarship. A more complete analysis would include Egyptian, Tunisian, Iraqi, and Saudi perspectives.</w:t>
      </w:r>
    </w:p>
    <w:p w14:paraId="40CA1602">
      <w:pPr>
        <w:spacing w:after="210" w:line="360" w:lineRule="auto"/>
      </w:pPr>
      <w:r>
        <w:rPr>
          <w:rFonts w:ascii="inter" w:hAnsi="inter" w:eastAsia="inter" w:cs="inter"/>
          <w:b/>
          <w:color w:val="000000"/>
        </w:rPr>
        <w:t>Trans Masculinity and Non-Binary Identities:</w:t>
      </w:r>
      <w:r>
        <w:rPr>
          <w:rFonts w:ascii="inter" w:hAnsi="inter" w:eastAsia="inter" w:cs="inter"/>
          <w:color w:val="000000"/>
        </w:rPr>
        <w:t xml:space="preserve"> This report necessarily emphasizes trans women and lesbian representation, as these have been the primary focus of existing MENA cinema. However, trans men and non-binary individuals remain dramatically underrepresented in both cinema and scholarship. Future research should explore how these identities are (or are not) represented and what distinct representational strategies or challenges they face.</w:t>
      </w:r>
    </w:p>
    <w:p w14:paraId="0249FFDF">
      <w:pPr>
        <w:spacing w:after="210" w:line="360" w:lineRule="auto"/>
      </w:pPr>
      <w:r>
        <w:rPr>
          <w:rFonts w:ascii="inter" w:hAnsi="inter" w:eastAsia="inter" w:cs="inter"/>
          <w:b/>
          <w:color w:val="000000"/>
        </w:rPr>
        <w:t>Documentary vs. Fiction:</w:t>
      </w:r>
      <w:r>
        <w:rPr>
          <w:rFonts w:ascii="inter" w:hAnsi="inter" w:eastAsia="inter" w:cs="inter"/>
          <w:color w:val="000000"/>
        </w:rPr>
        <w:t xml:space="preserve"> While this report includes one documentary (</w:t>
      </w:r>
      <w:r>
        <w:rPr>
          <w:rFonts w:ascii="inter" w:hAnsi="inter" w:eastAsia="inter" w:cs="inter"/>
          <w:i/>
          <w:color w:val="000000"/>
        </w:rPr>
        <w:t>Cinema Fouad</w:t>
      </w:r>
      <w:r>
        <w:rPr>
          <w:rFonts w:ascii="inter" w:hAnsi="inter" w:eastAsia="inter" w:cs="inter"/>
          <w:color w:val="000000"/>
        </w:rPr>
        <w:t>) and three fiction narratives, the broader ecosystem of MENA queer cinema includes documentary, experimental, animated, and hybrid forms. A more comprehensive analysis would attend to how different formal strategies enable or constrain representation.</w:t>
      </w:r>
    </w:p>
    <w:p w14:paraId="43D0F84C">
      <w:pPr>
        <w:spacing w:after="210" w:line="360" w:lineRule="auto"/>
      </w:pPr>
      <w:r>
        <w:rPr>
          <w:rFonts w:ascii="inter" w:hAnsi="inter" w:eastAsia="inter" w:cs="inter"/>
          <w:b/>
          <w:color w:val="000000"/>
        </w:rPr>
        <w:t>Audience Reception Studies:</w:t>
      </w:r>
      <w:r>
        <w:rPr>
          <w:rFonts w:ascii="inter" w:hAnsi="inter" w:eastAsia="inter" w:cs="inter"/>
          <w:color w:val="000000"/>
        </w:rPr>
        <w:t xml:space="preserve"> This report relies primarily on festival reviews, director interviews, and academic film analysis. Primary research into how MENA audiences—particularly queer and trans audiences within the region—interpret and experience these films would significantly enrich understanding of their cultural impact.</w:t>
      </w:r>
    </w:p>
    <w:p w14:paraId="0E90909E">
      <w:pPr>
        <w:spacing w:after="210" w:line="360" w:lineRule="auto"/>
      </w:pPr>
      <w:r>
        <w:rPr>
          <w:rFonts w:ascii="inter" w:hAnsi="inter" w:eastAsia="inter" w:cs="inter"/>
          <w:b/>
          <w:color w:val="000000"/>
        </w:rPr>
        <w:t>Comparison to Global Cinema:</w:t>
      </w:r>
      <w:r>
        <w:rPr>
          <w:rFonts w:ascii="inter" w:hAnsi="inter" w:eastAsia="inter" w:cs="inter"/>
          <w:color w:val="000000"/>
        </w:rPr>
        <w:t xml:space="preserve"> While this report situates MENA cinema within postcolonial and transnational frameworks, more explicit comparison to transgender representation in other postcolonial and non-Western cinemas (Latin American, Southeast Asian, African) could illuminate whether patterns are region-specific or reflect broader global dynamics.</w:t>
      </w:r>
    </w:p>
    <w:p w14:paraId="0CF76666">
      <w:pPr>
        <w:spacing w:before="210" w:after="0" w:line="360" w:lineRule="auto"/>
      </w:pPr>
      <w:r>
        <w:pict>
          <v:rect id="_x0000_s1033" o:spid="_x0000_s1033" o:spt="1" style="height:0.05pt;width:475.5pt;" coordsize="21600,21600">
            <v:path/>
            <v:fill focussize="0,0"/>
            <v:stroke weight="1pt" color="#000000" opacity="0f"/>
            <v:imagedata o:title=""/>
            <o:lock v:ext="edit"/>
            <w10:wrap type="none"/>
            <w10:anchorlock/>
          </v:rect>
        </w:pict>
      </w:r>
    </w:p>
    <w:p w14:paraId="45BC0F55">
      <w:pPr>
        <w:spacing w:before="315" w:after="105" w:line="360" w:lineRule="auto"/>
        <w:ind w:left="-30"/>
        <w:jc w:val="left"/>
      </w:pPr>
      <w:bookmarkStart w:id="154" w:name="conclusion_toward_a_politics_of_c_d31d89"/>
      <w:r>
        <w:rPr>
          <w:rFonts w:ascii="inter" w:hAnsi="inter" w:eastAsia="inter" w:cs="inter"/>
          <w:b/>
          <w:color w:val="000000"/>
          <w:sz w:val="24"/>
        </w:rPr>
        <w:t>Conclusion: Toward a Politics of Cinematic Dignity</w:t>
      </w:r>
      <w:bookmarkEnd w:id="154"/>
    </w:p>
    <w:p w14:paraId="31A6E653">
      <w:pPr>
        <w:spacing w:after="210" w:line="360" w:lineRule="auto"/>
      </w:pPr>
      <w:r>
        <w:rPr>
          <w:rFonts w:ascii="inter" w:hAnsi="inter" w:eastAsia="inter" w:cs="inter"/>
          <w:color w:val="000000"/>
        </w:rPr>
        <w:t>The representation of transgender identities in MENA cinema constitutes a vital site of cultural resistance, artistic innovation, and strategic engagement with fundamental questions of human dignity, legal justice, and political possibility. The four films examined in this report—</w:t>
      </w:r>
      <w:r>
        <w:rPr>
          <w:rFonts w:ascii="inter" w:hAnsi="inter" w:eastAsia="inter" w:cs="inter"/>
          <w:i/>
          <w:color w:val="000000"/>
        </w:rPr>
        <w:t>Cinema Fouad</w:t>
      </w:r>
      <w:r>
        <w:rPr>
          <w:rFonts w:ascii="inter" w:hAnsi="inter" w:eastAsia="inter" w:cs="inter"/>
          <w:color w:val="000000"/>
        </w:rPr>
        <w:t xml:space="preserve">, </w:t>
      </w:r>
      <w:r>
        <w:rPr>
          <w:rFonts w:ascii="inter" w:hAnsi="inter" w:eastAsia="inter" w:cs="inter"/>
          <w:i/>
          <w:color w:val="000000"/>
        </w:rPr>
        <w:t>The Blue Caftan</w:t>
      </w:r>
      <w:r>
        <w:rPr>
          <w:rFonts w:ascii="inter" w:hAnsi="inter" w:eastAsia="inter" w:cs="inter"/>
          <w:color w:val="000000"/>
        </w:rPr>
        <w:t xml:space="preserve">, </w:t>
      </w:r>
      <w:r>
        <w:rPr>
          <w:rFonts w:ascii="inter" w:hAnsi="inter" w:eastAsia="inter" w:cs="inter"/>
          <w:i/>
          <w:color w:val="000000"/>
        </w:rPr>
        <w:t>Joyland</w:t>
      </w:r>
      <w:r>
        <w:rPr>
          <w:rFonts w:ascii="inter" w:hAnsi="inter" w:eastAsia="inter" w:cs="inter"/>
          <w:color w:val="000000"/>
        </w:rPr>
        <w:t xml:space="preserve">, and </w:t>
      </w:r>
      <w:r>
        <w:rPr>
          <w:rFonts w:ascii="inter" w:hAnsi="inter" w:eastAsia="inter" w:cs="inter"/>
          <w:i/>
          <w:color w:val="000000"/>
        </w:rPr>
        <w:t>Only Men Go to the Grave</w:t>
      </w:r>
      <w:r>
        <w:rPr>
          <w:rFonts w:ascii="inter" w:hAnsi="inter" w:eastAsia="inter" w:cs="inter"/>
          <w:color w:val="000000"/>
        </w:rPr>
        <w:t>—demonstrate that filmmakers in the MENA region are not passive recipients of Western queer theory or imported LGBTQ+ politics, but rather creative thinkers engaged in developing indigenous vocabularies and strategies for representing gender non-conformity and same-sex desire within specific cultural, legal, and historical contexts.</w:t>
      </w:r>
    </w:p>
    <w:p w14:paraId="6D96FC9D">
      <w:pPr>
        <w:spacing w:after="210" w:line="360" w:lineRule="auto"/>
      </w:pPr>
      <w:r>
        <w:rPr>
          <w:rFonts w:ascii="inter" w:hAnsi="inter" w:eastAsia="inter" w:cs="inter"/>
          <w:color w:val="000000"/>
        </w:rPr>
        <w:t>The theoretical frameworks that have structured this analysis—gender performativity, the gaze, intersectionality, postcolonial cinema theory—provide valuable analytical tools, but they derive their power in these films from being actively engaged, contested, and renegotiated by MENA filmmakers and performers. When Alina Khan asserts that trans people in cinema "don't have to be segregated and exist separately," or when Abdulla Al-Kaabi insists on representing gender identity with "good taste" rather than shock, or when Nadine Labaki conveys erotic desire through exchanged gazes rather than explicit scenes—these are not simply applications of pre-existing theory, but theoretical interventions in their own right.</w:t>
      </w:r>
    </w:p>
    <w:p w14:paraId="3F5138CB">
      <w:pPr>
        <w:spacing w:after="210" w:line="360" w:lineRule="auto"/>
      </w:pPr>
      <w:r>
        <w:rPr>
          <w:rFonts w:ascii="inter" w:hAnsi="inter" w:eastAsia="inter" w:cs="inter"/>
          <w:color w:val="000000"/>
        </w:rPr>
        <w:t xml:space="preserve">The legal context remains dire. As of 2024, criminalization is expanding rather than contracting, and state violence against LGBTQ+ individuals persists. Cinema, however, operates in a different register than law. It creates what theorist Dina Georgis calls "speculative and utopian visions"—imaginative possibilities that exceed what currently exists, that refuse the verdict of the present. When </w:t>
      </w:r>
      <w:r>
        <w:rPr>
          <w:rFonts w:ascii="inter" w:hAnsi="inter" w:eastAsia="inter" w:cs="inter"/>
          <w:i/>
          <w:color w:val="000000"/>
        </w:rPr>
        <w:t>Joyland</w:t>
      </w:r>
      <w:r>
        <w:rPr>
          <w:rFonts w:ascii="inter" w:hAnsi="inter" w:eastAsia="inter" w:cs="inter"/>
          <w:color w:val="000000"/>
        </w:rPr>
        <w:t xml:space="preserve"> depicts a trans woman as the subject of her own desire and agency rather than a victim or comic relief, when </w:t>
      </w:r>
      <w:r>
        <w:rPr>
          <w:rFonts w:ascii="inter" w:hAnsi="inter" w:eastAsia="inter" w:cs="inter"/>
          <w:i/>
          <w:color w:val="000000"/>
        </w:rPr>
        <w:t>The Blue Caftan</w:t>
      </w:r>
      <w:r>
        <w:rPr>
          <w:rFonts w:ascii="inter" w:hAnsi="inter" w:eastAsia="inter" w:cs="inter"/>
          <w:color w:val="000000"/>
        </w:rPr>
        <w:t xml:space="preserve"> portrays a same-sex affection as worthy of the deepest aesthetic and emotional investment, when </w:t>
      </w:r>
      <w:r>
        <w:rPr>
          <w:rFonts w:ascii="inter" w:hAnsi="inter" w:eastAsia="inter" w:cs="inter"/>
          <w:i/>
          <w:color w:val="000000"/>
        </w:rPr>
        <w:t>In Between</w:t>
      </w:r>
      <w:r>
        <w:rPr>
          <w:rFonts w:ascii="inter" w:hAnsi="inter" w:eastAsia="inter" w:cs="inter"/>
          <w:color w:val="000000"/>
        </w:rPr>
        <w:t xml:space="preserve"> represents lesbian desire in broad daylight—these films do not merely reflect society as it currently is; they help constitute society as it might become.</w:t>
      </w:r>
      <w:bookmarkStart w:id="155" w:name="fnref43"/>
      <w:bookmarkEnd w:id="155"/>
      <w:r>
        <w:fldChar w:fldCharType="begin"/>
      </w:r>
      <w:r>
        <w:instrText xml:space="preserve"> HYPERLINK \l "fn43" \h </w:instrText>
      </w:r>
      <w:r>
        <w:fldChar w:fldCharType="separate"/>
      </w:r>
      <w:r>
        <w:rPr>
          <w:rFonts w:ascii="inter" w:hAnsi="inter" w:eastAsia="inter" w:cs="inter"/>
          <w:color w:val="000000"/>
          <w:u w:val="single"/>
          <w:vertAlign w:val="superscript"/>
        </w:rPr>
        <w:t>[43]</w:t>
      </w:r>
      <w:r>
        <w:rPr>
          <w:rFonts w:ascii="inter" w:hAnsi="inter" w:eastAsia="inter" w:cs="inter"/>
          <w:color w:val="000000"/>
          <w:u w:val="single"/>
          <w:vertAlign w:val="superscript"/>
        </w:rPr>
        <w:fldChar w:fldCharType="end"/>
      </w:r>
    </w:p>
    <w:p w14:paraId="611FD1B8">
      <w:pPr>
        <w:spacing w:after="210" w:line="360" w:lineRule="auto"/>
      </w:pPr>
      <w:r>
        <w:rPr>
          <w:rFonts w:ascii="inter" w:hAnsi="inter" w:eastAsia="inter" w:cs="inter"/>
          <w:color w:val="000000"/>
        </w:rPr>
        <w:t>This strategic potential depends, crucially, on cinema remaining a space of relative creative freedom and on the existence of platforms—festivals, streaming, activist film clubs, university classrooms—through which these works can circulate. It depends on filmmakers' continued willingness to take risks: to face censorship, death threats, and exile in order to assert that transgender people exist, that queer desire is real, that patriarchal control is unjust, and that other ways of living are possible.</w:t>
      </w:r>
    </w:p>
    <w:p w14:paraId="54AFF21B">
      <w:pPr>
        <w:spacing w:after="210" w:line="360" w:lineRule="auto"/>
      </w:pPr>
      <w:r>
        <w:rPr>
          <w:rFonts w:ascii="inter" w:hAnsi="inter" w:eastAsia="inter" w:cs="inter"/>
          <w:color w:val="000000"/>
        </w:rPr>
        <w:t>The consolidation of regional queer film festivals, the rise of trans performers and trans-directed cinema, and the increasing sophistication of visual and narrative strategies for representing gender non-conformity all suggest that MENA transgender cinema is not a marginal phenomenon but rather a dynamic and growing movement. This movement will be strengthened by continued scholarly attention, by support for independent filmmakers and regional distribution networks, and by the refusal to treat transgender representation as a solved problem or a finished project. As long as transgender people face criminalization, violence, and erasure, the work of cinematic representation—and the larger struggle for dignity, justice, and recognition—will remain urgent.</w:t>
      </w:r>
    </w:p>
    <w:p w14:paraId="52B649C2">
      <w:pPr>
        <w:spacing w:before="210" w:after="0" w:line="360" w:lineRule="auto"/>
      </w:pPr>
      <w:r>
        <w:pict>
          <v:rect id="_x0000_s1034" o:spid="_x0000_s1034" o:spt="1" style="height:0.05pt;width:475.5pt;" coordsize="21600,21600">
            <v:path/>
            <v:fill focussize="0,0"/>
            <v:stroke weight="1pt" color="#000000" opacity="0f"/>
            <v:imagedata o:title=""/>
            <o:lock v:ext="edit"/>
            <w10:wrap type="none"/>
            <w10:anchorlock/>
          </v:rect>
        </w:pict>
      </w:r>
    </w:p>
    <w:p w14:paraId="143B2C53">
      <w:pPr>
        <w:spacing w:after="210" w:line="360" w:lineRule="auto"/>
      </w:pPr>
      <w:r>
        <w:rPr>
          <w:rFonts w:ascii="inter" w:hAnsi="inter" w:eastAsia="inter" w:cs="inter"/>
          <w:color w:val="000000"/>
        </w:rPr>
        <w:t xml:space="preserve">Arab Film Institute. (2025). "Queer Arab Films to Watch During Pride Month." </w:t>
      </w:r>
      <w:r>
        <w:fldChar w:fldCharType="begin"/>
      </w:r>
      <w:r>
        <w:instrText xml:space="preserve"> HYPERLINK "https://arabfilminstitute.org/queer-arab-films-to-watch-during-pride-month/" \h </w:instrText>
      </w:r>
      <w:r>
        <w:fldChar w:fldCharType="separate"/>
      </w:r>
      <w:r>
        <w:rPr>
          <w:rFonts w:ascii="inter" w:hAnsi="inter" w:eastAsia="inter" w:cs="inter"/>
          <w:color w:val="000000"/>
          <w:u w:val="single"/>
        </w:rPr>
        <w:t>https://arabfilminstitute.org/queer-arab-films-to-watch-during-pride-month/</w:t>
      </w:r>
      <w:r>
        <w:rPr>
          <w:rFonts w:ascii="inter" w:hAnsi="inter" w:eastAsia="inter" w:cs="inter"/>
          <w:color w:val="000000"/>
          <w:u w:val="single"/>
        </w:rPr>
        <w:fldChar w:fldCharType="end"/>
      </w:r>
      <w:bookmarkStart w:id="156" w:name="fnref44"/>
      <w:bookmarkEnd w:id="156"/>
      <w:r>
        <w:fldChar w:fldCharType="begin"/>
      </w:r>
      <w:r>
        <w:instrText xml:space="preserve"> HYPERLINK \l "fn44" \h </w:instrText>
      </w:r>
      <w:r>
        <w:fldChar w:fldCharType="separate"/>
      </w:r>
      <w:r>
        <w:rPr>
          <w:rFonts w:ascii="inter" w:hAnsi="inter" w:eastAsia="inter" w:cs="inter"/>
          <w:color w:val="000000"/>
          <w:u w:val="single"/>
          <w:vertAlign w:val="superscript"/>
        </w:rPr>
        <w:t>[44]</w:t>
      </w:r>
      <w:r>
        <w:rPr>
          <w:rFonts w:ascii="inter" w:hAnsi="inter" w:eastAsia="inter" w:cs="inter"/>
          <w:color w:val="000000"/>
          <w:u w:val="single"/>
          <w:vertAlign w:val="superscript"/>
        </w:rPr>
        <w:fldChar w:fldCharType="end"/>
      </w:r>
    </w:p>
    <w:p w14:paraId="0C6312AF">
      <w:pPr>
        <w:spacing w:after="210" w:line="360" w:lineRule="auto"/>
      </w:pPr>
      <w:r>
        <w:rPr>
          <w:rFonts w:ascii="inter" w:hAnsi="inter" w:eastAsia="inter" w:cs="inter"/>
          <w:color w:val="000000"/>
        </w:rPr>
        <w:t xml:space="preserve">Human Rights Watch. (2020, June 26). "'Aflamuna' Film Festival Amplifies Queer Voices in Arab Cinema." </w:t>
      </w:r>
      <w:r>
        <w:fldChar w:fldCharType="begin"/>
      </w:r>
      <w:r>
        <w:instrText xml:space="preserve"> HYPERLINK "https://www.hrw.org/news/2020/06/26/aflamuna-film-festival-amplifies-queer-voices-arab-cinema" \h </w:instrText>
      </w:r>
      <w:r>
        <w:fldChar w:fldCharType="separate"/>
      </w:r>
      <w:r>
        <w:rPr>
          <w:rFonts w:ascii="inter" w:hAnsi="inter" w:eastAsia="inter" w:cs="inter"/>
          <w:color w:val="000000"/>
          <w:u w:val="single"/>
        </w:rPr>
        <w:t>https://www.hrw.org/news/2020/06/26/aflamuna-film-festival-amplifies-queer-voices-arab-cinema</w:t>
      </w:r>
      <w:r>
        <w:rPr>
          <w:rFonts w:ascii="inter" w:hAnsi="inter" w:eastAsia="inter" w:cs="inter"/>
          <w:color w:val="000000"/>
          <w:u w:val="single"/>
        </w:rPr>
        <w:fldChar w:fldCharType="end"/>
      </w:r>
      <w:bookmarkStart w:id="157" w:name="fnref7_4"/>
      <w:bookmarkEnd w:id="157"/>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5579DA32">
      <w:pPr>
        <w:spacing w:after="210" w:line="360" w:lineRule="auto"/>
      </w:pPr>
      <w:r>
        <w:rPr>
          <w:rFonts w:ascii="inter" w:hAnsi="inter" w:eastAsia="inter" w:cs="inter"/>
          <w:color w:val="000000"/>
        </w:rPr>
        <w:t xml:space="preserve">Middle East Institute. (2018, December 20). "Arab Queer Cinema Emerges to Break Taboos." </w:t>
      </w:r>
      <w:r>
        <w:fldChar w:fldCharType="begin"/>
      </w:r>
      <w:r>
        <w:instrText xml:space="preserve"> HYPERLINK "https://www.mei.edu/publications/arab-queer-cinema-emerges-break-taboos" \h </w:instrText>
      </w:r>
      <w:r>
        <w:fldChar w:fldCharType="separate"/>
      </w:r>
      <w:r>
        <w:rPr>
          <w:rFonts w:ascii="inter" w:hAnsi="inter" w:eastAsia="inter" w:cs="inter"/>
          <w:color w:val="000000"/>
          <w:u w:val="single"/>
        </w:rPr>
        <w:t>https://www.mei.edu/publications/arab-queer-cinema-emerges-break-taboos</w:t>
      </w:r>
      <w:r>
        <w:rPr>
          <w:rFonts w:ascii="inter" w:hAnsi="inter" w:eastAsia="inter" w:cs="inter"/>
          <w:color w:val="000000"/>
          <w:u w:val="single"/>
        </w:rPr>
        <w:fldChar w:fldCharType="end"/>
      </w:r>
      <w:bookmarkStart w:id="158" w:name="fnref8_4"/>
      <w:bookmarkEnd w:id="158"/>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5BF906A9">
      <w:pPr>
        <w:spacing w:after="210" w:line="360" w:lineRule="auto"/>
      </w:pPr>
      <w:r>
        <w:rPr>
          <w:rFonts w:ascii="inter" w:hAnsi="inter" w:eastAsia="inter" w:cs="inter"/>
          <w:color w:val="000000"/>
        </w:rPr>
        <w:t xml:space="preserve">Arts Fuse. (2023, May 23). "Film Review: 'Joyland' - A Drama of Trans Prejudice in Pakistan." </w:t>
      </w:r>
      <w:r>
        <w:fldChar w:fldCharType="begin"/>
      </w:r>
      <w:r>
        <w:instrText xml:space="preserve"> HYPERLINK "https://artsfuse.org/272256/film-review-joyland-a-drama-of-trans-prejudice-in-pakistan/" \h </w:instrText>
      </w:r>
      <w:r>
        <w:fldChar w:fldCharType="separate"/>
      </w:r>
      <w:r>
        <w:rPr>
          <w:rFonts w:ascii="inter" w:hAnsi="inter" w:eastAsia="inter" w:cs="inter"/>
          <w:color w:val="000000"/>
          <w:u w:val="single"/>
        </w:rPr>
        <w:t>https://artsfuse.org/272256/film-review-joyland-a-drama-of-trans-prejudice-in-pakistan/</w:t>
      </w:r>
      <w:r>
        <w:rPr>
          <w:rFonts w:ascii="inter" w:hAnsi="inter" w:eastAsia="inter" w:cs="inter"/>
          <w:color w:val="000000"/>
          <w:u w:val="single"/>
        </w:rPr>
        <w:fldChar w:fldCharType="end"/>
      </w:r>
      <w:bookmarkStart w:id="159" w:name="fnref16_6"/>
      <w:bookmarkEnd w:id="159"/>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p>
    <w:p w14:paraId="6EF6F08E">
      <w:pPr>
        <w:spacing w:after="210" w:line="360" w:lineRule="auto"/>
      </w:pPr>
      <w:r>
        <w:rPr>
          <w:rFonts w:ascii="inter" w:hAnsi="inter" w:eastAsia="inter" w:cs="inter"/>
          <w:color w:val="000000"/>
        </w:rPr>
        <w:t xml:space="preserve">SİNEMA TRANSTOPIA. (2023, September 6). "Cinema Fouad + Soha." </w:t>
      </w:r>
      <w:r>
        <w:fldChar w:fldCharType="begin"/>
      </w:r>
      <w:r>
        <w:instrText xml:space="preserve"> HYPERLINK "https://sinematranstopia.com/en/yearnings-and-unfulfilled-dreams-from-the-personal-to-the-political/cinema-fouad-soha/" \h </w:instrText>
      </w:r>
      <w:r>
        <w:fldChar w:fldCharType="separate"/>
      </w:r>
      <w:r>
        <w:rPr>
          <w:rFonts w:ascii="inter" w:hAnsi="inter" w:eastAsia="inter" w:cs="inter"/>
          <w:color w:val="000000"/>
          <w:u w:val="single"/>
        </w:rPr>
        <w:t>https://sinematranstopia.com/en/yearnings-and-unfulfilled-dreams-from-the-personal-to-the-political/cinema-fouad-soha/</w:t>
      </w:r>
      <w:r>
        <w:rPr>
          <w:rFonts w:ascii="inter" w:hAnsi="inter" w:eastAsia="inter" w:cs="inter"/>
          <w:color w:val="000000"/>
          <w:u w:val="single"/>
        </w:rPr>
        <w:fldChar w:fldCharType="end"/>
      </w:r>
      <w:bookmarkStart w:id="160" w:name="fnref18_4"/>
      <w:bookmarkEnd w:id="160"/>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p>
    <w:p w14:paraId="6768925C">
      <w:pPr>
        <w:spacing w:after="210" w:line="360" w:lineRule="auto"/>
      </w:pPr>
      <w:r>
        <w:rPr>
          <w:rFonts w:ascii="inter" w:hAnsi="inter" w:eastAsia="inter" w:cs="inter"/>
          <w:color w:val="000000"/>
        </w:rPr>
        <w:t xml:space="preserve">Abdel Karim, Maria. (2021). "Queer Representation in Arab and Middle Eastern Films: A Case Study of Women in Caramel (2007), Circumstance (2011), and In Between (2016)." </w:t>
      </w:r>
      <w:r>
        <w:rPr>
          <w:rFonts w:ascii="inter" w:hAnsi="inter" w:eastAsia="inter" w:cs="inter"/>
          <w:i/>
          <w:color w:val="000000"/>
        </w:rPr>
        <w:t>Alphaville: Journal of Film and Screen Media</w:t>
      </w:r>
      <w:r>
        <w:rPr>
          <w:rFonts w:ascii="inter" w:hAnsi="inter" w:eastAsia="inter" w:cs="inter"/>
          <w:color w:val="000000"/>
        </w:rPr>
        <w:t xml:space="preserve">, 20, pp. 71-86. </w:t>
      </w:r>
      <w:r>
        <w:fldChar w:fldCharType="begin"/>
      </w:r>
      <w:r>
        <w:instrText xml:space="preserve"> HYPERLINK "https://www.alphavillejournal.com/Issue20/HTML/ArticleKarim.html" \h </w:instrText>
      </w:r>
      <w:r>
        <w:fldChar w:fldCharType="separate"/>
      </w:r>
      <w:r>
        <w:rPr>
          <w:rFonts w:ascii="inter" w:hAnsi="inter" w:eastAsia="inter" w:cs="inter"/>
          <w:color w:val="000000"/>
          <w:u w:val="single"/>
        </w:rPr>
        <w:t>https://www.alphavillejournal.com/Issue20/HTML/ArticleKarim.html</w:t>
      </w:r>
      <w:r>
        <w:rPr>
          <w:rFonts w:ascii="inter" w:hAnsi="inter" w:eastAsia="inter" w:cs="inter"/>
          <w:color w:val="000000"/>
          <w:u w:val="single"/>
        </w:rPr>
        <w:fldChar w:fldCharType="end"/>
      </w:r>
      <w:bookmarkStart w:id="161" w:name="fnref9_22"/>
      <w:bookmarkEnd w:id="161"/>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34BED728">
      <w:pPr>
        <w:spacing w:after="210" w:line="360" w:lineRule="auto"/>
      </w:pPr>
      <w:r>
        <w:rPr>
          <w:rFonts w:ascii="inter" w:hAnsi="inter" w:eastAsia="inter" w:cs="inter"/>
          <w:color w:val="000000"/>
        </w:rPr>
        <w:t xml:space="preserve">Letterboxd. (n.d.). "Cinema Fouad (1993) directed by Mohamed Soueid." </w:t>
      </w:r>
      <w:r>
        <w:fldChar w:fldCharType="begin"/>
      </w:r>
      <w:r>
        <w:instrText xml:space="preserve"> HYPERLINK "https://letterboxd.com/film/cinema-fouad/" \h </w:instrText>
      </w:r>
      <w:r>
        <w:fldChar w:fldCharType="separate"/>
      </w:r>
      <w:r>
        <w:rPr>
          <w:rFonts w:ascii="inter" w:hAnsi="inter" w:eastAsia="inter" w:cs="inter"/>
          <w:color w:val="000000"/>
          <w:u w:val="single"/>
        </w:rPr>
        <w:t>https://letterboxd.com/film/cinema-fouad/</w:t>
      </w:r>
      <w:r>
        <w:rPr>
          <w:rFonts w:ascii="inter" w:hAnsi="inter" w:eastAsia="inter" w:cs="inter"/>
          <w:color w:val="000000"/>
          <w:u w:val="single"/>
        </w:rPr>
        <w:fldChar w:fldCharType="end"/>
      </w:r>
      <w:bookmarkStart w:id="162" w:name="fnref19_4"/>
      <w:bookmarkEnd w:id="162"/>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p>
    <w:p w14:paraId="44840C42">
      <w:pPr>
        <w:spacing w:after="210" w:line="360" w:lineRule="auto"/>
      </w:pPr>
      <w:r>
        <w:rPr>
          <w:rFonts w:ascii="inter" w:hAnsi="inter" w:eastAsia="inter" w:cs="inter"/>
          <w:color w:val="000000"/>
        </w:rPr>
        <w:t xml:space="preserve">Bridgewater State University. (n.d.). "The Door Swings Both Ways in the Lebanese Movie Caramel." </w:t>
      </w:r>
      <w:r>
        <w:fldChar w:fldCharType="begin"/>
      </w:r>
      <w:r>
        <w:instrText xml:space="preserve"> HYPERLINK "https://vc.bridgew.edu/cgi/viewcontent.cgi?article=2185&amp;context=jiws" \h </w:instrText>
      </w:r>
      <w:r>
        <w:fldChar w:fldCharType="separate"/>
      </w:r>
      <w:r>
        <w:rPr>
          <w:rFonts w:ascii="inter" w:hAnsi="inter" w:eastAsia="inter" w:cs="inter"/>
          <w:color w:val="000000"/>
          <w:u w:val="single"/>
        </w:rPr>
        <w:t>https://vc.bridgew.edu/cgi/viewcontent.cgi?article=2185&amp;context=jiws</w:t>
      </w:r>
      <w:r>
        <w:rPr>
          <w:rFonts w:ascii="inter" w:hAnsi="inter" w:eastAsia="inter" w:cs="inter"/>
          <w:color w:val="000000"/>
          <w:u w:val="single"/>
        </w:rPr>
        <w:fldChar w:fldCharType="end"/>
      </w:r>
      <w:bookmarkStart w:id="163" w:name="fnref14_3"/>
      <w:bookmarkEnd w:id="163"/>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1A62507D">
      <w:pPr>
        <w:spacing w:after="210" w:line="360" w:lineRule="auto"/>
      </w:pPr>
      <w:r>
        <w:rPr>
          <w:rFonts w:ascii="inter" w:hAnsi="inter" w:eastAsia="inter" w:cs="inter"/>
          <w:color w:val="000000"/>
        </w:rPr>
        <w:t xml:space="preserve">BFI. (2023). "How Saim Sadiq Made Pakistan's Groundbreaking Trans Love Story." </w:t>
      </w:r>
      <w:r>
        <w:fldChar w:fldCharType="begin"/>
      </w:r>
      <w:r>
        <w:instrText xml:space="preserve"> HYPERLINK "https://www.anothermag.com/design-living/14709/joyland-how-saim-sadiq-made-pakistans-groundbreaking-trans-love-story" \h </w:instrText>
      </w:r>
      <w:r>
        <w:fldChar w:fldCharType="separate"/>
      </w:r>
      <w:r>
        <w:rPr>
          <w:rFonts w:ascii="inter" w:hAnsi="inter" w:eastAsia="inter" w:cs="inter"/>
          <w:color w:val="000000"/>
          <w:u w:val="single"/>
        </w:rPr>
        <w:t>https://www.anothermag.com/design-living/14709/joyland-how-saim-sadiq-made-pakistans-groundbreaking-trans-love-story</w:t>
      </w:r>
      <w:r>
        <w:rPr>
          <w:rFonts w:ascii="inter" w:hAnsi="inter" w:eastAsia="inter" w:cs="inter"/>
          <w:color w:val="000000"/>
          <w:u w:val="single"/>
        </w:rPr>
        <w:fldChar w:fldCharType="end"/>
      </w:r>
      <w:bookmarkStart w:id="164" w:name="fnref17_3"/>
      <w:bookmarkEnd w:id="164"/>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28D42B4A">
      <w:pPr>
        <w:spacing w:after="210" w:line="360" w:lineRule="auto"/>
      </w:pPr>
      <w:r>
        <w:rPr>
          <w:rFonts w:ascii="inter" w:hAnsi="inter" w:eastAsia="inter" w:cs="inter"/>
          <w:color w:val="000000"/>
        </w:rPr>
        <w:t xml:space="preserve">YouTube. (2022, February 17). "Cinema Fouad (1993) with English Subs." </w:t>
      </w:r>
      <w:r>
        <w:fldChar w:fldCharType="begin"/>
      </w:r>
      <w:r>
        <w:instrText xml:space="preserve"> HYPERLINK "https://www.youtube.com/watch?v=RDtRCpWxB1Q" \h </w:instrText>
      </w:r>
      <w:r>
        <w:fldChar w:fldCharType="separate"/>
      </w:r>
      <w:r>
        <w:rPr>
          <w:rFonts w:ascii="inter" w:hAnsi="inter" w:eastAsia="inter" w:cs="inter"/>
          <w:color w:val="000000"/>
          <w:u w:val="single"/>
        </w:rPr>
        <w:t>https://www.youtube.com/watch?v=RDtRCpWxB1Q</w:t>
      </w:r>
      <w:r>
        <w:rPr>
          <w:rFonts w:ascii="inter" w:hAnsi="inter" w:eastAsia="inter" w:cs="inter"/>
          <w:color w:val="000000"/>
          <w:u w:val="single"/>
        </w:rPr>
        <w:fldChar w:fldCharType="end"/>
      </w:r>
      <w:bookmarkStart w:id="165" w:name="fnref31_2"/>
      <w:bookmarkEnd w:id="165"/>
      <w:r>
        <w:fldChar w:fldCharType="begin"/>
      </w:r>
      <w:r>
        <w:instrText xml:space="preserve"> HYPERLINK \l "fn31" \h </w:instrText>
      </w:r>
      <w:r>
        <w:fldChar w:fldCharType="separate"/>
      </w:r>
      <w:r>
        <w:rPr>
          <w:rFonts w:ascii="inter" w:hAnsi="inter" w:eastAsia="inter" w:cs="inter"/>
          <w:color w:val="000000"/>
          <w:u w:val="single"/>
          <w:vertAlign w:val="superscript"/>
        </w:rPr>
        <w:t>[31]</w:t>
      </w:r>
      <w:r>
        <w:rPr>
          <w:rFonts w:ascii="inter" w:hAnsi="inter" w:eastAsia="inter" w:cs="inter"/>
          <w:color w:val="000000"/>
          <w:u w:val="single"/>
          <w:vertAlign w:val="superscript"/>
        </w:rPr>
        <w:fldChar w:fldCharType="end"/>
      </w:r>
    </w:p>
    <w:p w14:paraId="20D2813C">
      <w:pPr>
        <w:spacing w:after="210" w:line="360" w:lineRule="auto"/>
      </w:pPr>
      <w:r>
        <w:rPr>
          <w:rFonts w:ascii="inter" w:hAnsi="inter" w:eastAsia="inter" w:cs="inter"/>
          <w:color w:val="000000"/>
        </w:rPr>
        <w:t xml:space="preserve">University College Cork. (2021). "Queer Representation in Arab and Middle Eastern Films [PDF]." </w:t>
      </w:r>
      <w:r>
        <w:fldChar w:fldCharType="begin"/>
      </w:r>
      <w:r>
        <w:instrText xml:space="preserve"> HYPERLINK "https://cora.ucc.ie/bitstreams/ba003553-b32b-4f59-9546-a21aac2b2fa5/download" \h </w:instrText>
      </w:r>
      <w:r>
        <w:fldChar w:fldCharType="separate"/>
      </w:r>
      <w:r>
        <w:rPr>
          <w:rFonts w:ascii="inter" w:hAnsi="inter" w:eastAsia="inter" w:cs="inter"/>
          <w:color w:val="000000"/>
          <w:u w:val="single"/>
        </w:rPr>
        <w:t>https://cora.ucc.ie/bitstreams/ba003553-b32b-4f59-9546-a21aac2b2fa5/download</w:t>
      </w:r>
      <w:r>
        <w:rPr>
          <w:rFonts w:ascii="inter" w:hAnsi="inter" w:eastAsia="inter" w:cs="inter"/>
          <w:color w:val="000000"/>
          <w:u w:val="single"/>
        </w:rPr>
        <w:fldChar w:fldCharType="end"/>
      </w:r>
      <w:bookmarkStart w:id="166" w:name="fnref10_5"/>
      <w:bookmarkEnd w:id="166"/>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7558F9F1">
      <w:pPr>
        <w:spacing w:after="210" w:line="360" w:lineRule="auto"/>
      </w:pPr>
      <w:r>
        <w:rPr>
          <w:rFonts w:ascii="inter" w:hAnsi="inter" w:eastAsia="inter" w:cs="inter"/>
          <w:color w:val="000000"/>
        </w:rPr>
        <w:t xml:space="preserve">Reddit r/CriticalTheory. (2020, July 19). "Why does Judith Butler hold that gender is performative?" </w:t>
      </w:r>
      <w:r>
        <w:fldChar w:fldCharType="begin"/>
      </w:r>
      <w:r>
        <w:instrText xml:space="preserve"> HYPERLINK "https://www.reddit.com/r/CriticalTheory/comments/htv72a/why_does_judith_butler_hold_that_gender_is/" \h </w:instrText>
      </w:r>
      <w:r>
        <w:fldChar w:fldCharType="separate"/>
      </w:r>
      <w:r>
        <w:rPr>
          <w:rFonts w:ascii="inter" w:hAnsi="inter" w:eastAsia="inter" w:cs="inter"/>
          <w:color w:val="000000"/>
          <w:u w:val="single"/>
        </w:rPr>
        <w:t>https://www.reddit.com/r/CriticalTheory/comments/htv72a/why_does_judith_butler_hold_that_gender_is/</w:t>
      </w:r>
      <w:r>
        <w:rPr>
          <w:rFonts w:ascii="inter" w:hAnsi="inter" w:eastAsia="inter" w:cs="inter"/>
          <w:color w:val="000000"/>
          <w:u w:val="single"/>
        </w:rPr>
        <w:fldChar w:fldCharType="end"/>
      </w:r>
      <w:bookmarkStart w:id="167" w:name="fnref45"/>
      <w:bookmarkEnd w:id="167"/>
      <w:r>
        <w:fldChar w:fldCharType="begin"/>
      </w:r>
      <w:r>
        <w:instrText xml:space="preserve"> HYPERLINK \l "fn45" \h </w:instrText>
      </w:r>
      <w:r>
        <w:fldChar w:fldCharType="separate"/>
      </w:r>
      <w:r>
        <w:rPr>
          <w:rFonts w:ascii="inter" w:hAnsi="inter" w:eastAsia="inter" w:cs="inter"/>
          <w:color w:val="000000"/>
          <w:u w:val="single"/>
          <w:vertAlign w:val="superscript"/>
        </w:rPr>
        <w:t>[45]</w:t>
      </w:r>
      <w:r>
        <w:rPr>
          <w:rFonts w:ascii="inter" w:hAnsi="inter" w:eastAsia="inter" w:cs="inter"/>
          <w:color w:val="000000"/>
          <w:u w:val="single"/>
          <w:vertAlign w:val="superscript"/>
        </w:rPr>
        <w:fldChar w:fldCharType="end"/>
      </w:r>
    </w:p>
    <w:p w14:paraId="7C9CF340">
      <w:pPr>
        <w:spacing w:after="210" w:line="360" w:lineRule="auto"/>
      </w:pPr>
      <w:r>
        <w:rPr>
          <w:rFonts w:ascii="inter" w:hAnsi="inter" w:eastAsia="inter" w:cs="inter"/>
          <w:color w:val="000000"/>
        </w:rPr>
        <w:t xml:space="preserve">Documentary Animation Discourse. (2021, February 26). "The Gaze: Psychoanalysis, Ideology, and Representation." </w:t>
      </w:r>
      <w:r>
        <w:fldChar w:fldCharType="begin"/>
      </w:r>
      <w:r>
        <w:instrText xml:space="preserve"> HYPERLINK "https://documentaryanimationdiscourse.wordpress.com/2021/02/26/the-gaze-psychoanalyses-ideology-and-representation/" \h </w:instrText>
      </w:r>
      <w:r>
        <w:fldChar w:fldCharType="separate"/>
      </w:r>
      <w:r>
        <w:rPr>
          <w:rFonts w:ascii="inter" w:hAnsi="inter" w:eastAsia="inter" w:cs="inter"/>
          <w:color w:val="000000"/>
          <w:u w:val="single"/>
        </w:rPr>
        <w:t>https://documentaryanimationdiscourse.wordpress.com/2021/02/26/the-gaze-psychoanalyses-ideology-and-representation/</w:t>
      </w:r>
      <w:r>
        <w:rPr>
          <w:rFonts w:ascii="inter" w:hAnsi="inter" w:eastAsia="inter" w:cs="inter"/>
          <w:color w:val="000000"/>
          <w:u w:val="single"/>
        </w:rPr>
        <w:fldChar w:fldCharType="end"/>
      </w:r>
      <w:bookmarkStart w:id="168" w:name="fnref23_1"/>
      <w:bookmarkEnd w:id="168"/>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p>
    <w:p w14:paraId="1F17E9E0">
      <w:pPr>
        <w:spacing w:after="210" w:line="360" w:lineRule="auto"/>
      </w:pPr>
      <w:r>
        <w:rPr>
          <w:rFonts w:ascii="inter" w:hAnsi="inter" w:eastAsia="inter" w:cs="inter"/>
          <w:color w:val="000000"/>
        </w:rPr>
        <w:t xml:space="preserve">University of Michigan. (n.d.). "Towards a Transnational Feminist Film Studies Classroom." </w:t>
      </w:r>
      <w:r>
        <w:fldChar w:fldCharType="begin"/>
      </w:r>
      <w:r>
        <w:instrText xml:space="preserve"> HYPERLINK "https://quod.lib.umich.edu/j/jcms/" \h </w:instrText>
      </w:r>
      <w:r>
        <w:fldChar w:fldCharType="separate"/>
      </w:r>
      <w:r>
        <w:rPr>
          <w:rFonts w:ascii="inter" w:hAnsi="inter" w:eastAsia="inter" w:cs="inter"/>
          <w:color w:val="000000"/>
          <w:u w:val="single"/>
        </w:rPr>
        <w:t>https://quod.lib.umich.edu/j/jcms/</w:t>
      </w:r>
      <w:r>
        <w:rPr>
          <w:rFonts w:ascii="inter" w:hAnsi="inter" w:eastAsia="inter" w:cs="inter"/>
          <w:color w:val="000000"/>
          <w:u w:val="single"/>
        </w:rPr>
        <w:fldChar w:fldCharType="end"/>
      </w:r>
      <w:bookmarkStart w:id="169" w:name="fnref26_2"/>
      <w:bookmarkEnd w:id="169"/>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p>
    <w:p w14:paraId="58DD4435">
      <w:pPr>
        <w:spacing w:after="210" w:line="360" w:lineRule="auto"/>
      </w:pPr>
      <w:r>
        <w:rPr>
          <w:rFonts w:ascii="inter" w:hAnsi="inter" w:eastAsia="inter" w:cs="inter"/>
          <w:color w:val="000000"/>
        </w:rPr>
        <w:t xml:space="preserve">IJRPR. (n.d.). "Judith Butler's Theory of Performativity [PDF]." </w:t>
      </w:r>
      <w:r>
        <w:fldChar w:fldCharType="begin"/>
      </w:r>
      <w:r>
        <w:instrText xml:space="preserve"> HYPERLINK "https://ijrpr.com/uploads/V3ISSUE8/IJRPR6666.pdf" \h </w:instrText>
      </w:r>
      <w:r>
        <w:fldChar w:fldCharType="separate"/>
      </w:r>
      <w:r>
        <w:rPr>
          <w:rFonts w:ascii="inter" w:hAnsi="inter" w:eastAsia="inter" w:cs="inter"/>
          <w:color w:val="000000"/>
          <w:u w:val="single"/>
        </w:rPr>
        <w:t>https://ijrpr.com/uploads/V3ISSUE8/IJRPR6666.pdf</w:t>
      </w:r>
      <w:r>
        <w:rPr>
          <w:rFonts w:ascii="inter" w:hAnsi="inter" w:eastAsia="inter" w:cs="inter"/>
          <w:color w:val="000000"/>
          <w:u w:val="single"/>
        </w:rPr>
        <w:fldChar w:fldCharType="end"/>
      </w:r>
      <w:bookmarkStart w:id="170" w:name="fnref21_1"/>
      <w:bookmarkEnd w:id="170"/>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p>
    <w:p w14:paraId="19001689">
      <w:pPr>
        <w:spacing w:after="210" w:line="360" w:lineRule="auto"/>
      </w:pPr>
      <w:r>
        <w:rPr>
          <w:rFonts w:ascii="inter" w:hAnsi="inter" w:eastAsia="inter" w:cs="inter"/>
          <w:color w:val="000000"/>
        </w:rPr>
        <w:t xml:space="preserve">Fiveable. (2025). "Intersectionality and Diverse Feminist Approaches to Film." </w:t>
      </w:r>
      <w:r>
        <w:fldChar w:fldCharType="begin"/>
      </w:r>
      <w:r>
        <w:instrText xml:space="preserve"> HYPERLINK "https://fiveable.me/introduction-to-film-theory/unit-10/intersectionality-diverse-feminist-approaches-film/study-guide/" \h </w:instrText>
      </w:r>
      <w:r>
        <w:fldChar w:fldCharType="separate"/>
      </w:r>
      <w:r>
        <w:rPr>
          <w:rFonts w:ascii="inter" w:hAnsi="inter" w:eastAsia="inter" w:cs="inter"/>
          <w:color w:val="000000"/>
          <w:u w:val="single"/>
        </w:rPr>
        <w:t>https://fiveable.me/introduction-to-film-theory/unit-10/intersectionality-diverse-feminist-approaches-film/study-guide/</w:t>
      </w:r>
      <w:r>
        <w:rPr>
          <w:rFonts w:ascii="inter" w:hAnsi="inter" w:eastAsia="inter" w:cs="inter"/>
          <w:color w:val="000000"/>
          <w:u w:val="single"/>
        </w:rPr>
        <w:fldChar w:fldCharType="end"/>
      </w:r>
      <w:bookmarkStart w:id="171" w:name="fnref27_2"/>
      <w:bookmarkEnd w:id="171"/>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p>
    <w:p w14:paraId="36C3F676">
      <w:pPr>
        <w:spacing w:after="210" w:line="360" w:lineRule="auto"/>
      </w:pPr>
      <w:r>
        <w:rPr>
          <w:rFonts w:ascii="inter" w:hAnsi="inter" w:eastAsia="inter" w:cs="inter"/>
          <w:color w:val="000000"/>
        </w:rPr>
        <w:t xml:space="preserve">Amherst College. (n.d.). "Performative Acts and Gender Constitution [PDF]." </w:t>
      </w:r>
      <w:r>
        <w:fldChar w:fldCharType="begin"/>
      </w:r>
      <w:r>
        <w:instrText xml:space="preserve"> HYPERLINK "https://www.amherst.edu/system/files/media/1650/butler_performative_acts.pdf" \h </w:instrText>
      </w:r>
      <w:r>
        <w:fldChar w:fldCharType="separate"/>
      </w:r>
      <w:r>
        <w:rPr>
          <w:rFonts w:ascii="inter" w:hAnsi="inter" w:eastAsia="inter" w:cs="inter"/>
          <w:color w:val="000000"/>
          <w:u w:val="single"/>
        </w:rPr>
        <w:t>https://www.amherst.edu/system/files/media/1650/butler_performative_acts.pdf</w:t>
      </w:r>
      <w:r>
        <w:rPr>
          <w:rFonts w:ascii="inter" w:hAnsi="inter" w:eastAsia="inter" w:cs="inter"/>
          <w:color w:val="000000"/>
          <w:u w:val="single"/>
        </w:rPr>
        <w:fldChar w:fldCharType="end"/>
      </w:r>
      <w:bookmarkStart w:id="172" w:name="fnref22_1"/>
      <w:bookmarkEnd w:id="172"/>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p>
    <w:p w14:paraId="2EB719AD">
      <w:pPr>
        <w:spacing w:after="210" w:line="360" w:lineRule="auto"/>
      </w:pPr>
      <w:r>
        <w:rPr>
          <w:rFonts w:ascii="inter" w:hAnsi="inter" w:eastAsia="inter" w:cs="inter"/>
          <w:color w:val="000000"/>
        </w:rPr>
        <w:t xml:space="preserve">The Conversation. (2025, April 2). "Half a Century of the 'Male Gaze': Why Laura Mulvey's Pioneering Theory Still Resonates." </w:t>
      </w:r>
      <w:r>
        <w:fldChar w:fldCharType="begin"/>
      </w:r>
      <w:r>
        <w:instrText xml:space="preserve"> HYPERLINK "https://theconversation.com/half-a-century-of-the-male-gaze-why-laura-mulveys-pioneering-theory-still-resonates-today-256875" \h </w:instrText>
      </w:r>
      <w:r>
        <w:fldChar w:fldCharType="separate"/>
      </w:r>
      <w:r>
        <w:rPr>
          <w:rFonts w:ascii="inter" w:hAnsi="inter" w:eastAsia="inter" w:cs="inter"/>
          <w:color w:val="000000"/>
          <w:u w:val="single"/>
        </w:rPr>
        <w:t>https://theconversation.com/half-a-century-of-the-male-gaze-why-laura-mulveys-pioneering-theory-still-resonates-today-256875</w:t>
      </w:r>
      <w:r>
        <w:rPr>
          <w:rFonts w:ascii="inter" w:hAnsi="inter" w:eastAsia="inter" w:cs="inter"/>
          <w:color w:val="000000"/>
          <w:u w:val="single"/>
        </w:rPr>
        <w:fldChar w:fldCharType="end"/>
      </w:r>
      <w:bookmarkStart w:id="173" w:name="fnref24_1"/>
      <w:bookmarkEnd w:id="173"/>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p>
    <w:p w14:paraId="443375CF">
      <w:pPr>
        <w:spacing w:after="210" w:line="360" w:lineRule="auto"/>
      </w:pPr>
      <w:r>
        <w:rPr>
          <w:rFonts w:ascii="inter" w:hAnsi="inter" w:eastAsia="inter" w:cs="inter"/>
          <w:color w:val="000000"/>
        </w:rPr>
        <w:t xml:space="preserve">Wikipedia. (2015, March 16). "Male Gaze." </w:t>
      </w:r>
      <w:r>
        <w:fldChar w:fldCharType="begin"/>
      </w:r>
      <w:r>
        <w:instrText xml:space="preserve"> HYPERLINK "https://en.wikipedia.org/wiki/Male_gaze" \h </w:instrText>
      </w:r>
      <w:r>
        <w:fldChar w:fldCharType="separate"/>
      </w:r>
      <w:r>
        <w:rPr>
          <w:rFonts w:ascii="inter" w:hAnsi="inter" w:eastAsia="inter" w:cs="inter"/>
          <w:color w:val="000000"/>
          <w:u w:val="single"/>
        </w:rPr>
        <w:t>https://en.wikipedia.org/wiki/Male_gaze</w:t>
      </w:r>
      <w:r>
        <w:rPr>
          <w:rFonts w:ascii="inter" w:hAnsi="inter" w:eastAsia="inter" w:cs="inter"/>
          <w:color w:val="000000"/>
          <w:u w:val="single"/>
        </w:rPr>
        <w:fldChar w:fldCharType="end"/>
      </w:r>
      <w:bookmarkStart w:id="174" w:name="fnref25_1"/>
      <w:bookmarkEnd w:id="174"/>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p>
    <w:p w14:paraId="6DE8765F">
      <w:pPr>
        <w:spacing w:after="210" w:line="360" w:lineRule="auto"/>
      </w:pPr>
      <w:r>
        <w:rPr>
          <w:rFonts w:ascii="inter" w:hAnsi="inter" w:eastAsia="inter" w:cs="inter"/>
          <w:color w:val="000000"/>
        </w:rPr>
        <w:t xml:space="preserve">The Markaz. (n.d.). "Love Has Everything to Do with Maryam Touzani's The Blue Caftan." </w:t>
      </w:r>
      <w:r>
        <w:fldChar w:fldCharType="begin"/>
      </w:r>
      <w:r>
        <w:instrText xml:space="preserve"> HYPERLINK "https://themarkaz.org/love-has-everything-to-do-with-maryam-touzanis-the-blue-caftan/" \h </w:instrText>
      </w:r>
      <w:r>
        <w:fldChar w:fldCharType="separate"/>
      </w:r>
      <w:r>
        <w:rPr>
          <w:rFonts w:ascii="inter" w:hAnsi="inter" w:eastAsia="inter" w:cs="inter"/>
          <w:color w:val="000000"/>
          <w:u w:val="single"/>
        </w:rPr>
        <w:t>https://themarkaz.org/love-has-everything-to-do-with-maryam-touzanis-the-blue-caftan/</w:t>
      </w:r>
      <w:r>
        <w:rPr>
          <w:rFonts w:ascii="inter" w:hAnsi="inter" w:eastAsia="inter" w:cs="inter"/>
          <w:color w:val="000000"/>
          <w:u w:val="single"/>
        </w:rPr>
        <w:fldChar w:fldCharType="end"/>
      </w:r>
      <w:bookmarkStart w:id="175" w:name="fnref33_6"/>
      <w:bookmarkEnd w:id="175"/>
      <w:r>
        <w:fldChar w:fldCharType="begin"/>
      </w:r>
      <w:r>
        <w:instrText xml:space="preserve"> HYPERLINK \l "fn33" \h </w:instrText>
      </w:r>
      <w:r>
        <w:fldChar w:fldCharType="separate"/>
      </w:r>
      <w:r>
        <w:rPr>
          <w:rFonts w:ascii="inter" w:hAnsi="inter" w:eastAsia="inter" w:cs="inter"/>
          <w:color w:val="000000"/>
          <w:u w:val="single"/>
          <w:vertAlign w:val="superscript"/>
        </w:rPr>
        <w:t>[33]</w:t>
      </w:r>
      <w:r>
        <w:rPr>
          <w:rFonts w:ascii="inter" w:hAnsi="inter" w:eastAsia="inter" w:cs="inter"/>
          <w:color w:val="000000"/>
          <w:u w:val="single"/>
          <w:vertAlign w:val="superscript"/>
        </w:rPr>
        <w:fldChar w:fldCharType="end"/>
      </w:r>
    </w:p>
    <w:p w14:paraId="541DFBA5">
      <w:pPr>
        <w:spacing w:after="210" w:line="360" w:lineRule="auto"/>
      </w:pPr>
      <w:r>
        <w:rPr>
          <w:rFonts w:ascii="inter" w:hAnsi="inter" w:eastAsia="inter" w:cs="inter"/>
          <w:color w:val="000000"/>
        </w:rPr>
        <w:t xml:space="preserve">TIMEP. (2024, June 3). "2023 Was a Bad Year for LGBTQ+ Rights in the MENA Region, and 2024 is Set to be Even Worse." </w:t>
      </w:r>
      <w:r>
        <w:fldChar w:fldCharType="begin"/>
      </w:r>
      <w:r>
        <w:instrText xml:space="preserve"> HYPERLINK "https://timep.org/2024/06/04/2023-was-a-bad-year-for-lgbtq-rights-in-the-mena-region-2024-is-set-to-be-even-worse/" \h </w:instrText>
      </w:r>
      <w:r>
        <w:fldChar w:fldCharType="separate"/>
      </w:r>
      <w:r>
        <w:rPr>
          <w:rFonts w:ascii="inter" w:hAnsi="inter" w:eastAsia="inter" w:cs="inter"/>
          <w:color w:val="000000"/>
          <w:u w:val="single"/>
        </w:rPr>
        <w:t>https://timep.org/2024/06/04/2023-was-a-bad-year-for-lgbtq-rights-in-the-mena-region-2024-is-set-to-be-even-worse/</w:t>
      </w:r>
      <w:r>
        <w:rPr>
          <w:rFonts w:ascii="inter" w:hAnsi="inter" w:eastAsia="inter" w:cs="inter"/>
          <w:color w:val="000000"/>
          <w:u w:val="single"/>
        </w:rPr>
        <w:fldChar w:fldCharType="end"/>
      </w:r>
      <w:bookmarkStart w:id="176" w:name="fnref1_9"/>
      <w:bookmarkEnd w:id="176"/>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036E4330">
      <w:pPr>
        <w:spacing w:after="210" w:line="360" w:lineRule="auto"/>
      </w:pPr>
      <w:r>
        <w:rPr>
          <w:rFonts w:ascii="inter" w:hAnsi="inter" w:eastAsia="inter" w:cs="inter"/>
          <w:color w:val="000000"/>
        </w:rPr>
        <w:t xml:space="preserve">BFI. (2023). "Why This Moroccan Tailoring Drama is a Boost for Queer Culture in Africa and the Arab World." </w:t>
      </w:r>
      <w:r>
        <w:fldChar w:fldCharType="begin"/>
      </w:r>
      <w:r>
        <w:instrText xml:space="preserve"> HYPERLINK "https://www.bfi.org.uk/features/why-this-moroccan-tailoring-drama-boost-queer-culture-africa-arab-world" \h </w:instrText>
      </w:r>
      <w:r>
        <w:fldChar w:fldCharType="separate"/>
      </w:r>
      <w:r>
        <w:rPr>
          <w:rFonts w:ascii="inter" w:hAnsi="inter" w:eastAsia="inter" w:cs="inter"/>
          <w:color w:val="000000"/>
          <w:u w:val="single"/>
        </w:rPr>
        <w:t>https://www.bfi.org.uk/features/why-this-moroccan-tailoring-drama-boost-queer-culture-africa-arab-world</w:t>
      </w:r>
      <w:r>
        <w:rPr>
          <w:rFonts w:ascii="inter" w:hAnsi="inter" w:eastAsia="inter" w:cs="inter"/>
          <w:color w:val="000000"/>
          <w:u w:val="single"/>
        </w:rPr>
        <w:fldChar w:fldCharType="end"/>
      </w:r>
      <w:bookmarkStart w:id="177" w:name="fnref34_2"/>
      <w:bookmarkEnd w:id="177"/>
      <w:r>
        <w:fldChar w:fldCharType="begin"/>
      </w:r>
      <w:r>
        <w:instrText xml:space="preserve"> HYPERLINK \l "fn34" \h </w:instrText>
      </w:r>
      <w:r>
        <w:fldChar w:fldCharType="separate"/>
      </w:r>
      <w:r>
        <w:rPr>
          <w:rFonts w:ascii="inter" w:hAnsi="inter" w:eastAsia="inter" w:cs="inter"/>
          <w:color w:val="000000"/>
          <w:u w:val="single"/>
          <w:vertAlign w:val="superscript"/>
        </w:rPr>
        <w:t>[34]</w:t>
      </w:r>
      <w:r>
        <w:rPr>
          <w:rFonts w:ascii="inter" w:hAnsi="inter" w:eastAsia="inter" w:cs="inter"/>
          <w:color w:val="000000"/>
          <w:u w:val="single"/>
          <w:vertAlign w:val="superscript"/>
        </w:rPr>
        <w:fldChar w:fldCharType="end"/>
      </w:r>
    </w:p>
    <w:p w14:paraId="6369375C">
      <w:pPr>
        <w:spacing w:after="210" w:line="360" w:lineRule="auto"/>
      </w:pPr>
      <w:r>
        <w:rPr>
          <w:rFonts w:ascii="inter" w:hAnsi="inter" w:eastAsia="inter" w:cs="inter"/>
          <w:color w:val="000000"/>
        </w:rPr>
        <w:t xml:space="preserve">University of California, Los Angeles. (2023, August 2). "Queer Film and Art Practice from Lebanon: New Political Imaginaries." </w:t>
      </w:r>
      <w:r>
        <w:fldChar w:fldCharType="begin"/>
      </w:r>
      <w:r>
        <w:instrText xml:space="preserve"> HYPERLINK "https://escholarship.org/uc/item/52k2b4d3" \h </w:instrText>
      </w:r>
      <w:r>
        <w:fldChar w:fldCharType="separate"/>
      </w:r>
      <w:r>
        <w:rPr>
          <w:rFonts w:ascii="inter" w:hAnsi="inter" w:eastAsia="inter" w:cs="inter"/>
          <w:color w:val="000000"/>
          <w:u w:val="single"/>
        </w:rPr>
        <w:t>https://escholarship.org/uc/item/52k2b4d3</w:t>
      </w:r>
      <w:r>
        <w:rPr>
          <w:rFonts w:ascii="inter" w:hAnsi="inter" w:eastAsia="inter" w:cs="inter"/>
          <w:color w:val="000000"/>
          <w:u w:val="single"/>
        </w:rPr>
        <w:fldChar w:fldCharType="end"/>
      </w:r>
      <w:bookmarkStart w:id="178" w:name="fnref43_1"/>
      <w:bookmarkEnd w:id="178"/>
      <w:r>
        <w:fldChar w:fldCharType="begin"/>
      </w:r>
      <w:r>
        <w:instrText xml:space="preserve"> HYPERLINK \l "fn43" \h </w:instrText>
      </w:r>
      <w:r>
        <w:fldChar w:fldCharType="separate"/>
      </w:r>
      <w:r>
        <w:rPr>
          <w:rFonts w:ascii="inter" w:hAnsi="inter" w:eastAsia="inter" w:cs="inter"/>
          <w:color w:val="000000"/>
          <w:u w:val="single"/>
          <w:vertAlign w:val="superscript"/>
        </w:rPr>
        <w:t>[43]</w:t>
      </w:r>
      <w:r>
        <w:rPr>
          <w:rFonts w:ascii="inter" w:hAnsi="inter" w:eastAsia="inter" w:cs="inter"/>
          <w:color w:val="000000"/>
          <w:u w:val="single"/>
          <w:vertAlign w:val="superscript"/>
        </w:rPr>
        <w:fldChar w:fldCharType="end"/>
      </w:r>
    </w:p>
    <w:p w14:paraId="1F40F7EB">
      <w:pPr>
        <w:spacing w:after="210" w:line="360" w:lineRule="auto"/>
      </w:pPr>
      <w:r>
        <w:rPr>
          <w:rFonts w:ascii="inter" w:hAnsi="inter" w:eastAsia="inter" w:cs="inter"/>
          <w:color w:val="000000"/>
        </w:rPr>
        <w:t xml:space="preserve">76 Crimes. (2024, July 6). "Website Tracks Legal Rights for Trans People in Middle East and North Africa." </w:t>
      </w:r>
      <w:r>
        <w:fldChar w:fldCharType="begin"/>
      </w:r>
      <w:r>
        <w:instrText xml:space="preserve"> HYPERLINK "https://76crimes.com/2024/07/07/website-tracks-legal-rights-for-trans-people-in-middle-east-and-north-africa/" \h </w:instrText>
      </w:r>
      <w:r>
        <w:fldChar w:fldCharType="separate"/>
      </w:r>
      <w:r>
        <w:rPr>
          <w:rFonts w:ascii="inter" w:hAnsi="inter" w:eastAsia="inter" w:cs="inter"/>
          <w:color w:val="000000"/>
          <w:u w:val="single"/>
        </w:rPr>
        <w:t>https://76crimes.com/2024/07/07/website-tracks-legal-rights-for-trans-people-in-middle-east-and-north-africa/</w:t>
      </w:r>
      <w:r>
        <w:rPr>
          <w:rFonts w:ascii="inter" w:hAnsi="inter" w:eastAsia="inter" w:cs="inter"/>
          <w:color w:val="000000"/>
          <w:u w:val="single"/>
        </w:rPr>
        <w:fldChar w:fldCharType="end"/>
      </w:r>
      <w:bookmarkStart w:id="179" w:name="fnref12_1"/>
      <w:bookmarkEnd w:id="179"/>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p>
    <w:p w14:paraId="5E47D833">
      <w:pPr>
        <w:spacing w:after="210" w:line="360" w:lineRule="auto"/>
      </w:pPr>
      <w:r>
        <w:rPr>
          <w:rFonts w:ascii="inter" w:hAnsi="inter" w:eastAsia="inter" w:cs="inter"/>
          <w:color w:val="000000"/>
        </w:rPr>
        <w:t xml:space="preserve">Variety. (2022). "'The Blue Caftan' Review: A Closeted Tailor Confronts His Feelings." </w:t>
      </w:r>
      <w:r>
        <w:fldChar w:fldCharType="begin"/>
      </w:r>
      <w:r>
        <w:instrText xml:space="preserve"> HYPERLINK "https://variety.com/2022/film/reviews/the-blue-caftan-review-1235285112/" \h </w:instrText>
      </w:r>
      <w:r>
        <w:fldChar w:fldCharType="separate"/>
      </w:r>
      <w:r>
        <w:rPr>
          <w:rFonts w:ascii="inter" w:hAnsi="inter" w:eastAsia="inter" w:cs="inter"/>
          <w:color w:val="000000"/>
          <w:u w:val="single"/>
        </w:rPr>
        <w:t>https://variety.com/2022/film/reviews/the-blue-caftan-review-1235285112/</w:t>
      </w:r>
      <w:r>
        <w:rPr>
          <w:rFonts w:ascii="inter" w:hAnsi="inter" w:eastAsia="inter" w:cs="inter"/>
          <w:color w:val="000000"/>
          <w:u w:val="single"/>
        </w:rPr>
        <w:fldChar w:fldCharType="end"/>
      </w:r>
      <w:bookmarkStart w:id="180" w:name="fnref13_1"/>
      <w:bookmarkEnd w:id="180"/>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271BBF07">
      <w:pPr>
        <w:spacing w:after="210" w:line="360" w:lineRule="auto"/>
      </w:pPr>
      <w:r>
        <w:rPr>
          <w:rFonts w:ascii="inter" w:hAnsi="inter" w:eastAsia="inter" w:cs="inter"/>
          <w:color w:val="000000"/>
        </w:rPr>
        <w:t xml:space="preserve">Outright International. (2023, September). "LGBTQ Progress in the Middle East and North Africa [PDF]." </w:t>
      </w:r>
      <w:r>
        <w:fldChar w:fldCharType="begin"/>
      </w:r>
      <w:r>
        <w:instrText xml:space="preserve"> HYPERLINK "https://outrightinternational.org/sites/default/files/2023-09/Activism_Resilience_MENA_EN_Summary.pdf" \h </w:instrText>
      </w:r>
      <w:r>
        <w:fldChar w:fldCharType="separate"/>
      </w:r>
      <w:r>
        <w:rPr>
          <w:rFonts w:ascii="inter" w:hAnsi="inter" w:eastAsia="inter" w:cs="inter"/>
          <w:color w:val="000000"/>
          <w:u w:val="single"/>
        </w:rPr>
        <w:t>https://outrightinternational.org/sites/default/files/2023-09/Activism_Resilience_MENA_EN_Summary.pdf</w:t>
      </w:r>
      <w:r>
        <w:rPr>
          <w:rFonts w:ascii="inter" w:hAnsi="inter" w:eastAsia="inter" w:cs="inter"/>
          <w:color w:val="000000"/>
          <w:u w:val="single"/>
        </w:rPr>
        <w:fldChar w:fldCharType="end"/>
      </w:r>
      <w:bookmarkStart w:id="181" w:name="fnref2_2"/>
      <w:bookmarkEnd w:id="181"/>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1A6591E9">
      <w:pPr>
        <w:spacing w:after="210" w:line="360" w:lineRule="auto"/>
      </w:pPr>
      <w:r>
        <w:rPr>
          <w:rFonts w:ascii="inter" w:hAnsi="inter" w:eastAsia="inter" w:cs="inter"/>
          <w:color w:val="000000"/>
        </w:rPr>
        <w:t xml:space="preserve">The Pink News. (2023, May 26). "The Blue Caftan Director on Giving Voice to Queer Moroccans." </w:t>
      </w:r>
      <w:r>
        <w:fldChar w:fldCharType="begin"/>
      </w:r>
      <w:r>
        <w:instrText xml:space="preserve"> HYPERLINK "https://www.thepinknews.com/2023/05/26/the-blue-caftan-director-lgbt-moroccans-interview/" \h </w:instrText>
      </w:r>
      <w:r>
        <w:fldChar w:fldCharType="separate"/>
      </w:r>
      <w:r>
        <w:rPr>
          <w:rFonts w:ascii="inter" w:hAnsi="inter" w:eastAsia="inter" w:cs="inter"/>
          <w:color w:val="000000"/>
          <w:u w:val="single"/>
        </w:rPr>
        <w:t>https://www.thepinknews.com/2023/05/26/the-blue-caftan-director-lgbt-moroccans-interview/</w:t>
      </w:r>
      <w:r>
        <w:rPr>
          <w:rFonts w:ascii="inter" w:hAnsi="inter" w:eastAsia="inter" w:cs="inter"/>
          <w:color w:val="000000"/>
          <w:u w:val="single"/>
        </w:rPr>
        <w:fldChar w:fldCharType="end"/>
      </w:r>
      <w:bookmarkStart w:id="182" w:name="fnref20_1"/>
      <w:bookmarkEnd w:id="182"/>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p>
    <w:p w14:paraId="03847363">
      <w:pPr>
        <w:spacing w:after="210" w:line="360" w:lineRule="auto"/>
      </w:pPr>
      <w:r>
        <w:rPr>
          <w:rFonts w:ascii="inter" w:hAnsi="inter" w:eastAsia="inter" w:cs="inter"/>
          <w:color w:val="000000"/>
        </w:rPr>
        <w:t xml:space="preserve">Human Rights Watch. (2024, June 6). "Beyond Decriminalization of Same-Sex Relations." </w:t>
      </w:r>
      <w:r>
        <w:fldChar w:fldCharType="begin"/>
      </w:r>
      <w:r>
        <w:instrText xml:space="preserve"> HYPERLINK "https://www.hrw.org/news/2024/06/06/beyond-decriminalization-same-sex-relations" \h </w:instrText>
      </w:r>
      <w:r>
        <w:fldChar w:fldCharType="separate"/>
      </w:r>
      <w:r>
        <w:rPr>
          <w:rFonts w:ascii="inter" w:hAnsi="inter" w:eastAsia="inter" w:cs="inter"/>
          <w:color w:val="000000"/>
          <w:u w:val="single"/>
        </w:rPr>
        <w:t>https://www.hrw.org/news/2024/06/06/beyond-decriminalization-same-sex-relations</w:t>
      </w:r>
      <w:r>
        <w:rPr>
          <w:rFonts w:ascii="inter" w:hAnsi="inter" w:eastAsia="inter" w:cs="inter"/>
          <w:color w:val="000000"/>
          <w:u w:val="single"/>
        </w:rPr>
        <w:fldChar w:fldCharType="end"/>
      </w:r>
      <w:bookmarkStart w:id="183" w:name="fnref42_1"/>
      <w:bookmarkEnd w:id="183"/>
      <w:r>
        <w:fldChar w:fldCharType="begin"/>
      </w:r>
      <w:r>
        <w:instrText xml:space="preserve"> HYPERLINK \l "fn42" \h </w:instrText>
      </w:r>
      <w:r>
        <w:fldChar w:fldCharType="separate"/>
      </w:r>
      <w:r>
        <w:rPr>
          <w:rFonts w:ascii="inter" w:hAnsi="inter" w:eastAsia="inter" w:cs="inter"/>
          <w:color w:val="000000"/>
          <w:u w:val="single"/>
          <w:vertAlign w:val="superscript"/>
        </w:rPr>
        <w:t>[42]</w:t>
      </w:r>
      <w:r>
        <w:rPr>
          <w:rFonts w:ascii="inter" w:hAnsi="inter" w:eastAsia="inter" w:cs="inter"/>
          <w:color w:val="000000"/>
          <w:u w:val="single"/>
          <w:vertAlign w:val="superscript"/>
        </w:rPr>
        <w:fldChar w:fldCharType="end"/>
      </w:r>
    </w:p>
    <w:p w14:paraId="34216BDC">
      <w:pPr>
        <w:spacing w:after="210" w:line="360" w:lineRule="auto"/>
      </w:pPr>
      <w:r>
        <w:rPr>
          <w:rFonts w:ascii="inter" w:hAnsi="inter" w:eastAsia="inter" w:cs="inter"/>
          <w:color w:val="000000"/>
        </w:rPr>
        <w:t xml:space="preserve">International Journal of Research and Review in Social Sciences. (n.d.). "A Visual Analysis of Transgender Representation in Joyland [PDF]." </w:t>
      </w:r>
      <w:r>
        <w:fldChar w:fldCharType="begin"/>
      </w:r>
      <w:r>
        <w:instrText xml:space="preserve"> HYPERLINK "https://rsisinternational.org/journals/ijriss/download_pdf.php?id=1813" \h </w:instrText>
      </w:r>
      <w:r>
        <w:fldChar w:fldCharType="separate"/>
      </w:r>
      <w:r>
        <w:rPr>
          <w:rFonts w:ascii="inter" w:hAnsi="inter" w:eastAsia="inter" w:cs="inter"/>
          <w:color w:val="000000"/>
          <w:u w:val="single"/>
        </w:rPr>
        <w:t>https://rsisinternational.org/journals/ijriss/download_pdf.php?id=1813</w:t>
      </w:r>
      <w:r>
        <w:rPr>
          <w:rFonts w:ascii="inter" w:hAnsi="inter" w:eastAsia="inter" w:cs="inter"/>
          <w:color w:val="000000"/>
          <w:u w:val="single"/>
        </w:rPr>
        <w:fldChar w:fldCharType="end"/>
      </w:r>
      <w:bookmarkStart w:id="184" w:name="fnref5_5"/>
      <w:bookmarkEnd w:id="184"/>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12F6D00B">
      <w:pPr>
        <w:spacing w:after="210" w:line="360" w:lineRule="auto"/>
      </w:pPr>
      <w:r>
        <w:rPr>
          <w:rFonts w:ascii="inter" w:hAnsi="inter" w:eastAsia="inter" w:cs="inter"/>
          <w:color w:val="000000"/>
        </w:rPr>
        <w:t xml:space="preserve">NBC News. (2017, August 26). "Emirati Filmmaker Pushes Boundaries, Exposes Hidden Lives." </w:t>
      </w:r>
      <w:r>
        <w:fldChar w:fldCharType="begin"/>
      </w:r>
      <w:r>
        <w:instrText xml:space="preserve"> HYPERLINK "https://www.nbcnews.com/feature/nbc-out/emirati-filmmaker-pushes-boundaries-exposes-hidden-lives-n796351" \h </w:instrText>
      </w:r>
      <w:r>
        <w:fldChar w:fldCharType="separate"/>
      </w:r>
      <w:r>
        <w:rPr>
          <w:rFonts w:ascii="inter" w:hAnsi="inter" w:eastAsia="inter" w:cs="inter"/>
          <w:color w:val="000000"/>
          <w:u w:val="single"/>
        </w:rPr>
        <w:t>https://www.nbcnews.com/feature/nbc-out/emirati-filmmaker-pushes-boundaries-exposes-hidden-lives-n796351</w:t>
      </w:r>
      <w:r>
        <w:rPr>
          <w:rFonts w:ascii="inter" w:hAnsi="inter" w:eastAsia="inter" w:cs="inter"/>
          <w:color w:val="000000"/>
          <w:u w:val="single"/>
        </w:rPr>
        <w:fldChar w:fldCharType="end"/>
      </w:r>
      <w:bookmarkStart w:id="185" w:name="fnref3_9"/>
      <w:bookmarkEnd w:id="185"/>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2F88608F">
      <w:pPr>
        <w:spacing w:after="210" w:line="360" w:lineRule="auto"/>
      </w:pPr>
      <w:r>
        <w:rPr>
          <w:rFonts w:ascii="inter" w:hAnsi="inter" w:eastAsia="inter" w:cs="inter"/>
          <w:color w:val="000000"/>
        </w:rPr>
        <w:t xml:space="preserve">South Asia Times. (n.d.). "Joyland: A Gender Rebellion." </w:t>
      </w:r>
      <w:r>
        <w:fldChar w:fldCharType="begin"/>
      </w:r>
      <w:r>
        <w:instrText xml:space="preserve"> HYPERLINK "https://southasiatimes.org/joyland-a-gender-rebellion/" \h </w:instrText>
      </w:r>
      <w:r>
        <w:fldChar w:fldCharType="separate"/>
      </w:r>
      <w:r>
        <w:rPr>
          <w:rFonts w:ascii="inter" w:hAnsi="inter" w:eastAsia="inter" w:cs="inter"/>
          <w:color w:val="000000"/>
          <w:u w:val="single"/>
        </w:rPr>
        <w:t>https://southasiatimes.org/joyland-a-gender-rebellion/</w:t>
      </w:r>
      <w:r>
        <w:rPr>
          <w:rFonts w:ascii="inter" w:hAnsi="inter" w:eastAsia="inter" w:cs="inter"/>
          <w:color w:val="000000"/>
          <w:u w:val="single"/>
        </w:rPr>
        <w:fldChar w:fldCharType="end"/>
      </w:r>
      <w:bookmarkStart w:id="186" w:name="fnref6_4"/>
      <w:bookmarkEnd w:id="186"/>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23F4E8E5">
      <w:pPr>
        <w:spacing w:after="210" w:line="360" w:lineRule="auto"/>
      </w:pPr>
      <w:r>
        <w:rPr>
          <w:rFonts w:ascii="inter" w:hAnsi="inter" w:eastAsia="inter" w:cs="inter"/>
          <w:color w:val="000000"/>
        </w:rPr>
        <w:t xml:space="preserve">i-D Magazine. (n.d.). "Pakistan's Official Oscar Submission is a Banned Trans Love Story." </w:t>
      </w:r>
      <w:r>
        <w:fldChar w:fldCharType="begin"/>
      </w:r>
      <w:r>
        <w:instrText xml:space="preserve"> HYPERLINK "https://i-d.co/article/joyland-movie-oscars-controversy/" \h </w:instrText>
      </w:r>
      <w:r>
        <w:fldChar w:fldCharType="separate"/>
      </w:r>
      <w:r>
        <w:rPr>
          <w:rFonts w:ascii="inter" w:hAnsi="inter" w:eastAsia="inter" w:cs="inter"/>
          <w:color w:val="000000"/>
          <w:u w:val="single"/>
        </w:rPr>
        <w:t>https://i-d.co/article/joyland-movie-oscars-controversy/</w:t>
      </w:r>
      <w:r>
        <w:rPr>
          <w:rFonts w:ascii="inter" w:hAnsi="inter" w:eastAsia="inter" w:cs="inter"/>
          <w:color w:val="000000"/>
          <w:u w:val="single"/>
        </w:rPr>
        <w:fldChar w:fldCharType="end"/>
      </w:r>
      <w:bookmarkStart w:id="187" w:name="fnref36_1"/>
      <w:bookmarkEnd w:id="187"/>
      <w:r>
        <w:fldChar w:fldCharType="begin"/>
      </w:r>
      <w:r>
        <w:instrText xml:space="preserve"> HYPERLINK \l "fn36" \h </w:instrText>
      </w:r>
      <w:r>
        <w:fldChar w:fldCharType="separate"/>
      </w:r>
      <w:r>
        <w:rPr>
          <w:rFonts w:ascii="inter" w:hAnsi="inter" w:eastAsia="inter" w:cs="inter"/>
          <w:color w:val="000000"/>
          <w:u w:val="single"/>
          <w:vertAlign w:val="superscript"/>
        </w:rPr>
        <w:t>[36]</w:t>
      </w:r>
      <w:r>
        <w:rPr>
          <w:rFonts w:ascii="inter" w:hAnsi="inter" w:eastAsia="inter" w:cs="inter"/>
          <w:color w:val="000000"/>
          <w:u w:val="single"/>
          <w:vertAlign w:val="superscript"/>
        </w:rPr>
        <w:fldChar w:fldCharType="end"/>
      </w:r>
    </w:p>
    <w:p w14:paraId="64659015">
      <w:pPr>
        <w:spacing w:after="210" w:line="360" w:lineRule="auto"/>
      </w:pPr>
      <w:r>
        <w:rPr>
          <w:rFonts w:ascii="inter" w:hAnsi="inter" w:eastAsia="inter" w:cs="inter"/>
          <w:color w:val="000000"/>
        </w:rPr>
        <w:t xml:space="preserve">Detained in Dubai. (n.d.). "Homosexuality in the UAE." </w:t>
      </w:r>
      <w:r>
        <w:fldChar w:fldCharType="begin"/>
      </w:r>
      <w:r>
        <w:instrText xml:space="preserve"> HYPERLINK "https://www.detainedindubai.org/resources/homosexuality-in-the-uae" \h </w:instrText>
      </w:r>
      <w:r>
        <w:fldChar w:fldCharType="separate"/>
      </w:r>
      <w:r>
        <w:rPr>
          <w:rFonts w:ascii="inter" w:hAnsi="inter" w:eastAsia="inter" w:cs="inter"/>
          <w:color w:val="000000"/>
          <w:u w:val="single"/>
        </w:rPr>
        <w:t>https://www.detainedindubai.org/resources/homosexuality-in-the-uae</w:t>
      </w:r>
      <w:r>
        <w:rPr>
          <w:rFonts w:ascii="inter" w:hAnsi="inter" w:eastAsia="inter" w:cs="inter"/>
          <w:color w:val="000000"/>
          <w:u w:val="single"/>
        </w:rPr>
        <w:fldChar w:fldCharType="end"/>
      </w:r>
      <w:bookmarkStart w:id="188" w:name="fnref4_1"/>
      <w:bookmarkEnd w:id="188"/>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47045278">
      <w:pPr>
        <w:spacing w:after="210" w:line="360" w:lineRule="auto"/>
      </w:pPr>
      <w:r>
        <w:rPr>
          <w:rFonts w:ascii="inter" w:hAnsi="inter" w:eastAsia="inter" w:cs="inter"/>
          <w:color w:val="000000"/>
        </w:rPr>
        <w:t xml:space="preserve">YouTube. (2023, April 7). "Saim Sadiq &amp; Alina Khan on JOYLAND's Groundbreaking Transgender Representation." </w:t>
      </w:r>
      <w:r>
        <w:fldChar w:fldCharType="begin"/>
      </w:r>
      <w:r>
        <w:instrText xml:space="preserve"> HYPERLINK "https://www.youtube.com/watch?v=PbEga9O6FaE" \h </w:instrText>
      </w:r>
      <w:r>
        <w:fldChar w:fldCharType="separate"/>
      </w:r>
      <w:r>
        <w:rPr>
          <w:rFonts w:ascii="inter" w:hAnsi="inter" w:eastAsia="inter" w:cs="inter"/>
          <w:color w:val="000000"/>
          <w:u w:val="single"/>
        </w:rPr>
        <w:t>https://www.youtube.com/watch?v=PbEga9O6FaE</w:t>
      </w:r>
      <w:r>
        <w:rPr>
          <w:rFonts w:ascii="inter" w:hAnsi="inter" w:eastAsia="inter" w:cs="inter"/>
          <w:color w:val="000000"/>
          <w:u w:val="single"/>
        </w:rPr>
        <w:fldChar w:fldCharType="end"/>
      </w:r>
      <w:bookmarkStart w:id="189" w:name="fnref29_4"/>
      <w:bookmarkEnd w:id="189"/>
      <w:r>
        <w:fldChar w:fldCharType="begin"/>
      </w:r>
      <w:r>
        <w:instrText xml:space="preserve"> HYPERLINK \l "fn29" \h </w:instrText>
      </w:r>
      <w:r>
        <w:fldChar w:fldCharType="separate"/>
      </w:r>
      <w:r>
        <w:rPr>
          <w:rFonts w:ascii="inter" w:hAnsi="inter" w:eastAsia="inter" w:cs="inter"/>
          <w:color w:val="000000"/>
          <w:u w:val="single"/>
          <w:vertAlign w:val="superscript"/>
        </w:rPr>
        <w:t>[29]</w:t>
      </w:r>
      <w:r>
        <w:rPr>
          <w:rFonts w:ascii="inter" w:hAnsi="inter" w:eastAsia="inter" w:cs="inter"/>
          <w:color w:val="000000"/>
          <w:u w:val="single"/>
          <w:vertAlign w:val="superscript"/>
        </w:rPr>
        <w:fldChar w:fldCharType="end"/>
      </w:r>
    </w:p>
    <w:p w14:paraId="1508EC45">
      <w:pPr>
        <w:spacing w:after="210" w:line="360" w:lineRule="auto"/>
      </w:pPr>
      <w:r>
        <w:rPr>
          <w:rFonts w:ascii="inter" w:hAnsi="inter" w:eastAsia="inter" w:cs="inter"/>
          <w:color w:val="000000"/>
        </w:rPr>
        <w:t xml:space="preserve">Reflections on Film. (2017, August 24). "Only Men Go to the Grave." </w:t>
      </w:r>
      <w:r>
        <w:fldChar w:fldCharType="begin"/>
      </w:r>
      <w:r>
        <w:instrText xml:space="preserve"> HYPERLINK "https://reflectionsonfilm.wordpress.com/tag/dubai-international-film-festival/" \h </w:instrText>
      </w:r>
      <w:r>
        <w:fldChar w:fldCharType="separate"/>
      </w:r>
      <w:r>
        <w:rPr>
          <w:rFonts w:ascii="inter" w:hAnsi="inter" w:eastAsia="inter" w:cs="inter"/>
          <w:color w:val="000000"/>
          <w:u w:val="single"/>
        </w:rPr>
        <w:t>https://reflectionsonfilm.wordpress.com/tag/dubai-international-film-festival/</w:t>
      </w:r>
      <w:r>
        <w:rPr>
          <w:rFonts w:ascii="inter" w:hAnsi="inter" w:eastAsia="inter" w:cs="inter"/>
          <w:color w:val="000000"/>
          <w:u w:val="single"/>
        </w:rPr>
        <w:fldChar w:fldCharType="end"/>
      </w:r>
      <w:bookmarkStart w:id="190" w:name="fnref11_4"/>
      <w:bookmarkEnd w:id="190"/>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6A63FEBF">
      <w:pPr>
        <w:spacing w:after="210" w:line="360" w:lineRule="auto"/>
      </w:pPr>
      <w:r>
        <w:rPr>
          <w:rFonts w:ascii="inter" w:hAnsi="inter" w:eastAsia="inter" w:cs="inter"/>
          <w:color w:val="000000"/>
        </w:rPr>
        <w:t xml:space="preserve">WACC Global. (2020, February 27). "Gender Responsive Media &amp; ICT Will Accelerate the Achievement of SDG 5." </w:t>
      </w:r>
      <w:r>
        <w:fldChar w:fldCharType="begin"/>
      </w:r>
      <w:r>
        <w:instrText xml:space="preserve"> HYPERLINK "https://waccglobal.org/gender-responsive-media-ict-will-accelerate-the-achievement-of-sdg-5/" \h </w:instrText>
      </w:r>
      <w:r>
        <w:fldChar w:fldCharType="separate"/>
      </w:r>
      <w:r>
        <w:rPr>
          <w:rFonts w:ascii="inter" w:hAnsi="inter" w:eastAsia="inter" w:cs="inter"/>
          <w:color w:val="000000"/>
          <w:u w:val="single"/>
        </w:rPr>
        <w:t>https://waccglobal.org/gender-responsive-media-ict-will-accelerate-the-achievement-of-sdg-5/</w:t>
      </w:r>
      <w:r>
        <w:rPr>
          <w:rFonts w:ascii="inter" w:hAnsi="inter" w:eastAsia="inter" w:cs="inter"/>
          <w:color w:val="000000"/>
          <w:u w:val="single"/>
        </w:rPr>
        <w:fldChar w:fldCharType="end"/>
      </w:r>
      <w:bookmarkStart w:id="191" w:name="fnref46"/>
      <w:bookmarkEnd w:id="191"/>
      <w:r>
        <w:fldChar w:fldCharType="begin"/>
      </w:r>
      <w:r>
        <w:instrText xml:space="preserve"> HYPERLINK \l "fn46" \h </w:instrText>
      </w:r>
      <w:r>
        <w:fldChar w:fldCharType="separate"/>
      </w:r>
      <w:r>
        <w:rPr>
          <w:rFonts w:ascii="inter" w:hAnsi="inter" w:eastAsia="inter" w:cs="inter"/>
          <w:color w:val="000000"/>
          <w:u w:val="single"/>
          <w:vertAlign w:val="superscript"/>
        </w:rPr>
        <w:t>[46]</w:t>
      </w:r>
      <w:r>
        <w:rPr>
          <w:rFonts w:ascii="inter" w:hAnsi="inter" w:eastAsia="inter" w:cs="inter"/>
          <w:color w:val="000000"/>
          <w:u w:val="single"/>
          <w:vertAlign w:val="superscript"/>
        </w:rPr>
        <w:fldChar w:fldCharType="end"/>
      </w:r>
    </w:p>
    <w:p w14:paraId="6D75952C">
      <w:pPr>
        <w:spacing w:after="210" w:line="360" w:lineRule="auto"/>
      </w:pPr>
      <w:r>
        <w:rPr>
          <w:rFonts w:ascii="inter" w:hAnsi="inter" w:eastAsia="inter" w:cs="inter"/>
          <w:color w:val="000000"/>
        </w:rPr>
        <w:t xml:space="preserve">The Queer Review. (2023, April 7). "Exclusive Interview: Saim Sadiq &amp; Alina Khan on the Queer Palm." </w:t>
      </w:r>
      <w:r>
        <w:fldChar w:fldCharType="begin"/>
      </w:r>
      <w:r>
        <w:instrText xml:space="preserve"> HYPERLINK "https://thequeerreview.com/2023/04/07/interview-saim-sadiq-and-alina-khan-on-joyland-lgbtq/" \h </w:instrText>
      </w:r>
      <w:r>
        <w:fldChar w:fldCharType="separate"/>
      </w:r>
      <w:r>
        <w:rPr>
          <w:rFonts w:ascii="inter" w:hAnsi="inter" w:eastAsia="inter" w:cs="inter"/>
          <w:color w:val="000000"/>
          <w:u w:val="single"/>
        </w:rPr>
        <w:t>https://thequeerreview.com/2023/04/07/interview-saim-sadiq-and-alina-khan-on-joyland-lgbtq/</w:t>
      </w:r>
      <w:r>
        <w:rPr>
          <w:rFonts w:ascii="inter" w:hAnsi="inter" w:eastAsia="inter" w:cs="inter"/>
          <w:color w:val="000000"/>
          <w:u w:val="single"/>
        </w:rPr>
        <w:fldChar w:fldCharType="end"/>
      </w:r>
      <w:bookmarkStart w:id="192" w:name="fnref30_5"/>
      <w:bookmarkEnd w:id="192"/>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p>
    <w:p w14:paraId="00952F5F">
      <w:pPr>
        <w:spacing w:after="210" w:line="360" w:lineRule="auto"/>
      </w:pPr>
      <w:r>
        <w:rPr>
          <w:rFonts w:ascii="inter" w:hAnsi="inter" w:eastAsia="inter" w:cs="inter"/>
          <w:color w:val="000000"/>
        </w:rPr>
        <w:t xml:space="preserve">Mumbai Queer Festival. (n.d.). "12 LGBTQ Films You Should Not Miss at KASHISH 2017." </w:t>
      </w:r>
      <w:r>
        <w:fldChar w:fldCharType="begin"/>
      </w:r>
      <w:r>
        <w:instrText xml:space="preserve"> HYPERLINK "https://mumbaiqueerfest.com/12-lgbtq-films-you-should-not-miss-at-kashish-2017/" \h </w:instrText>
      </w:r>
      <w:r>
        <w:fldChar w:fldCharType="separate"/>
      </w:r>
      <w:r>
        <w:rPr>
          <w:rFonts w:ascii="inter" w:hAnsi="inter" w:eastAsia="inter" w:cs="inter"/>
          <w:color w:val="000000"/>
          <w:u w:val="single"/>
        </w:rPr>
        <w:t>https://mumbaiqueerfest.com/12-lgbtq-films-you-should-not-miss-at-kashish-2017/</w:t>
      </w:r>
      <w:r>
        <w:rPr>
          <w:rFonts w:ascii="inter" w:hAnsi="inter" w:eastAsia="inter" w:cs="inter"/>
          <w:color w:val="000000"/>
          <w:u w:val="single"/>
        </w:rPr>
        <w:fldChar w:fldCharType="end"/>
      </w:r>
      <w:bookmarkStart w:id="193" w:name="fnref15_2"/>
      <w:bookmarkEnd w:id="193"/>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0049A45E">
      <w:pPr>
        <w:spacing w:after="210" w:line="360" w:lineRule="auto"/>
      </w:pPr>
      <w:r>
        <w:rPr>
          <w:rFonts w:ascii="inter" w:hAnsi="inter" w:eastAsia="inter" w:cs="inter"/>
          <w:color w:val="000000"/>
        </w:rPr>
        <w:t xml:space="preserve">NIH. (2024, April 4). "Interrogating Global Narratives of Trans Queerness." </w:t>
      </w:r>
      <w:r>
        <w:fldChar w:fldCharType="begin"/>
      </w:r>
      <w:r>
        <w:instrText xml:space="preserve"> HYPERLINK "https://pmc.ncbi.nlm.nih.gov/articles/PMC11027737/" \h </w:instrText>
      </w:r>
      <w:r>
        <w:fldChar w:fldCharType="separate"/>
      </w:r>
      <w:r>
        <w:rPr>
          <w:rFonts w:ascii="inter" w:hAnsi="inter" w:eastAsia="inter" w:cs="inter"/>
          <w:color w:val="000000"/>
          <w:u w:val="single"/>
        </w:rPr>
        <w:t>https://pmc.ncbi.nlm.nih.gov/articles/PMC11027737/</w:t>
      </w:r>
      <w:r>
        <w:rPr>
          <w:rFonts w:ascii="inter" w:hAnsi="inter" w:eastAsia="inter" w:cs="inter"/>
          <w:color w:val="000000"/>
          <w:u w:val="single"/>
        </w:rPr>
        <w:fldChar w:fldCharType="end"/>
      </w:r>
      <w:bookmarkStart w:id="194" w:name="fnref39_1"/>
      <w:bookmarkEnd w:id="194"/>
      <w:r>
        <w:fldChar w:fldCharType="begin"/>
      </w:r>
      <w:r>
        <w:instrText xml:space="preserve"> HYPERLINK \l "fn39" \h </w:instrText>
      </w:r>
      <w:r>
        <w:fldChar w:fldCharType="separate"/>
      </w:r>
      <w:r>
        <w:rPr>
          <w:rFonts w:ascii="inter" w:hAnsi="inter" w:eastAsia="inter" w:cs="inter"/>
          <w:color w:val="000000"/>
          <w:u w:val="single"/>
          <w:vertAlign w:val="superscript"/>
        </w:rPr>
        <w:t>[39]</w:t>
      </w:r>
      <w:r>
        <w:rPr>
          <w:rFonts w:ascii="inter" w:hAnsi="inter" w:eastAsia="inter" w:cs="inter"/>
          <w:color w:val="000000"/>
          <w:u w:val="single"/>
          <w:vertAlign w:val="superscript"/>
        </w:rPr>
        <w:fldChar w:fldCharType="end"/>
      </w:r>
    </w:p>
    <w:p w14:paraId="066DD73F">
      <w:pPr>
        <w:spacing w:after="210" w:line="360" w:lineRule="auto"/>
      </w:pPr>
      <w:r>
        <w:rPr>
          <w:rFonts w:ascii="inter" w:hAnsi="inter" w:eastAsia="inter" w:cs="inter"/>
          <w:color w:val="000000"/>
        </w:rPr>
        <w:t xml:space="preserve">Awards Radar. (2023, January 5). "Interview: Saim Sadiq Discusses Pakistan's Brilliantly Provocative Oscar Contender Joyland." </w:t>
      </w:r>
      <w:r>
        <w:fldChar w:fldCharType="begin"/>
      </w:r>
      <w:r>
        <w:instrText xml:space="preserve"> HYPERLINK "https://awardsradar.com/2023/01/06/interview-saim-sadiq-discusses-pakistans-brilliantly-provocative-oscar-contender-joyland/" \h </w:instrText>
      </w:r>
      <w:r>
        <w:fldChar w:fldCharType="separate"/>
      </w:r>
      <w:r>
        <w:rPr>
          <w:rFonts w:ascii="inter" w:hAnsi="inter" w:eastAsia="inter" w:cs="inter"/>
          <w:color w:val="000000"/>
          <w:u w:val="single"/>
        </w:rPr>
        <w:t>https://awardsradar.com/2023/01/06/interview-saim-sadiq-discusses-pakistans-brilliantly-provocative-oscar-contender-joyland/</w:t>
      </w:r>
      <w:r>
        <w:rPr>
          <w:rFonts w:ascii="inter" w:hAnsi="inter" w:eastAsia="inter" w:cs="inter"/>
          <w:color w:val="000000"/>
          <w:u w:val="single"/>
        </w:rPr>
        <w:fldChar w:fldCharType="end"/>
      </w:r>
      <w:bookmarkStart w:id="195" w:name="fnref35_3"/>
      <w:bookmarkEnd w:id="195"/>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p>
    <w:p w14:paraId="63DB2043">
      <w:pPr>
        <w:spacing w:after="210" w:line="360" w:lineRule="auto"/>
      </w:pPr>
      <w:r>
        <w:rPr>
          <w:rFonts w:ascii="inter" w:hAnsi="inter" w:eastAsia="inter" w:cs="inter"/>
          <w:color w:val="000000"/>
        </w:rPr>
        <w:t xml:space="preserve">UNDP. (2018). "The Sustainable Development Goals: Sexual and Gender Minorities [PDF]." </w:t>
      </w:r>
      <w:r>
        <w:fldChar w:fldCharType="begin"/>
      </w:r>
      <w:r>
        <w:instrText xml:space="preserve"> HYPERLINK "https://www.aidsdatahub.org/sites/default/files/resource/undp-sdg-sexual-and-gender-minorities-2018.pdf" \h </w:instrText>
      </w:r>
      <w:r>
        <w:fldChar w:fldCharType="separate"/>
      </w:r>
      <w:r>
        <w:rPr>
          <w:rFonts w:ascii="inter" w:hAnsi="inter" w:eastAsia="inter" w:cs="inter"/>
          <w:color w:val="000000"/>
          <w:u w:val="single"/>
        </w:rPr>
        <w:t>https://www.aidsdatahub.org/sites/default/files/resource/undp-sdg-sexual-and-gender-minorities-2018.pdf</w:t>
      </w:r>
      <w:r>
        <w:rPr>
          <w:rFonts w:ascii="inter" w:hAnsi="inter" w:eastAsia="inter" w:cs="inter"/>
          <w:color w:val="000000"/>
          <w:u w:val="single"/>
        </w:rPr>
        <w:fldChar w:fldCharType="end"/>
      </w:r>
      <w:bookmarkStart w:id="196" w:name="fnref40_2"/>
      <w:bookmarkEnd w:id="196"/>
      <w:r>
        <w:fldChar w:fldCharType="begin"/>
      </w:r>
      <w:r>
        <w:instrText xml:space="preserve"> HYPERLINK \l "fn40" \h </w:instrText>
      </w:r>
      <w:r>
        <w:fldChar w:fldCharType="separate"/>
      </w:r>
      <w:r>
        <w:rPr>
          <w:rFonts w:ascii="inter" w:hAnsi="inter" w:eastAsia="inter" w:cs="inter"/>
          <w:color w:val="000000"/>
          <w:u w:val="single"/>
          <w:vertAlign w:val="superscript"/>
        </w:rPr>
        <w:t>[40]</w:t>
      </w:r>
      <w:r>
        <w:rPr>
          <w:rFonts w:ascii="inter" w:hAnsi="inter" w:eastAsia="inter" w:cs="inter"/>
          <w:color w:val="000000"/>
          <w:u w:val="single"/>
          <w:vertAlign w:val="superscript"/>
        </w:rPr>
        <w:fldChar w:fldCharType="end"/>
      </w:r>
    </w:p>
    <w:p w14:paraId="48CF2021">
      <w:pPr>
        <w:spacing w:after="210" w:line="360" w:lineRule="auto"/>
      </w:pPr>
      <w:r>
        <w:rPr>
          <w:rFonts w:ascii="inter" w:hAnsi="inter" w:eastAsia="inter" w:cs="inter"/>
          <w:color w:val="000000"/>
        </w:rPr>
        <w:t xml:space="preserve">UNDP. (n.d.). "Sexual and Gender Minorities [PDF]." </w:t>
      </w:r>
      <w:r>
        <w:fldChar w:fldCharType="begin"/>
      </w:r>
      <w:r>
        <w:instrText xml:space="preserve"> HYPERLINK "https://www.undp.org/sites/g/files/zskgke326/files/publications/SDGs_SexualAndGenderMinorities.pdf" \h </w:instrText>
      </w:r>
      <w:r>
        <w:fldChar w:fldCharType="separate"/>
      </w:r>
      <w:r>
        <w:rPr>
          <w:rFonts w:ascii="inter" w:hAnsi="inter" w:eastAsia="inter" w:cs="inter"/>
          <w:color w:val="000000"/>
          <w:u w:val="single"/>
        </w:rPr>
        <w:t>https://www.undp.org/sites/g/files/zskgke326/files/publications/SDGs_SexualAndGenderMinorities.pdf</w:t>
      </w:r>
      <w:r>
        <w:rPr>
          <w:rFonts w:ascii="inter" w:hAnsi="inter" w:eastAsia="inter" w:cs="inter"/>
          <w:color w:val="000000"/>
          <w:u w:val="single"/>
        </w:rPr>
        <w:fldChar w:fldCharType="end"/>
      </w:r>
      <w:bookmarkStart w:id="197" w:name="fnref41_2"/>
      <w:bookmarkEnd w:id="197"/>
      <w:r>
        <w:fldChar w:fldCharType="begin"/>
      </w:r>
      <w:r>
        <w:instrText xml:space="preserve"> HYPERLINK \l "fn41" \h </w:instrText>
      </w:r>
      <w:r>
        <w:fldChar w:fldCharType="separate"/>
      </w:r>
      <w:r>
        <w:rPr>
          <w:rFonts w:ascii="inter" w:hAnsi="inter" w:eastAsia="inter" w:cs="inter"/>
          <w:color w:val="000000"/>
          <w:u w:val="single"/>
          <w:vertAlign w:val="superscript"/>
        </w:rPr>
        <w:t>[41]</w:t>
      </w:r>
      <w:r>
        <w:rPr>
          <w:rFonts w:ascii="inter" w:hAnsi="inter" w:eastAsia="inter" w:cs="inter"/>
          <w:color w:val="000000"/>
          <w:u w:val="single"/>
          <w:vertAlign w:val="superscript"/>
        </w:rPr>
        <w:fldChar w:fldCharType="end"/>
      </w:r>
    </w:p>
    <w:p w14:paraId="532913A2">
      <w:pPr>
        <w:spacing w:after="210" w:line="360" w:lineRule="auto"/>
      </w:pPr>
      <w:r>
        <w:rPr>
          <w:rFonts w:ascii="inter" w:hAnsi="inter" w:eastAsia="inter" w:cs="inter"/>
          <w:color w:val="000000"/>
        </w:rPr>
        <w:t xml:space="preserve">Human Rights. DK. (n.d.). "Leveraging Human Rights and the 2030 Agenda [PDF]." </w:t>
      </w:r>
      <w:r>
        <w:fldChar w:fldCharType="begin"/>
      </w:r>
      <w:r>
        <w:instrText xml:space="preserve"> HYPERLINK "https://www.humanrights.dk/files/media/document/Leveraging%20Human%20Rights_ENG_web.pdf" \h </w:instrText>
      </w:r>
      <w:r>
        <w:fldChar w:fldCharType="separate"/>
      </w:r>
      <w:r>
        <w:rPr>
          <w:rFonts w:ascii="inter" w:hAnsi="inter" w:eastAsia="inter" w:cs="inter"/>
          <w:color w:val="000000"/>
          <w:u w:val="single"/>
        </w:rPr>
        <w:t>https://www.humanrights.dk/files/media/document/Leveraging Human Rights_ENG_web.pdf</w:t>
      </w:r>
      <w:r>
        <w:rPr>
          <w:rFonts w:ascii="inter" w:hAnsi="inter" w:eastAsia="inter" w:cs="inter"/>
          <w:color w:val="000000"/>
          <w:u w:val="single"/>
        </w:rPr>
        <w:fldChar w:fldCharType="end"/>
      </w:r>
    </w:p>
    <w:p w14:paraId="4634E936">
      <w:pPr>
        <w:spacing w:after="0" w:line="360" w:lineRule="auto"/>
        <w:jc w:val="center"/>
      </w:pPr>
      <w:r>
        <w:rPr>
          <w:rFonts w:ascii="inter" w:hAnsi="inter" w:eastAsia="inter" w:cs="inter"/>
          <w:color w:val="000000"/>
        </w:rPr>
        <w:drawing>
          <wp:inline distT="0" distB="0" distL="0" distR="0">
            <wp:extent cx="6038850" cy="4227195"/>
            <wp:effectExtent l="0" t="0" r="0" b="0"/>
            <wp:docPr id="3" name="image-e3d699ec83de40f793be4dc429154ebbb241f2a8.png" descr="Theoretical Frameworks, Regional Context, and Cinema Responses: The Ecology of Transgender Representation in MENA Film"/>
            <wp:cNvGraphicFramePr/>
            <a:graphic xmlns:a="http://schemas.openxmlformats.org/drawingml/2006/main">
              <a:graphicData uri="http://schemas.openxmlformats.org/drawingml/2006/picture">
                <pic:pic xmlns:pic="http://schemas.openxmlformats.org/drawingml/2006/picture">
                  <pic:nvPicPr>
                    <pic:cNvPr id="3" name="image-e3d699ec83de40f793be4dc429154ebbb241f2a8.png" descr="Theoretical Frameworks, Regional Context, and Cinema Responses: The Ecology of Transgender Representation in MENA Film"/>
                    <pic:cNvPicPr/>
                  </pic:nvPicPr>
                  <pic:blipFill>
                    <a:blip r:embed="rId7" cstate="print"/>
                    <a:srcRect/>
                    <a:stretch>
                      <a:fillRect/>
                    </a:stretch>
                  </pic:blipFill>
                  <pic:spPr>
                    <a:xfrm>
                      <a:off x="0" y="0"/>
                      <a:ext cx="6038850" cy="4227195"/>
                    </a:xfrm>
                    <a:prstGeom prst="rect">
                      <a:avLst/>
                    </a:prstGeom>
                  </pic:spPr>
                </pic:pic>
              </a:graphicData>
            </a:graphic>
          </wp:inline>
        </w:drawing>
      </w:r>
    </w:p>
    <w:p w14:paraId="12200A40">
      <w:pPr>
        <w:spacing w:after="210" w:line="360" w:lineRule="auto"/>
      </w:pPr>
      <w:r>
        <w:rPr>
          <w:rFonts w:ascii="inter" w:hAnsi="inter" w:eastAsia="inter" w:cs="inter"/>
          <w:color w:val="000000"/>
        </w:rPr>
        <w:t>Theoretical Frameworks, Regional Context, and Cinema Responses: The Ecology of Transgender Representation in MENA Film</w:t>
      </w:r>
    </w:p>
    <w:p w14:paraId="0436569D">
      <w:pPr>
        <w:spacing w:before="210" w:after="0" w:line="360" w:lineRule="auto"/>
      </w:pPr>
      <w:r>
        <w:pict>
          <v:rect id="_x0000_s1035" o:spid="_x0000_s1035" o:spt="1" style="height:0.05pt;width:475.5pt;" coordsize="21600,21600">
            <v:path/>
            <v:fill focussize="0,0"/>
            <v:stroke weight="1pt" color="#000000" opacity="0f"/>
            <v:imagedata o:title=""/>
            <o:lock v:ext="edit"/>
            <w10:wrap type="none"/>
            <w10:anchorlock/>
          </v:rect>
        </w:pict>
      </w:r>
    </w:p>
    <w:p w14:paraId="5D917CA3">
      <w:pPr>
        <w:spacing w:after="210" w:line="360" w:lineRule="auto"/>
      </w:pPr>
      <w:r>
        <w:rPr>
          <w:rFonts w:ascii="inter" w:hAnsi="inter" w:eastAsia="inter" w:cs="inter"/>
          <w:b/>
          <w:color w:val="000000"/>
        </w:rPr>
        <w:t>End of Report</w:t>
      </w:r>
    </w:p>
    <w:p w14:paraId="2CE43D8E">
      <w:pPr>
        <w:spacing w:after="210" w:line="360" w:lineRule="auto"/>
      </w:pPr>
      <w:r>
        <w:rPr>
          <w:rFonts w:ascii="inter" w:hAnsi="inter" w:eastAsia="inter" w:cs="inter"/>
          <w:b/>
          <w:color w:val="000000"/>
        </w:rPr>
        <w:t>Word Count:</w:t>
      </w:r>
      <w:r>
        <w:rPr>
          <w:rFonts w:ascii="inter" w:hAnsi="inter" w:eastAsia="inter" w:cs="inter"/>
          <w:color w:val="000000"/>
        </w:rPr>
        <w:t xml:space="preserve"> 3,847 words (excluding references)</w:t>
      </w:r>
      <w:r>
        <w:rPr>
          <w:rFonts w:ascii="inter" w:hAnsi="inter" w:eastAsia="inter" w:cs="inter"/>
          <w:color w:val="000000"/>
        </w:rPr>
        <w:br w:type="textWrapping"/>
      </w:r>
      <w:r>
        <w:rPr>
          <w:rFonts w:ascii="inter" w:hAnsi="inter" w:eastAsia="inter" w:cs="inter"/>
          <w:b/>
          <w:color w:val="000000"/>
        </w:rPr>
        <w:t>Maps &amp; Charts:</w:t>
      </w:r>
      <w:r>
        <w:rPr>
          <w:rFonts w:ascii="inter" w:hAnsi="inter" w:eastAsia="inter" w:cs="inter"/>
          <w:color w:val="000000"/>
        </w:rPr>
        <w:t xml:space="preserve"> 2 visual frameworks embedded</w:t>
      </w:r>
      <w:r>
        <w:rPr>
          <w:rFonts w:ascii="inter" w:hAnsi="inter" w:eastAsia="inter" w:cs="inter"/>
          <w:color w:val="000000"/>
        </w:rPr>
        <w:br w:type="textWrapping"/>
      </w:r>
      <w:r>
        <w:rPr>
          <w:rFonts w:ascii="inter" w:hAnsi="inter" w:eastAsia="inter" w:cs="inter"/>
          <w:b/>
          <w:color w:val="000000"/>
        </w:rPr>
        <w:t>Primary Films Analyzed:</w:t>
      </w:r>
      <w:r>
        <w:rPr>
          <w:rFonts w:ascii="inter" w:hAnsi="inter" w:eastAsia="inter" w:cs="inter"/>
          <w:color w:val="000000"/>
        </w:rPr>
        <w:t xml:space="preserve"> 4 (spanning 1993-2022)</w:t>
      </w:r>
      <w:r>
        <w:rPr>
          <w:rFonts w:ascii="inter" w:hAnsi="inter" w:eastAsia="inter" w:cs="inter"/>
          <w:color w:val="000000"/>
        </w:rPr>
        <w:br w:type="textWrapping"/>
      </w:r>
      <w:r>
        <w:rPr>
          <w:rFonts w:ascii="inter" w:hAnsi="inter" w:eastAsia="inter" w:cs="inter"/>
          <w:b/>
          <w:color w:val="000000"/>
        </w:rPr>
        <w:t>Theoretical Frameworks:</w:t>
      </w:r>
      <w:r>
        <w:rPr>
          <w:rFonts w:ascii="inter" w:hAnsi="inter" w:eastAsia="inter" w:cs="inter"/>
          <w:color w:val="000000"/>
        </w:rPr>
        <w:t xml:space="preserve"> 5 major (performativity, gaze, intersectionality, regimes of visibility, postcolonial theory)</w:t>
      </w:r>
      <w:r>
        <w:rPr>
          <w:rFonts w:ascii="inter" w:hAnsi="inter" w:eastAsia="inter" w:cs="inter"/>
          <w:color w:val="000000"/>
        </w:rPr>
        <w:br w:type="textWrapping"/>
      </w:r>
      <w:r>
        <w:rPr>
          <w:rFonts w:ascii="inter" w:hAnsi="inter" w:eastAsia="inter" w:cs="inter"/>
          <w:b/>
          <w:color w:val="000000"/>
        </w:rPr>
        <w:t>Sources Cited:</w:t>
      </w:r>
      <w:r>
        <w:rPr>
          <w:rFonts w:ascii="inter" w:hAnsi="inter" w:eastAsia="inter" w:cs="inter"/>
          <w:color w:val="000000"/>
        </w:rPr>
        <w:t xml:space="preserve"> 40+ authoritative sources (academic journals, festival archives, human rights reports, director interviews, film criticism)</w:t>
      </w:r>
      <w:r>
        <w:rPr>
          <w:rFonts w:ascii="inter" w:hAnsi="inter" w:eastAsia="inter" w:cs="inter"/>
          <w:color w:val="000000"/>
        </w:rPr>
        <w:br w:type="textWrapping"/>
      </w:r>
    </w:p>
    <w:p w14:paraId="78B298CD">
      <w:pPr>
        <w:spacing w:line="360" w:lineRule="auto"/>
      </w:pPr>
      <w:r>
        <w:rPr>
          <w:rFonts w:ascii="inter" w:hAnsi="inter" w:eastAsia="inter" w:cs="inter"/>
          <w:color w:val="000000"/>
        </w:rPr>
        <w:t>⁂</w:t>
      </w:r>
    </w:p>
    <w:p w14:paraId="162499EE">
      <w:pPr>
        <w:spacing w:before="210" w:after="0" w:line="360" w:lineRule="auto"/>
      </w:pPr>
      <w:r>
        <w:pict>
          <v:rect id="_x0000_s1036" o:spid="_x0000_s1036" o:spt="1" style="height:0.05pt;width:475.5pt;" coordsize="21600,21600">
            <v:path/>
            <v:fill focussize="0,0"/>
            <v:stroke weight="1pt" color="#000000" opacity="0f"/>
            <v:imagedata o:title=""/>
            <o:lock v:ext="edit"/>
            <w10:wrap type="none"/>
            <w10:anchorlock/>
          </v:rect>
        </w:pict>
      </w:r>
    </w:p>
    <w:p w14:paraId="2442C01D">
      <w:pPr>
        <w:numPr>
          <w:ilvl w:val="0"/>
          <w:numId w:val="1"/>
        </w:numPr>
        <w:spacing w:after="210" w:line="360" w:lineRule="auto"/>
      </w:pPr>
      <w:bookmarkStart w:id="198" w:name="fn1"/>
      <w:bookmarkEnd w:id="198"/>
      <w:r>
        <w:fldChar w:fldCharType="begin"/>
      </w:r>
      <w:r>
        <w:instrText xml:space="preserve"> HYPERLINK "https://timep.org/2024/06/04/2023-was-a-bad-year-for-lgbtq-rights-in-the-mena-region-2024-is-set-to-be-even-worse/" \h </w:instrText>
      </w:r>
      <w:r>
        <w:fldChar w:fldCharType="separate"/>
      </w:r>
      <w:r>
        <w:rPr>
          <w:rFonts w:ascii="inter" w:hAnsi="inter" w:eastAsia="inter" w:cs="inter"/>
          <w:color w:val="000000"/>
          <w:sz w:val="18"/>
          <w:u w:val="single"/>
        </w:rPr>
        <w:t>https://timep.org/2024/06/04/2023-was-a-bad-year-for-lgbtq-rights-in-the-mena-region-2024-is-set-to-be-even-worse/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7AE114D">
      <w:pPr>
        <w:numPr>
          <w:ilvl w:val="0"/>
          <w:numId w:val="1"/>
        </w:numPr>
        <w:spacing w:after="210" w:line="360" w:lineRule="auto"/>
      </w:pPr>
      <w:bookmarkStart w:id="199" w:name="fn2"/>
      <w:bookmarkEnd w:id="199"/>
      <w:r>
        <w:fldChar w:fldCharType="begin"/>
      </w:r>
      <w:r>
        <w:instrText xml:space="preserve"> HYPERLINK "https://outrightinternational.org/sites/default/files/2023-09/Activism_Resilience_MENA_EN_Summary.pdf" \h </w:instrText>
      </w:r>
      <w:r>
        <w:fldChar w:fldCharType="separate"/>
      </w:r>
      <w:r>
        <w:rPr>
          <w:rFonts w:ascii="inter" w:hAnsi="inter" w:eastAsia="inter" w:cs="inter"/>
          <w:color w:val="000000"/>
          <w:sz w:val="18"/>
          <w:u w:val="single"/>
        </w:rPr>
        <w:t>https://outrightinternational.org/sites/default/files/2023-09/Activism_Resilience_MENA_EN_Summary.pdf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55F9AC7">
      <w:pPr>
        <w:numPr>
          <w:ilvl w:val="0"/>
          <w:numId w:val="1"/>
        </w:numPr>
        <w:spacing w:after="210" w:line="360" w:lineRule="auto"/>
      </w:pPr>
      <w:bookmarkStart w:id="200" w:name="fn3"/>
      <w:bookmarkEnd w:id="200"/>
      <w:r>
        <w:fldChar w:fldCharType="begin"/>
      </w:r>
      <w:r>
        <w:instrText xml:space="preserve"> HYPERLINK "https://www.arabnews.com/node/1151596/page_view_event/spa/aggregate" \h </w:instrText>
      </w:r>
      <w:r>
        <w:fldChar w:fldCharType="separate"/>
      </w:r>
      <w:r>
        <w:rPr>
          <w:rFonts w:ascii="inter" w:hAnsi="inter" w:eastAsia="inter" w:cs="inter"/>
          <w:color w:val="000000"/>
          <w:sz w:val="18"/>
          <w:u w:val="single"/>
        </w:rPr>
        <w:t>https://www.arabnews.com/node/1151596/page_view_event/spa/aggregate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5B847FA">
      <w:pPr>
        <w:numPr>
          <w:ilvl w:val="0"/>
          <w:numId w:val="1"/>
        </w:numPr>
        <w:spacing w:after="210" w:line="360" w:lineRule="auto"/>
      </w:pPr>
      <w:bookmarkStart w:id="201" w:name="fn4"/>
      <w:bookmarkEnd w:id="201"/>
      <w:r>
        <w:fldChar w:fldCharType="begin"/>
      </w:r>
      <w:r>
        <w:instrText xml:space="preserve"> HYPERLINK "https://www.detainedindubai.org/resources/homosexuality-in-the-uae" \h </w:instrText>
      </w:r>
      <w:r>
        <w:fldChar w:fldCharType="separate"/>
      </w:r>
      <w:r>
        <w:rPr>
          <w:rFonts w:ascii="inter" w:hAnsi="inter" w:eastAsia="inter" w:cs="inter"/>
          <w:color w:val="000000"/>
          <w:sz w:val="18"/>
          <w:u w:val="single"/>
        </w:rPr>
        <w:t>https://www.detainedindubai.org/resources/homosexuality-in-the-uae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174D3A0">
      <w:pPr>
        <w:numPr>
          <w:ilvl w:val="0"/>
          <w:numId w:val="1"/>
        </w:numPr>
        <w:spacing w:after="210" w:line="360" w:lineRule="auto"/>
      </w:pPr>
      <w:bookmarkStart w:id="202" w:name="fn5"/>
      <w:bookmarkEnd w:id="202"/>
      <w:r>
        <w:fldChar w:fldCharType="begin"/>
      </w:r>
      <w:r>
        <w:instrText xml:space="preserve"> HYPERLINK "https://rsisinternational.org/journals/ijriss/download_pdf.php?id=1813" \h </w:instrText>
      </w:r>
      <w:r>
        <w:fldChar w:fldCharType="separate"/>
      </w:r>
      <w:r>
        <w:rPr>
          <w:rFonts w:ascii="inter" w:hAnsi="inter" w:eastAsia="inter" w:cs="inter"/>
          <w:color w:val="000000"/>
          <w:sz w:val="18"/>
          <w:u w:val="single"/>
        </w:rPr>
        <w:t>https://rsisinternational.org/journals/ijriss/download_pdf.php?id=1813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A0F4D56">
      <w:pPr>
        <w:numPr>
          <w:ilvl w:val="0"/>
          <w:numId w:val="1"/>
        </w:numPr>
        <w:spacing w:after="210" w:line="360" w:lineRule="auto"/>
      </w:pPr>
      <w:bookmarkStart w:id="203" w:name="fn6"/>
      <w:bookmarkEnd w:id="203"/>
      <w:r>
        <w:fldChar w:fldCharType="begin"/>
      </w:r>
      <w:r>
        <w:instrText xml:space="preserve"> HYPERLINK "https://southasiatimes.org/joyland-a-gender-rebellion/" \h </w:instrText>
      </w:r>
      <w:r>
        <w:fldChar w:fldCharType="separate"/>
      </w:r>
      <w:r>
        <w:rPr>
          <w:rFonts w:ascii="inter" w:hAnsi="inter" w:eastAsia="inter" w:cs="inter"/>
          <w:color w:val="000000"/>
          <w:sz w:val="18"/>
          <w:u w:val="single"/>
        </w:rPr>
        <w:t>https://southasiatimes.org/joyland-a-gender-rebellion/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E6F2BE2">
      <w:pPr>
        <w:numPr>
          <w:ilvl w:val="0"/>
          <w:numId w:val="1"/>
        </w:numPr>
        <w:spacing w:after="210" w:line="360" w:lineRule="auto"/>
      </w:pPr>
      <w:bookmarkStart w:id="204" w:name="fn7"/>
      <w:bookmarkEnd w:id="204"/>
      <w:r>
        <w:fldChar w:fldCharType="begin"/>
      </w:r>
      <w:r>
        <w:instrText xml:space="preserve"> HYPERLINK "https://www.hrw.org/news/2020/06/26/aflamuna-film-festival-amplifies-queer-voices-arab-cinema" \h </w:instrText>
      </w:r>
      <w:r>
        <w:fldChar w:fldCharType="separate"/>
      </w:r>
      <w:r>
        <w:rPr>
          <w:rFonts w:ascii="inter" w:hAnsi="inter" w:eastAsia="inter" w:cs="inter"/>
          <w:color w:val="000000"/>
          <w:sz w:val="18"/>
          <w:u w:val="single"/>
        </w:rPr>
        <w:t>https://www.hrw.org/news/2020/06/26/aflamuna-film-festival-amplifies-queer-voices-arab-cinema</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5CA08E9">
      <w:pPr>
        <w:numPr>
          <w:ilvl w:val="0"/>
          <w:numId w:val="1"/>
        </w:numPr>
        <w:spacing w:after="210" w:line="360" w:lineRule="auto"/>
      </w:pPr>
      <w:bookmarkStart w:id="205" w:name="fn8"/>
      <w:bookmarkEnd w:id="205"/>
      <w:r>
        <w:fldChar w:fldCharType="begin"/>
      </w:r>
      <w:r>
        <w:instrText xml:space="preserve"> HYPERLINK "https://www.mei.edu/publications/arab-queer-cinema-emerges-break-taboos" \h </w:instrText>
      </w:r>
      <w:r>
        <w:fldChar w:fldCharType="separate"/>
      </w:r>
      <w:r>
        <w:rPr>
          <w:rFonts w:ascii="inter" w:hAnsi="inter" w:eastAsia="inter" w:cs="inter"/>
          <w:color w:val="000000"/>
          <w:sz w:val="18"/>
          <w:u w:val="single"/>
        </w:rPr>
        <w:t>https://www.mei.edu/publications/arab-queer-cinema-emerges-break-taboos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59F4983">
      <w:pPr>
        <w:numPr>
          <w:ilvl w:val="0"/>
          <w:numId w:val="1"/>
        </w:numPr>
        <w:spacing w:after="210" w:line="360" w:lineRule="auto"/>
      </w:pPr>
      <w:bookmarkStart w:id="206" w:name="fn9"/>
      <w:bookmarkEnd w:id="206"/>
      <w:r>
        <w:fldChar w:fldCharType="begin"/>
      </w:r>
      <w:r>
        <w:instrText xml:space="preserve"> HYPERLINK "https://www.alphavillejournal.com/Issue20/ArticleKarim.pdf" \h </w:instrText>
      </w:r>
      <w:r>
        <w:fldChar w:fldCharType="separate"/>
      </w:r>
      <w:r>
        <w:rPr>
          <w:rFonts w:ascii="inter" w:hAnsi="inter" w:eastAsia="inter" w:cs="inter"/>
          <w:color w:val="000000"/>
          <w:sz w:val="18"/>
          <w:u w:val="single"/>
        </w:rPr>
        <w:t>https://www.alphavillejournal.com/Issue20/ArticleKarim.pdf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887E8D8">
      <w:pPr>
        <w:numPr>
          <w:ilvl w:val="0"/>
          <w:numId w:val="1"/>
        </w:numPr>
        <w:spacing w:after="210" w:line="360" w:lineRule="auto"/>
      </w:pPr>
      <w:bookmarkStart w:id="207" w:name="fn10"/>
      <w:bookmarkEnd w:id="207"/>
      <w:r>
        <w:fldChar w:fldCharType="begin"/>
      </w:r>
      <w:r>
        <w:instrText xml:space="preserve"> HYPERLINK "https://cora.ucc.ie/bitstreams/ba003553-b32b-4f59-9546-a21aac2b2fa5/download" \h </w:instrText>
      </w:r>
      <w:r>
        <w:fldChar w:fldCharType="separate"/>
      </w:r>
      <w:r>
        <w:rPr>
          <w:rFonts w:ascii="inter" w:hAnsi="inter" w:eastAsia="inter" w:cs="inter"/>
          <w:color w:val="000000"/>
          <w:sz w:val="18"/>
          <w:u w:val="single"/>
        </w:rPr>
        <w:t>https://cora.ucc.ie/bitstreams/ba003553-b32b-4f59-9546-a21aac2b2fa5/download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ACF9103">
      <w:pPr>
        <w:numPr>
          <w:ilvl w:val="0"/>
          <w:numId w:val="1"/>
        </w:numPr>
        <w:spacing w:after="210" w:line="360" w:lineRule="auto"/>
      </w:pPr>
      <w:bookmarkStart w:id="208" w:name="fn11"/>
      <w:bookmarkEnd w:id="208"/>
      <w:r>
        <w:fldChar w:fldCharType="begin"/>
      </w:r>
      <w:r>
        <w:instrText xml:space="preserve"> HYPERLINK "https://reflectionsonfilm.wordpress.com/tag/dubai-international-film-festival/" \h </w:instrText>
      </w:r>
      <w:r>
        <w:fldChar w:fldCharType="separate"/>
      </w:r>
      <w:r>
        <w:rPr>
          <w:rFonts w:ascii="inter" w:hAnsi="inter" w:eastAsia="inter" w:cs="inter"/>
          <w:color w:val="000000"/>
          <w:sz w:val="18"/>
          <w:u w:val="single"/>
        </w:rPr>
        <w:t>https://reflectionsonfilm.wordpress.com/tag/dubai-international-film-festival/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DB983B5">
      <w:pPr>
        <w:numPr>
          <w:ilvl w:val="0"/>
          <w:numId w:val="1"/>
        </w:numPr>
        <w:spacing w:after="210" w:line="360" w:lineRule="auto"/>
      </w:pPr>
      <w:bookmarkStart w:id="209" w:name="fn12"/>
      <w:bookmarkEnd w:id="209"/>
      <w:r>
        <w:fldChar w:fldCharType="begin"/>
      </w:r>
      <w:r>
        <w:instrText xml:space="preserve"> HYPERLINK "https://76crimes.com/2024/07/07/website-tracks-legal-rights-for-trans-people-in-middle-east-and-north-africa/" \h </w:instrText>
      </w:r>
      <w:r>
        <w:fldChar w:fldCharType="separate"/>
      </w:r>
      <w:r>
        <w:rPr>
          <w:rFonts w:ascii="inter" w:hAnsi="inter" w:eastAsia="inter" w:cs="inter"/>
          <w:color w:val="000000"/>
          <w:sz w:val="18"/>
          <w:u w:val="single"/>
        </w:rPr>
        <w:t>https://76crimes.com/2024/07/07/website-tracks-legal-rights-for-trans-people-in-middle-east-and-north-africa/</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1623CDA">
      <w:pPr>
        <w:numPr>
          <w:ilvl w:val="0"/>
          <w:numId w:val="1"/>
        </w:numPr>
        <w:spacing w:after="210" w:line="360" w:lineRule="auto"/>
      </w:pPr>
      <w:bookmarkStart w:id="210" w:name="fn13"/>
      <w:bookmarkEnd w:id="210"/>
      <w:r>
        <w:fldChar w:fldCharType="begin"/>
      </w:r>
      <w:r>
        <w:instrText xml:space="preserve"> HYPERLINK "https://variety.com/2022/film/reviews/the-blue-caftan-review-1235285112/" \h </w:instrText>
      </w:r>
      <w:r>
        <w:fldChar w:fldCharType="separate"/>
      </w:r>
      <w:r>
        <w:rPr>
          <w:rFonts w:ascii="inter" w:hAnsi="inter" w:eastAsia="inter" w:cs="inter"/>
          <w:color w:val="000000"/>
          <w:sz w:val="18"/>
          <w:u w:val="single"/>
        </w:rPr>
        <w:t>https://variety.com/2022/film/reviews/the-blue-caftan-review-1235285112/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53D9981">
      <w:pPr>
        <w:numPr>
          <w:ilvl w:val="0"/>
          <w:numId w:val="1"/>
        </w:numPr>
        <w:spacing w:after="210" w:line="360" w:lineRule="auto"/>
      </w:pPr>
      <w:bookmarkStart w:id="211" w:name="fn14"/>
      <w:bookmarkEnd w:id="211"/>
      <w:r>
        <w:fldChar w:fldCharType="begin"/>
      </w:r>
      <w:r>
        <w:instrText xml:space="preserve"> HYPERLINK "https://vc.bridgew.edu/cgi/viewcontent.cgi?article=2185&amp;context=jiws" \h </w:instrText>
      </w:r>
      <w:r>
        <w:fldChar w:fldCharType="separate"/>
      </w:r>
      <w:r>
        <w:rPr>
          <w:rFonts w:ascii="inter" w:hAnsi="inter" w:eastAsia="inter" w:cs="inter"/>
          <w:color w:val="000000"/>
          <w:sz w:val="18"/>
          <w:u w:val="single"/>
        </w:rPr>
        <w:t>https://vc.bridgew.edu/cgi/viewcontent.cgi?article=2185&amp;context=jiws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BA3F95C">
      <w:pPr>
        <w:numPr>
          <w:ilvl w:val="0"/>
          <w:numId w:val="1"/>
        </w:numPr>
        <w:spacing w:after="210" w:line="360" w:lineRule="auto"/>
      </w:pPr>
      <w:bookmarkStart w:id="212" w:name="fn15"/>
      <w:bookmarkEnd w:id="212"/>
      <w:r>
        <w:fldChar w:fldCharType="begin"/>
      </w:r>
      <w:r>
        <w:instrText xml:space="preserve"> HYPERLINK "https://mumbaiqueerfest.com/12-lgbtq-films-you-should-not-miss-at-kashish-2017/" \h </w:instrText>
      </w:r>
      <w:r>
        <w:fldChar w:fldCharType="separate"/>
      </w:r>
      <w:r>
        <w:rPr>
          <w:rFonts w:ascii="inter" w:hAnsi="inter" w:eastAsia="inter" w:cs="inter"/>
          <w:color w:val="000000"/>
          <w:sz w:val="18"/>
          <w:u w:val="single"/>
        </w:rPr>
        <w:t>https://mumbaiqueerfest.com/12-lgbtq-films-you-should-not-miss-at-kashish-2017/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1F5E025">
      <w:pPr>
        <w:numPr>
          <w:ilvl w:val="0"/>
          <w:numId w:val="1"/>
        </w:numPr>
        <w:spacing w:after="210" w:line="360" w:lineRule="auto"/>
      </w:pPr>
      <w:bookmarkStart w:id="213" w:name="fn16"/>
      <w:bookmarkEnd w:id="213"/>
      <w:r>
        <w:fldChar w:fldCharType="begin"/>
      </w:r>
      <w:r>
        <w:instrText xml:space="preserve"> HYPERLINK "https://artsfuse.org/272256/film-review-joyland-a-drama-of-trans-prejudice-in-pakistan/" \h </w:instrText>
      </w:r>
      <w:r>
        <w:fldChar w:fldCharType="separate"/>
      </w:r>
      <w:r>
        <w:rPr>
          <w:rFonts w:ascii="inter" w:hAnsi="inter" w:eastAsia="inter" w:cs="inter"/>
          <w:color w:val="000000"/>
          <w:sz w:val="18"/>
          <w:u w:val="single"/>
        </w:rPr>
        <w:t>https://artsfuse.org/272256/film-review-joyland-a-drama-of-trans-prejudice-in-pakistan/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CF3FC4A">
      <w:pPr>
        <w:numPr>
          <w:ilvl w:val="0"/>
          <w:numId w:val="1"/>
        </w:numPr>
        <w:spacing w:after="210" w:line="360" w:lineRule="auto"/>
      </w:pPr>
      <w:bookmarkStart w:id="214" w:name="fn17"/>
      <w:bookmarkEnd w:id="214"/>
      <w:r>
        <w:fldChar w:fldCharType="begin"/>
      </w:r>
      <w:r>
        <w:instrText xml:space="preserve"> HYPERLINK "https://www.bfi-fan.org.uk/news-articles/how-joyland-will-transform-the-perception-of-pakastani-cinema-in-the-uk/" \h </w:instrText>
      </w:r>
      <w:r>
        <w:fldChar w:fldCharType="separate"/>
      </w:r>
      <w:r>
        <w:rPr>
          <w:rFonts w:ascii="inter" w:hAnsi="inter" w:eastAsia="inter" w:cs="inter"/>
          <w:color w:val="000000"/>
          <w:sz w:val="18"/>
          <w:u w:val="single"/>
        </w:rPr>
        <w:t>https://www.bfi-fan.org.uk/news-articles/how-joyland-will-transform-the-perception-of-pakastani-cinema-in-the-uk/</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849C193">
      <w:pPr>
        <w:numPr>
          <w:ilvl w:val="0"/>
          <w:numId w:val="1"/>
        </w:numPr>
        <w:spacing w:after="210" w:line="360" w:lineRule="auto"/>
      </w:pPr>
      <w:bookmarkStart w:id="215" w:name="fn18"/>
      <w:bookmarkEnd w:id="215"/>
      <w:r>
        <w:fldChar w:fldCharType="begin"/>
      </w:r>
      <w:r>
        <w:instrText xml:space="preserve"> HYPERLINK "https://sinematranstopia.com/en/yearnings-and-unfulfilled-dreams-from-the-personal-to-the-political/cinema-fouad-soha" \h </w:instrText>
      </w:r>
      <w:r>
        <w:fldChar w:fldCharType="separate"/>
      </w:r>
      <w:r>
        <w:rPr>
          <w:rFonts w:ascii="inter" w:hAnsi="inter" w:eastAsia="inter" w:cs="inter"/>
          <w:color w:val="000000"/>
          <w:sz w:val="18"/>
          <w:u w:val="single"/>
        </w:rPr>
        <w:t>https://sinematranstopia.com/en/yearnings-and-unfulfilled-dreams-from-the-personal-to-the-political/cinema-fouad-soha</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27A6779">
      <w:pPr>
        <w:numPr>
          <w:ilvl w:val="0"/>
          <w:numId w:val="1"/>
        </w:numPr>
        <w:spacing w:after="210" w:line="360" w:lineRule="auto"/>
      </w:pPr>
      <w:bookmarkStart w:id="216" w:name="fn19"/>
      <w:bookmarkEnd w:id="216"/>
      <w:r>
        <w:fldChar w:fldCharType="begin"/>
      </w:r>
      <w:r>
        <w:instrText xml:space="preserve"> HYPERLINK "https://letterboxd.com/film/cinema-fouad/" \h </w:instrText>
      </w:r>
      <w:r>
        <w:fldChar w:fldCharType="separate"/>
      </w:r>
      <w:r>
        <w:rPr>
          <w:rFonts w:ascii="inter" w:hAnsi="inter" w:eastAsia="inter" w:cs="inter"/>
          <w:color w:val="000000"/>
          <w:sz w:val="18"/>
          <w:u w:val="single"/>
        </w:rPr>
        <w:t>https://letterboxd.com/film/cinema-fouad/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F06B280">
      <w:pPr>
        <w:numPr>
          <w:ilvl w:val="0"/>
          <w:numId w:val="1"/>
        </w:numPr>
        <w:spacing w:after="210" w:line="360" w:lineRule="auto"/>
      </w:pPr>
      <w:bookmarkStart w:id="217" w:name="fn20"/>
      <w:bookmarkEnd w:id="217"/>
      <w:r>
        <w:fldChar w:fldCharType="begin"/>
      </w:r>
      <w:r>
        <w:instrText xml:space="preserve"> HYPERLINK "https://www.thepinknews.com/2023/05/26/the-blue-caftan-director-lgbt-moroccans-interview/" \h </w:instrText>
      </w:r>
      <w:r>
        <w:fldChar w:fldCharType="separate"/>
      </w:r>
      <w:r>
        <w:rPr>
          <w:rFonts w:ascii="inter" w:hAnsi="inter" w:eastAsia="inter" w:cs="inter"/>
          <w:color w:val="000000"/>
          <w:sz w:val="18"/>
          <w:u w:val="single"/>
        </w:rPr>
        <w:t>https://www.thepinknews.com/2023/05/26/the-blue-caftan-director-lgbt-moroccans-interview/</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E492369">
      <w:pPr>
        <w:numPr>
          <w:ilvl w:val="0"/>
          <w:numId w:val="1"/>
        </w:numPr>
        <w:spacing w:after="210" w:line="360" w:lineRule="auto"/>
      </w:pPr>
      <w:bookmarkStart w:id="218" w:name="fn21"/>
      <w:bookmarkEnd w:id="218"/>
      <w:r>
        <w:fldChar w:fldCharType="begin"/>
      </w:r>
      <w:r>
        <w:instrText xml:space="preserve"> HYPERLINK "https://ijrpr.com/uploads/V3ISSUE8/IJRPR6666.pdf" \h </w:instrText>
      </w:r>
      <w:r>
        <w:fldChar w:fldCharType="separate"/>
      </w:r>
      <w:r>
        <w:rPr>
          <w:rFonts w:ascii="inter" w:hAnsi="inter" w:eastAsia="inter" w:cs="inter"/>
          <w:color w:val="000000"/>
          <w:sz w:val="18"/>
          <w:u w:val="single"/>
        </w:rPr>
        <w:t>https://ijrpr.com/uploads/V3ISSUE8/IJRPR6666.pdf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9430C00">
      <w:pPr>
        <w:numPr>
          <w:ilvl w:val="0"/>
          <w:numId w:val="1"/>
        </w:numPr>
        <w:spacing w:after="210" w:line="360" w:lineRule="auto"/>
      </w:pPr>
      <w:bookmarkStart w:id="219" w:name="fn22"/>
      <w:bookmarkEnd w:id="219"/>
      <w:r>
        <w:fldChar w:fldCharType="begin"/>
      </w:r>
      <w:r>
        <w:instrText xml:space="preserve"> HYPERLINK "https://www.amherst.edu/system/files/media/1650/butler_performative_acts.pdf" \h </w:instrText>
      </w:r>
      <w:r>
        <w:fldChar w:fldCharType="separate"/>
      </w:r>
      <w:r>
        <w:rPr>
          <w:rFonts w:ascii="inter" w:hAnsi="inter" w:eastAsia="inter" w:cs="inter"/>
          <w:color w:val="000000"/>
          <w:sz w:val="18"/>
          <w:u w:val="single"/>
        </w:rPr>
        <w:t>https://www.amherst.edu/system/files/media/1650/butler_performative_acts.pdf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B48A1F0">
      <w:pPr>
        <w:numPr>
          <w:ilvl w:val="0"/>
          <w:numId w:val="1"/>
        </w:numPr>
        <w:spacing w:after="210" w:line="360" w:lineRule="auto"/>
      </w:pPr>
      <w:bookmarkStart w:id="220" w:name="fn23"/>
      <w:bookmarkEnd w:id="220"/>
      <w:r>
        <w:fldChar w:fldCharType="begin"/>
      </w:r>
      <w:r>
        <w:instrText xml:space="preserve"> HYPERLINK "https://documentaryanimationdiscourse.wordpress.com/2021/02/26/the-gaze-psychoanalyses-ideology-and-representation/" \h </w:instrText>
      </w:r>
      <w:r>
        <w:fldChar w:fldCharType="separate"/>
      </w:r>
      <w:r>
        <w:rPr>
          <w:rFonts w:ascii="inter" w:hAnsi="inter" w:eastAsia="inter" w:cs="inter"/>
          <w:color w:val="000000"/>
          <w:sz w:val="18"/>
          <w:u w:val="single"/>
        </w:rPr>
        <w:t>https://documentaryanimationdiscourse.wordpress.com/2021/02/26/the-gaze-psychoanalyses-ideology-and-representation/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68234A3">
      <w:pPr>
        <w:numPr>
          <w:ilvl w:val="0"/>
          <w:numId w:val="1"/>
        </w:numPr>
        <w:spacing w:after="210" w:line="360" w:lineRule="auto"/>
      </w:pPr>
      <w:bookmarkStart w:id="221" w:name="fn24"/>
      <w:bookmarkEnd w:id="221"/>
      <w:r>
        <w:fldChar w:fldCharType="begin"/>
      </w:r>
      <w:r>
        <w:instrText xml:space="preserve"> HYPERLINK "https://theconversation.com/half-a-century-of-the-male-gaze-why-laura-mulveys-pioneering-theory-still-resonates-today-256875" \h </w:instrText>
      </w:r>
      <w:r>
        <w:fldChar w:fldCharType="separate"/>
      </w:r>
      <w:r>
        <w:rPr>
          <w:rFonts w:ascii="inter" w:hAnsi="inter" w:eastAsia="inter" w:cs="inter"/>
          <w:color w:val="000000"/>
          <w:sz w:val="18"/>
          <w:u w:val="single"/>
        </w:rPr>
        <w:t>https://theconversation.com/half-a-century-of-the-male-gaze-why-laura-mulveys-pioneering-theory-still-resonates-today-256875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CC923CF">
      <w:pPr>
        <w:numPr>
          <w:ilvl w:val="0"/>
          <w:numId w:val="1"/>
        </w:numPr>
        <w:spacing w:after="210" w:line="360" w:lineRule="auto"/>
      </w:pPr>
      <w:bookmarkStart w:id="222" w:name="fn25"/>
      <w:bookmarkEnd w:id="222"/>
      <w:r>
        <w:fldChar w:fldCharType="begin"/>
      </w:r>
      <w:r>
        <w:instrText xml:space="preserve"> HYPERLINK "https://en.wikipedia.org/wiki/Male_gaze" \h </w:instrText>
      </w:r>
      <w:r>
        <w:fldChar w:fldCharType="separate"/>
      </w:r>
      <w:r>
        <w:rPr>
          <w:rFonts w:ascii="inter" w:hAnsi="inter" w:eastAsia="inter" w:cs="inter"/>
          <w:color w:val="000000"/>
          <w:sz w:val="18"/>
          <w:u w:val="single"/>
        </w:rPr>
        <w:t>https://en.wikipedia.org/wiki/Male_gaze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266C62A">
      <w:pPr>
        <w:numPr>
          <w:ilvl w:val="0"/>
          <w:numId w:val="1"/>
        </w:numPr>
        <w:spacing w:after="210" w:line="360" w:lineRule="auto"/>
      </w:pPr>
      <w:bookmarkStart w:id="223" w:name="fn26"/>
      <w:bookmarkEnd w:id="223"/>
      <w:r>
        <w:fldChar w:fldCharType="begin"/>
      </w:r>
      <w:r>
        <w:instrText xml:space="preserve"> HYPERLINK "https://quod.lib.umich.edu/j/jcms/18261332.0061.603/--towards-a-transnational-feminist-film-studies-classroom?rgn=main%3Bview%3Dfulltext" \h </w:instrText>
      </w:r>
      <w:r>
        <w:fldChar w:fldCharType="separate"/>
      </w:r>
      <w:r>
        <w:rPr>
          <w:rFonts w:ascii="inter" w:hAnsi="inter" w:eastAsia="inter" w:cs="inter"/>
          <w:color w:val="000000"/>
          <w:sz w:val="18"/>
          <w:u w:val="single"/>
        </w:rPr>
        <w:t>https://quod.lib.umich.edu/j/jcms/18261332.0061.603/--towards-a-transnational-feminist-film-studies-classroom?rgn=main%3Bview%3Dfulltext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AAFC38F">
      <w:pPr>
        <w:numPr>
          <w:ilvl w:val="0"/>
          <w:numId w:val="1"/>
        </w:numPr>
        <w:spacing w:after="210" w:line="360" w:lineRule="auto"/>
      </w:pPr>
      <w:bookmarkStart w:id="224" w:name="fn27"/>
      <w:bookmarkEnd w:id="224"/>
      <w:r>
        <w:fldChar w:fldCharType="begin"/>
      </w:r>
      <w:r>
        <w:instrText xml:space="preserve"> HYPERLINK "https://fiveable.me/introduction-to-film-theory/unit-10/intersectionality-diverse-feminist-approaches-film/study-guide/XwAsWsSWJqB1P5JX" \h </w:instrText>
      </w:r>
      <w:r>
        <w:fldChar w:fldCharType="separate"/>
      </w:r>
      <w:r>
        <w:rPr>
          <w:rFonts w:ascii="inter" w:hAnsi="inter" w:eastAsia="inter" w:cs="inter"/>
          <w:color w:val="000000"/>
          <w:sz w:val="18"/>
          <w:u w:val="single"/>
        </w:rPr>
        <w:t>https://fiveable.me/introduction-to-film-theory/unit-10/intersectionality-diverse-feminist-approaches-film/study-guide/XwAsWsSWJqB1P5JX</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5386E20">
      <w:pPr>
        <w:numPr>
          <w:ilvl w:val="0"/>
          <w:numId w:val="1"/>
        </w:numPr>
        <w:spacing w:after="210" w:line="360" w:lineRule="auto"/>
      </w:pPr>
      <w:bookmarkStart w:id="225" w:name="fn28"/>
      <w:bookmarkEnd w:id="225"/>
      <w:r>
        <w:fldChar w:fldCharType="begin"/>
      </w:r>
      <w:r>
        <w:instrText xml:space="preserve"> HYPERLINK "https://onlinelibrary.wiley.com/doi/10.1111/gwao.12886" \h </w:instrText>
      </w:r>
      <w:r>
        <w:fldChar w:fldCharType="separate"/>
      </w:r>
      <w:r>
        <w:rPr>
          <w:rFonts w:ascii="inter" w:hAnsi="inter" w:eastAsia="inter" w:cs="inter"/>
          <w:color w:val="000000"/>
          <w:sz w:val="18"/>
          <w:u w:val="single"/>
        </w:rPr>
        <w:t>https://onlinelibrary.wiley.com/doi/10.1111/gwao.12886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552EF10">
      <w:pPr>
        <w:numPr>
          <w:ilvl w:val="0"/>
          <w:numId w:val="1"/>
        </w:numPr>
        <w:spacing w:after="210" w:line="360" w:lineRule="auto"/>
      </w:pPr>
      <w:bookmarkStart w:id="226" w:name="fn29"/>
      <w:bookmarkEnd w:id="226"/>
      <w:r>
        <w:fldChar w:fldCharType="begin"/>
      </w:r>
      <w:r>
        <w:instrText xml:space="preserve"> HYPERLINK "https://www.youtube.com/watch?v=PbEga9O6FaE" \h </w:instrText>
      </w:r>
      <w:r>
        <w:fldChar w:fldCharType="separate"/>
      </w:r>
      <w:r>
        <w:rPr>
          <w:rFonts w:ascii="inter" w:hAnsi="inter" w:eastAsia="inter" w:cs="inter"/>
          <w:color w:val="000000"/>
          <w:sz w:val="18"/>
          <w:u w:val="single"/>
        </w:rPr>
        <w:t>https://www.youtube.com/watch?v=PbEga9O6FaE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D3D4C39">
      <w:pPr>
        <w:numPr>
          <w:ilvl w:val="0"/>
          <w:numId w:val="1"/>
        </w:numPr>
        <w:spacing w:after="210" w:line="360" w:lineRule="auto"/>
      </w:pPr>
      <w:bookmarkStart w:id="227" w:name="fn30"/>
      <w:bookmarkEnd w:id="227"/>
      <w:r>
        <w:fldChar w:fldCharType="begin"/>
      </w:r>
      <w:r>
        <w:instrText xml:space="preserve"> HYPERLINK "https://thequeerreview.com/2023/04/07/interview-saim-sadiq-and-alina-khan-on-joyland-lgbtq/" \h </w:instrText>
      </w:r>
      <w:r>
        <w:fldChar w:fldCharType="separate"/>
      </w:r>
      <w:r>
        <w:rPr>
          <w:rFonts w:ascii="inter" w:hAnsi="inter" w:eastAsia="inter" w:cs="inter"/>
          <w:color w:val="000000"/>
          <w:sz w:val="18"/>
          <w:u w:val="single"/>
        </w:rPr>
        <w:t>https://thequeerreview.com/2023/04/07/interview-saim-sadiq-and-alina-khan-on-joyland-lgbtq/</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C8CE2EE">
      <w:pPr>
        <w:numPr>
          <w:ilvl w:val="0"/>
          <w:numId w:val="1"/>
        </w:numPr>
        <w:spacing w:after="210" w:line="360" w:lineRule="auto"/>
      </w:pPr>
      <w:bookmarkStart w:id="228" w:name="fn31"/>
      <w:bookmarkEnd w:id="228"/>
      <w:r>
        <w:fldChar w:fldCharType="begin"/>
      </w:r>
      <w:r>
        <w:instrText xml:space="preserve"> HYPERLINK "https://www.youtube.com/watch?v=RDtRCpWxB1Q" \h </w:instrText>
      </w:r>
      <w:r>
        <w:fldChar w:fldCharType="separate"/>
      </w:r>
      <w:r>
        <w:rPr>
          <w:rFonts w:ascii="inter" w:hAnsi="inter" w:eastAsia="inter" w:cs="inter"/>
          <w:color w:val="000000"/>
          <w:sz w:val="18"/>
          <w:u w:val="single"/>
        </w:rPr>
        <w:t>https://www.youtube.com/watch?v=RDtRCpWxB1Q</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B6052BD">
      <w:pPr>
        <w:numPr>
          <w:ilvl w:val="0"/>
          <w:numId w:val="1"/>
        </w:numPr>
        <w:spacing w:after="210" w:line="360" w:lineRule="auto"/>
      </w:pPr>
      <w:bookmarkStart w:id="229" w:name="fn32"/>
      <w:bookmarkEnd w:id="229"/>
      <w:r>
        <w:fldChar w:fldCharType="begin"/>
      </w:r>
      <w:r>
        <w:instrText xml:space="preserve"> HYPERLINK "https://www.cinemathequebeirut.com/cinematheque/film/1524" \h </w:instrText>
      </w:r>
      <w:r>
        <w:fldChar w:fldCharType="separate"/>
      </w:r>
      <w:r>
        <w:rPr>
          <w:rFonts w:ascii="inter" w:hAnsi="inter" w:eastAsia="inter" w:cs="inter"/>
          <w:color w:val="000000"/>
          <w:sz w:val="18"/>
          <w:u w:val="single"/>
        </w:rPr>
        <w:t>https://www.cinemathequebeirut.com/cinematheque/film/1524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1DA8ACF">
      <w:pPr>
        <w:numPr>
          <w:ilvl w:val="0"/>
          <w:numId w:val="1"/>
        </w:numPr>
        <w:spacing w:after="210" w:line="360" w:lineRule="auto"/>
      </w:pPr>
      <w:bookmarkStart w:id="230" w:name="fn33"/>
      <w:bookmarkEnd w:id="230"/>
      <w:r>
        <w:fldChar w:fldCharType="begin"/>
      </w:r>
      <w:r>
        <w:instrText xml:space="preserve"> HYPERLINK "https://themarkaz.org/love-has-everything-to-do-with-maryam-touzanis-the-blue-caftan/" \h </w:instrText>
      </w:r>
      <w:r>
        <w:fldChar w:fldCharType="separate"/>
      </w:r>
      <w:r>
        <w:rPr>
          <w:rFonts w:ascii="inter" w:hAnsi="inter" w:eastAsia="inter" w:cs="inter"/>
          <w:color w:val="000000"/>
          <w:sz w:val="18"/>
          <w:u w:val="single"/>
        </w:rPr>
        <w:t>https://themarkaz.org/love-has-everything-to-do-with-maryam-touzanis-the-blue-caftan/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4A9D6CC">
      <w:pPr>
        <w:numPr>
          <w:ilvl w:val="0"/>
          <w:numId w:val="1"/>
        </w:numPr>
        <w:spacing w:after="210" w:line="360" w:lineRule="auto"/>
      </w:pPr>
      <w:bookmarkStart w:id="231" w:name="fn34"/>
      <w:bookmarkEnd w:id="231"/>
      <w:r>
        <w:fldChar w:fldCharType="begin"/>
      </w:r>
      <w:r>
        <w:instrText xml:space="preserve"> HYPERLINK "https://www.bfi.org.uk/features/why-this-moroccan-tailoring-drama-boost-queer-culture-africa-arab-world" \h </w:instrText>
      </w:r>
      <w:r>
        <w:fldChar w:fldCharType="separate"/>
      </w:r>
      <w:r>
        <w:rPr>
          <w:rFonts w:ascii="inter" w:hAnsi="inter" w:eastAsia="inter" w:cs="inter"/>
          <w:color w:val="000000"/>
          <w:sz w:val="18"/>
          <w:u w:val="single"/>
        </w:rPr>
        <w:t>https://www.bfi.org.uk/features/why-this-moroccan-tailoring-drama-boost-queer-culture-africa-arab-world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526A97A">
      <w:pPr>
        <w:numPr>
          <w:ilvl w:val="0"/>
          <w:numId w:val="1"/>
        </w:numPr>
        <w:spacing w:after="210" w:line="360" w:lineRule="auto"/>
      </w:pPr>
      <w:bookmarkStart w:id="232" w:name="fn35"/>
      <w:bookmarkEnd w:id="232"/>
      <w:r>
        <w:fldChar w:fldCharType="begin"/>
      </w:r>
      <w:r>
        <w:instrText xml:space="preserve"> HYPERLINK "https://awardsradar.com/2023/01/06/interview-saim-sadiq-discusses-pakistans-brilliantly-provocative-oscar-contender-joyland/" \h </w:instrText>
      </w:r>
      <w:r>
        <w:fldChar w:fldCharType="separate"/>
      </w:r>
      <w:r>
        <w:rPr>
          <w:rFonts w:ascii="inter" w:hAnsi="inter" w:eastAsia="inter" w:cs="inter"/>
          <w:color w:val="000000"/>
          <w:sz w:val="18"/>
          <w:u w:val="single"/>
        </w:rPr>
        <w:t>https://awardsradar.com/2023/01/06/interview-saim-sadiq-discusses-pakistans-brilliantly-provocative-oscar-contender-joyland/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52BE334">
      <w:pPr>
        <w:numPr>
          <w:ilvl w:val="0"/>
          <w:numId w:val="1"/>
        </w:numPr>
        <w:spacing w:after="210" w:line="360" w:lineRule="auto"/>
      </w:pPr>
      <w:bookmarkStart w:id="233" w:name="fn36"/>
      <w:bookmarkEnd w:id="233"/>
      <w:r>
        <w:fldChar w:fldCharType="begin"/>
      </w:r>
      <w:r>
        <w:instrText xml:space="preserve"> HYPERLINK "https://i-d.co/article/joyland-movie-oscars-controversy/" \h </w:instrText>
      </w:r>
      <w:r>
        <w:fldChar w:fldCharType="separate"/>
      </w:r>
      <w:r>
        <w:rPr>
          <w:rFonts w:ascii="inter" w:hAnsi="inter" w:eastAsia="inter" w:cs="inter"/>
          <w:color w:val="000000"/>
          <w:sz w:val="18"/>
          <w:u w:val="single"/>
        </w:rPr>
        <w:t>https://i-d.co/article/joyland-movie-oscars-controversy/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6F8F681">
      <w:pPr>
        <w:numPr>
          <w:ilvl w:val="0"/>
          <w:numId w:val="1"/>
        </w:numPr>
        <w:spacing w:after="210" w:line="360" w:lineRule="auto"/>
      </w:pPr>
      <w:bookmarkStart w:id="234" w:name="fn37"/>
      <w:bookmarkEnd w:id="234"/>
      <w:r>
        <w:fldChar w:fldCharType="begin"/>
      </w:r>
      <w:r>
        <w:instrText xml:space="preserve"> HYPERLINK "https://www.screendaily.com/reviews/only-men-go-to-the-grave-dubai-review/5112095.article" \h </w:instrText>
      </w:r>
      <w:r>
        <w:fldChar w:fldCharType="separate"/>
      </w:r>
      <w:r>
        <w:rPr>
          <w:rFonts w:ascii="inter" w:hAnsi="inter" w:eastAsia="inter" w:cs="inter"/>
          <w:color w:val="000000"/>
          <w:sz w:val="18"/>
          <w:u w:val="single"/>
        </w:rPr>
        <w:t>https://www.screendaily.com/reviews/only-men-go-to-the-grave-dubai-review/5112095.article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4E20FB3">
      <w:pPr>
        <w:numPr>
          <w:ilvl w:val="0"/>
          <w:numId w:val="1"/>
        </w:numPr>
        <w:spacing w:after="210" w:line="360" w:lineRule="auto"/>
      </w:pPr>
      <w:bookmarkStart w:id="235" w:name="fn38"/>
      <w:bookmarkEnd w:id="235"/>
      <w:r>
        <w:fldChar w:fldCharType="begin"/>
      </w:r>
      <w:r>
        <w:instrText xml:space="preserve"> HYPERLINK "https://www.thenationalnews.com/arts-culture/film/award-winning-emirati-film-only-men-go-to-the-grave-isn-t-designed-to-shock-1.618366" \h </w:instrText>
      </w:r>
      <w:r>
        <w:fldChar w:fldCharType="separate"/>
      </w:r>
      <w:r>
        <w:rPr>
          <w:rFonts w:ascii="inter" w:hAnsi="inter" w:eastAsia="inter" w:cs="inter"/>
          <w:color w:val="000000"/>
          <w:sz w:val="18"/>
          <w:u w:val="single"/>
        </w:rPr>
        <w:t>https://www.thenationalnews.com/arts-culture/film/award-winning-emirati-film-only-men-go-to-the-grave-isn-t-designed-to-shock-1.618366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A1A6754">
      <w:pPr>
        <w:numPr>
          <w:ilvl w:val="0"/>
          <w:numId w:val="1"/>
        </w:numPr>
        <w:spacing w:after="210" w:line="360" w:lineRule="auto"/>
      </w:pPr>
      <w:bookmarkStart w:id="236" w:name="fn39"/>
      <w:bookmarkEnd w:id="236"/>
      <w:r>
        <w:fldChar w:fldCharType="begin"/>
      </w:r>
      <w:r>
        <w:instrText xml:space="preserve"> HYPERLINK "https://pmc.ncbi.nlm.nih.gov/articles/PMC11027737/" \h </w:instrText>
      </w:r>
      <w:r>
        <w:fldChar w:fldCharType="separate"/>
      </w:r>
      <w:r>
        <w:rPr>
          <w:rFonts w:ascii="inter" w:hAnsi="inter" w:eastAsia="inter" w:cs="inter"/>
          <w:color w:val="000000"/>
          <w:sz w:val="18"/>
          <w:u w:val="single"/>
        </w:rPr>
        <w:t>https://pmc.ncbi.nlm.nih.gov/articles/PMC11027737/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B71509C">
      <w:pPr>
        <w:numPr>
          <w:ilvl w:val="0"/>
          <w:numId w:val="1"/>
        </w:numPr>
        <w:spacing w:after="210" w:line="360" w:lineRule="auto"/>
      </w:pPr>
      <w:bookmarkStart w:id="237" w:name="fn40"/>
      <w:bookmarkEnd w:id="237"/>
      <w:r>
        <w:fldChar w:fldCharType="begin"/>
      </w:r>
      <w:r>
        <w:instrText xml:space="preserve"> HYPERLINK "https://www.humanrights.dk/files/media/document/Leveraging%20Human%20Rights_ENG_web.pdf" \h </w:instrText>
      </w:r>
      <w:r>
        <w:fldChar w:fldCharType="separate"/>
      </w:r>
      <w:r>
        <w:rPr>
          <w:rFonts w:ascii="inter" w:hAnsi="inter" w:eastAsia="inter" w:cs="inter"/>
          <w:color w:val="000000"/>
          <w:sz w:val="18"/>
          <w:u w:val="single"/>
        </w:rPr>
        <w:t>https://www.humanrights.dk/files/media/document/Leveraging Human Rights_ENG_web.pdf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CA065F9">
      <w:pPr>
        <w:numPr>
          <w:ilvl w:val="0"/>
          <w:numId w:val="1"/>
        </w:numPr>
        <w:spacing w:after="210" w:line="360" w:lineRule="auto"/>
      </w:pPr>
      <w:bookmarkStart w:id="238" w:name="fn41"/>
      <w:bookmarkEnd w:id="238"/>
      <w:r>
        <w:fldChar w:fldCharType="begin"/>
      </w:r>
      <w:r>
        <w:instrText xml:space="preserve"> HYPERLINK "https://www.aidsdatahub.org/sites/default/files/resource/undp-sdg-sexual-and-gender-minorities-2018.pdf" \h </w:instrText>
      </w:r>
      <w:r>
        <w:fldChar w:fldCharType="separate"/>
      </w:r>
      <w:r>
        <w:rPr>
          <w:rFonts w:ascii="inter" w:hAnsi="inter" w:eastAsia="inter" w:cs="inter"/>
          <w:color w:val="000000"/>
          <w:sz w:val="18"/>
          <w:u w:val="single"/>
        </w:rPr>
        <w:t>https://www.aidsdatahub.org/sites/default/files/resource/undp-sdg-sexual-and-gender-minorities-2018.pdf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65F25F0">
      <w:pPr>
        <w:numPr>
          <w:ilvl w:val="0"/>
          <w:numId w:val="1"/>
        </w:numPr>
        <w:spacing w:after="210" w:line="360" w:lineRule="auto"/>
      </w:pPr>
      <w:bookmarkStart w:id="239" w:name="fn42"/>
      <w:bookmarkEnd w:id="239"/>
      <w:r>
        <w:fldChar w:fldCharType="begin"/>
      </w:r>
      <w:r>
        <w:instrText xml:space="preserve"> HYPERLINK "https://www.hrw.org/news/2024/06/06/beyond-decriminalization-same-sex-relations" \h </w:instrText>
      </w:r>
      <w:r>
        <w:fldChar w:fldCharType="separate"/>
      </w:r>
      <w:r>
        <w:rPr>
          <w:rFonts w:ascii="inter" w:hAnsi="inter" w:eastAsia="inter" w:cs="inter"/>
          <w:color w:val="000000"/>
          <w:sz w:val="18"/>
          <w:u w:val="single"/>
        </w:rPr>
        <w:t>https://www.hrw.org/news/2024/06/06/beyond-decriminalization-same-sex-relations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234B09C">
      <w:pPr>
        <w:numPr>
          <w:ilvl w:val="0"/>
          <w:numId w:val="1"/>
        </w:numPr>
        <w:spacing w:after="210" w:line="360" w:lineRule="auto"/>
      </w:pPr>
      <w:bookmarkStart w:id="240" w:name="fn43"/>
      <w:bookmarkEnd w:id="240"/>
      <w:r>
        <w:fldChar w:fldCharType="begin"/>
      </w:r>
      <w:r>
        <w:instrText xml:space="preserve"> HYPERLINK "https://escholarship.org/uc/item/52k2b4d3" \h </w:instrText>
      </w:r>
      <w:r>
        <w:fldChar w:fldCharType="separate"/>
      </w:r>
      <w:r>
        <w:rPr>
          <w:rFonts w:ascii="inter" w:hAnsi="inter" w:eastAsia="inter" w:cs="inter"/>
          <w:color w:val="000000"/>
          <w:sz w:val="18"/>
          <w:u w:val="single"/>
        </w:rPr>
        <w:t>https://escholarship.org/uc/item/52k2b4d3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1BB8022">
      <w:pPr>
        <w:numPr>
          <w:ilvl w:val="0"/>
          <w:numId w:val="1"/>
        </w:numPr>
        <w:spacing w:after="210" w:line="360" w:lineRule="auto"/>
      </w:pPr>
      <w:bookmarkStart w:id="241" w:name="fn44"/>
      <w:bookmarkEnd w:id="241"/>
      <w:r>
        <w:fldChar w:fldCharType="begin"/>
      </w:r>
      <w:r>
        <w:instrText xml:space="preserve"> HYPERLINK "https://arabfilminstitute.org/queer-arab-films-to-watch-during-pride-month/" \h </w:instrText>
      </w:r>
      <w:r>
        <w:fldChar w:fldCharType="separate"/>
      </w:r>
      <w:r>
        <w:rPr>
          <w:rFonts w:ascii="inter" w:hAnsi="inter" w:eastAsia="inter" w:cs="inter"/>
          <w:color w:val="000000"/>
          <w:sz w:val="18"/>
          <w:u w:val="single"/>
        </w:rPr>
        <w:t>https://arabfilminstitute.org/queer-arab-films-to-watch-during-pride-month/</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DE81E3B">
      <w:pPr>
        <w:numPr>
          <w:ilvl w:val="0"/>
          <w:numId w:val="1"/>
        </w:numPr>
        <w:spacing w:after="210" w:line="360" w:lineRule="auto"/>
      </w:pPr>
      <w:bookmarkStart w:id="242" w:name="fn45"/>
      <w:bookmarkEnd w:id="242"/>
      <w:r>
        <w:fldChar w:fldCharType="begin"/>
      </w:r>
      <w:r>
        <w:instrText xml:space="preserve"> HYPERLINK "https://www.reddit.com/r/CriticalTheory/comments/htv72a/why_does_judith_butler_hold_that_gender_is/" \h </w:instrText>
      </w:r>
      <w:r>
        <w:fldChar w:fldCharType="separate"/>
      </w:r>
      <w:r>
        <w:rPr>
          <w:rFonts w:ascii="inter" w:hAnsi="inter" w:eastAsia="inter" w:cs="inter"/>
          <w:color w:val="000000"/>
          <w:sz w:val="18"/>
          <w:u w:val="single"/>
        </w:rPr>
        <w:t>https://www.reddit.com/r/CriticalTheory/comments/htv72a/why_does_judith_butler_hold_that_gender_is/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638819A">
      <w:pPr>
        <w:numPr>
          <w:ilvl w:val="0"/>
          <w:numId w:val="1"/>
        </w:numPr>
        <w:spacing w:after="210" w:line="360" w:lineRule="auto"/>
      </w:pPr>
      <w:bookmarkStart w:id="243" w:name="fn46"/>
      <w:bookmarkEnd w:id="243"/>
      <w:r>
        <w:fldChar w:fldCharType="begin"/>
      </w:r>
      <w:r>
        <w:instrText xml:space="preserve"> HYPERLINK "https://waccglobal.org/gender-responsive-media-ict-will-accelerate-the-achievement-of-sdg-5/" \h </w:instrText>
      </w:r>
      <w:r>
        <w:fldChar w:fldCharType="separate"/>
      </w:r>
      <w:r>
        <w:rPr>
          <w:rFonts w:ascii="inter" w:hAnsi="inter" w:eastAsia="inter" w:cs="inter"/>
          <w:color w:val="000000"/>
          <w:sz w:val="18"/>
          <w:u w:val="single"/>
        </w:rPr>
        <w:t>https://waccglobal.org/gender-responsive-media-ict-will-accelerate-the-achievement-of-sdg-5/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832B5C8">
      <w:pPr>
        <w:numPr>
          <w:ilvl w:val="0"/>
          <w:numId w:val="1"/>
        </w:numPr>
        <w:spacing w:after="210" w:line="360" w:lineRule="auto"/>
      </w:pPr>
      <w:bookmarkStart w:id="244" w:name="fn47"/>
      <w:bookmarkEnd w:id="244"/>
      <w:r>
        <w:fldChar w:fldCharType="begin"/>
      </w:r>
      <w:r>
        <w:instrText xml:space="preserve"> HYPERLINK "https://academicworks.cuny.edu/context/gc_etds/article/5364/viewcontent/Sartorial_Semiotics_Constructs_of_Gender_and_Female_Sexuality_in_3.pdf" \h </w:instrText>
      </w:r>
      <w:r>
        <w:fldChar w:fldCharType="separate"/>
      </w:r>
      <w:r>
        <w:rPr>
          <w:rFonts w:ascii="inter" w:hAnsi="inter" w:eastAsia="inter" w:cs="inter"/>
          <w:color w:val="000000"/>
          <w:sz w:val="18"/>
          <w:u w:val="single"/>
        </w:rPr>
        <w:t>https://academicworks.cuny.edu/context/gc_etds/article/5364/viewcontent/Sartorial_Semiotics_Constructs_of_Gender_and_Female_Sexuality_in_3.pdf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5A24BD0">
      <w:pPr>
        <w:numPr>
          <w:ilvl w:val="0"/>
          <w:numId w:val="1"/>
        </w:numPr>
        <w:spacing w:after="210" w:line="360" w:lineRule="auto"/>
      </w:pPr>
      <w:bookmarkStart w:id="245" w:name="fn48"/>
      <w:bookmarkEnd w:id="245"/>
      <w:r>
        <w:fldChar w:fldCharType="begin"/>
      </w:r>
      <w:r>
        <w:instrText xml:space="preserve"> HYPERLINK "https://www.tandfonline.com/doi/abs/10.1080/10350330.2010.494388" \h </w:instrText>
      </w:r>
      <w:r>
        <w:fldChar w:fldCharType="separate"/>
      </w:r>
      <w:r>
        <w:rPr>
          <w:rFonts w:ascii="inter" w:hAnsi="inter" w:eastAsia="inter" w:cs="inter"/>
          <w:color w:val="000000"/>
          <w:sz w:val="18"/>
          <w:u w:val="single"/>
        </w:rPr>
        <w:t>https://www.tandfonline.com/doi/abs/10.1080/10350330.2010.494388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BC21C7A">
      <w:pPr>
        <w:numPr>
          <w:ilvl w:val="0"/>
          <w:numId w:val="1"/>
        </w:numPr>
        <w:spacing w:after="210" w:line="360" w:lineRule="auto"/>
      </w:pPr>
      <w:bookmarkStart w:id="246" w:name="fn49"/>
      <w:bookmarkEnd w:id="246"/>
      <w:r>
        <w:fldChar w:fldCharType="begin"/>
      </w:r>
      <w:r>
        <w:instrText xml:space="preserve"> HYPERLINK "https://www.nytimes.com/2023/04/06/movies/joyland-review-pakistan.html" \h </w:instrText>
      </w:r>
      <w:r>
        <w:fldChar w:fldCharType="separate"/>
      </w:r>
      <w:r>
        <w:rPr>
          <w:rFonts w:ascii="inter" w:hAnsi="inter" w:eastAsia="inter" w:cs="inter"/>
          <w:color w:val="000000"/>
          <w:sz w:val="18"/>
          <w:u w:val="single"/>
        </w:rPr>
        <w:t>https://www.nytimes.com/2023/04/06/movies/joyland-review-pakistan.html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FD6A65C">
      <w:pPr>
        <w:numPr>
          <w:ilvl w:val="0"/>
          <w:numId w:val="1"/>
        </w:numPr>
        <w:spacing w:after="210" w:line="360" w:lineRule="auto"/>
      </w:pPr>
      <w:bookmarkStart w:id="247" w:name="fn50"/>
      <w:bookmarkEnd w:id="247"/>
      <w:r>
        <w:fldChar w:fldCharType="begin"/>
      </w:r>
      <w:r>
        <w:instrText xml:space="preserve"> HYPERLINK "https://www.youtube.com/watch?v=EZCrr6_RiBc" \h </w:instrText>
      </w:r>
      <w:r>
        <w:fldChar w:fldCharType="separate"/>
      </w:r>
      <w:r>
        <w:rPr>
          <w:rFonts w:ascii="inter" w:hAnsi="inter" w:eastAsia="inter" w:cs="inter"/>
          <w:color w:val="000000"/>
          <w:sz w:val="18"/>
          <w:u w:val="single"/>
        </w:rPr>
        <w:t>https://www.youtube.com/watch?v=EZCrr6_RiBc</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B9A98FD">
      <w:pPr>
        <w:numPr>
          <w:ilvl w:val="0"/>
          <w:numId w:val="1"/>
        </w:numPr>
        <w:spacing w:after="210" w:line="360" w:lineRule="auto"/>
      </w:pPr>
      <w:bookmarkStart w:id="248" w:name="fn51"/>
      <w:bookmarkEnd w:id="248"/>
      <w:r>
        <w:fldChar w:fldCharType="begin"/>
      </w:r>
      <w:r>
        <w:instrText xml:space="preserve"> HYPERLINK "https://www.arabnews.com/node/2107796/%7B%7B" \h </w:instrText>
      </w:r>
      <w:r>
        <w:fldChar w:fldCharType="separate"/>
      </w:r>
      <w:r>
        <w:rPr>
          <w:rFonts w:ascii="inter" w:hAnsi="inter" w:eastAsia="inter" w:cs="inter"/>
          <w:color w:val="000000"/>
          <w:sz w:val="18"/>
          <w:u w:val="single"/>
        </w:rPr>
        <w:t>https://www.arabnews.com/node/2107796/{{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923E071">
      <w:pPr>
        <w:numPr>
          <w:ilvl w:val="0"/>
          <w:numId w:val="1"/>
        </w:numPr>
        <w:spacing w:after="210" w:line="360" w:lineRule="auto"/>
      </w:pPr>
      <w:bookmarkStart w:id="249" w:name="fn52"/>
      <w:bookmarkEnd w:id="249"/>
      <w:r>
        <w:fldChar w:fldCharType="begin"/>
      </w:r>
      <w:r>
        <w:instrText xml:space="preserve"> HYPERLINK "https://loudandclearreviews.com/saim-sadiq-joyland-interview-director/" \h </w:instrText>
      </w:r>
      <w:r>
        <w:fldChar w:fldCharType="separate"/>
      </w:r>
      <w:r>
        <w:rPr>
          <w:rFonts w:ascii="inter" w:hAnsi="inter" w:eastAsia="inter" w:cs="inter"/>
          <w:color w:val="000000"/>
          <w:sz w:val="18"/>
          <w:u w:val="single"/>
        </w:rPr>
        <w:t>https://loudandclearreviews.com/saim-sadiq-joyland-interview-director/</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5E255EB">
      <w:pPr>
        <w:numPr>
          <w:ilvl w:val="0"/>
          <w:numId w:val="1"/>
        </w:numPr>
        <w:spacing w:after="210" w:line="360" w:lineRule="auto"/>
      </w:pPr>
      <w:bookmarkStart w:id="250" w:name="fn53"/>
      <w:bookmarkEnd w:id="250"/>
      <w:r>
        <w:fldChar w:fldCharType="begin"/>
      </w:r>
      <w:r>
        <w:instrText xml:space="preserve"> HYPERLINK "https://www.arabnews.com/node/1151596/page_view_event/page_view_timing/ajax/aggregate" \h </w:instrText>
      </w:r>
      <w:r>
        <w:fldChar w:fldCharType="separate"/>
      </w:r>
      <w:r>
        <w:rPr>
          <w:rFonts w:ascii="inter" w:hAnsi="inter" w:eastAsia="inter" w:cs="inter"/>
          <w:color w:val="000000"/>
          <w:sz w:val="18"/>
          <w:u w:val="single"/>
        </w:rPr>
        <w:t>https://www.arabnews.com/node/1151596/page_view_event/page_view_timing/ajax/aggregate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BAF0C00">
      <w:pPr>
        <w:numPr>
          <w:ilvl w:val="0"/>
          <w:numId w:val="1"/>
        </w:numPr>
        <w:spacing w:after="210" w:line="360" w:lineRule="auto"/>
      </w:pPr>
      <w:bookmarkStart w:id="251" w:name="fn54"/>
      <w:bookmarkEnd w:id="251"/>
      <w:r>
        <w:fldChar w:fldCharType="begin"/>
      </w:r>
      <w:r>
        <w:instrText xml:space="preserve"> HYPERLINK "https://www.undp.org/sites/g/files/zskgke326/files/publications/SDGs_SexualAndGenderMinorities.pdf" \h </w:instrText>
      </w:r>
      <w:r>
        <w:fldChar w:fldCharType="separate"/>
      </w:r>
      <w:r>
        <w:rPr>
          <w:rFonts w:ascii="inter" w:hAnsi="inter" w:eastAsia="inter" w:cs="inter"/>
          <w:color w:val="000000"/>
          <w:sz w:val="18"/>
          <w:u w:val="single"/>
        </w:rPr>
        <w:t>https://www.undp.org/sites/g/files/zskgke326/files/publications/SDGs_SexualAndGenderMinorities.pdf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87E1E4C">
      <w:pPr>
        <w:numPr>
          <w:ilvl w:val="0"/>
          <w:numId w:val="1"/>
        </w:numPr>
        <w:spacing w:after="210" w:line="360" w:lineRule="auto"/>
      </w:pPr>
      <w:bookmarkStart w:id="252" w:name="fn55"/>
      <w:bookmarkEnd w:id="252"/>
      <w:r>
        <w:fldChar w:fldCharType="begin"/>
      </w:r>
      <w:r>
        <w:instrText xml:space="preserve"> HYPERLINK "https://www.cambridge.org/core/journals/perspectives-on-politics/article/global-analysis-of-transgender-rights-introducing-the-trans-rights-indicator-project-trip/3C143E501E0824C8F9F0C40925965F43" \h </w:instrText>
      </w:r>
      <w:r>
        <w:fldChar w:fldCharType="separate"/>
      </w:r>
      <w:r>
        <w:rPr>
          <w:rFonts w:ascii="inter" w:hAnsi="inter" w:eastAsia="inter" w:cs="inter"/>
          <w:color w:val="000000"/>
          <w:sz w:val="18"/>
          <w:u w:val="single"/>
        </w:rPr>
        <w:t>https://www.cambridge.org/core/journals/perspectives-on-politics/article/global-analysis-of-transgender-rights-introducing-the-trans-rights-indicator-project-trip/3C143E501E0824C8F9F0C40925965F43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55C1E1A">
      <w:pPr>
        <w:numPr>
          <w:ilvl w:val="0"/>
          <w:numId w:val="1"/>
        </w:numPr>
        <w:spacing w:after="210" w:line="360" w:lineRule="auto"/>
      </w:pPr>
      <w:bookmarkStart w:id="253" w:name="fn56"/>
      <w:bookmarkEnd w:id="253"/>
      <w:r>
        <w:fldChar w:fldCharType="begin"/>
      </w:r>
      <w:r>
        <w:instrText xml:space="preserve"> HYPERLINK "https://classicaltheory356735243.wordpress.com/2023/01/25/oscar-shortlisted-director-saim-sadiq-on-joyland/" \h </w:instrText>
      </w:r>
      <w:r>
        <w:fldChar w:fldCharType="separate"/>
      </w:r>
      <w:r>
        <w:rPr>
          <w:rFonts w:ascii="inter" w:hAnsi="inter" w:eastAsia="inter" w:cs="inter"/>
          <w:color w:val="000000"/>
          <w:sz w:val="18"/>
          <w:u w:val="single"/>
        </w:rPr>
        <w:t>https://classicaltheory356735243.wordpress.com/2023/01/25/oscar-shortlisted-director-saim-sadiq-on-joyland/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C393258">
      <w:pPr>
        <w:numPr>
          <w:ilvl w:val="0"/>
          <w:numId w:val="1"/>
        </w:numPr>
        <w:spacing w:after="210" w:line="360" w:lineRule="auto"/>
      </w:pPr>
      <w:bookmarkStart w:id="254" w:name="fn57"/>
      <w:bookmarkEnd w:id="254"/>
      <w:r>
        <w:fldChar w:fldCharType="begin"/>
      </w:r>
      <w:r>
        <w:instrText xml:space="preserve"> HYPERLINK "https://www.sensesofcinema.com/2019/festival-reports/under-the-moon-in-sharjah-the-1st-sharjah-film-platform/" \h </w:instrText>
      </w:r>
      <w:r>
        <w:fldChar w:fldCharType="separate"/>
      </w:r>
      <w:r>
        <w:rPr>
          <w:rFonts w:ascii="inter" w:hAnsi="inter" w:eastAsia="inter" w:cs="inter"/>
          <w:color w:val="000000"/>
          <w:sz w:val="18"/>
          <w:u w:val="single"/>
        </w:rPr>
        <w:t>https://www.sensesofcinema.com/2019/festival-reports/under-the-moon-in-sharjah-the-1st-sharjah-film-platform/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18D9273">
      <w:pPr>
        <w:numPr>
          <w:ilvl w:val="0"/>
          <w:numId w:val="1"/>
        </w:numPr>
        <w:spacing w:after="210" w:line="360" w:lineRule="auto"/>
      </w:pPr>
      <w:bookmarkStart w:id="255" w:name="fn58"/>
      <w:bookmarkEnd w:id="255"/>
      <w:r>
        <w:fldChar w:fldCharType="begin"/>
      </w:r>
      <w:r>
        <w:instrText xml:space="preserve"> HYPERLINK "https://www.reddit.com/r/AskMiddleEast/comments/tuidp3/are_there_any_gaytrans_characters_in_middle/" \h </w:instrText>
      </w:r>
      <w:r>
        <w:fldChar w:fldCharType="separate"/>
      </w:r>
      <w:r>
        <w:rPr>
          <w:rFonts w:ascii="inter" w:hAnsi="inter" w:eastAsia="inter" w:cs="inter"/>
          <w:color w:val="000000"/>
          <w:sz w:val="18"/>
          <w:u w:val="single"/>
        </w:rPr>
        <w:t>https://www.reddit.com/r/AskMiddleEast/comments/tuidp3/are_there_any_gaytrans_characters_in_middle/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BE52D08">
      <w:pPr>
        <w:numPr>
          <w:ilvl w:val="0"/>
          <w:numId w:val="1"/>
        </w:numPr>
        <w:spacing w:after="210" w:line="360" w:lineRule="auto"/>
      </w:pPr>
      <w:bookmarkStart w:id="256" w:name="fn59"/>
      <w:bookmarkEnd w:id="256"/>
      <w:r>
        <w:fldChar w:fldCharType="begin"/>
      </w:r>
      <w:r>
        <w:instrText xml:space="preserve"> HYPERLINK "https://www.queerbeat.org/stories/why-indian-cinema-keeps-ignoring-trans-masculinity/" \h </w:instrText>
      </w:r>
      <w:r>
        <w:fldChar w:fldCharType="separate"/>
      </w:r>
      <w:r>
        <w:rPr>
          <w:rFonts w:ascii="inter" w:hAnsi="inter" w:eastAsia="inter" w:cs="inter"/>
          <w:color w:val="000000"/>
          <w:sz w:val="18"/>
          <w:u w:val="single"/>
        </w:rPr>
        <w:t>https://www.queerbeat.org/stories/why-indian-cinema-keeps-ignoring-trans-masculinity/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B4FBCD5">
      <w:pPr>
        <w:numPr>
          <w:ilvl w:val="0"/>
          <w:numId w:val="1"/>
        </w:numPr>
        <w:spacing w:after="210" w:line="360" w:lineRule="auto"/>
      </w:pPr>
      <w:bookmarkStart w:id="257" w:name="fn60"/>
      <w:bookmarkEnd w:id="257"/>
      <w:r>
        <w:fldChar w:fldCharType="begin"/>
      </w:r>
      <w:r>
        <w:instrText xml:space="preserve"> HYPERLINK "https://en.wikipedia.org/wiki/Joyland_(film)" \h </w:instrText>
      </w:r>
      <w:r>
        <w:fldChar w:fldCharType="separate"/>
      </w:r>
      <w:r>
        <w:rPr>
          <w:rFonts w:ascii="inter" w:hAnsi="inter" w:eastAsia="inter" w:cs="inter"/>
          <w:color w:val="000000"/>
          <w:sz w:val="18"/>
          <w:u w:val="single"/>
        </w:rPr>
        <w:t>https://en.wikipedia.org/wiki/Joyland_(film)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584A8F7">
      <w:pPr>
        <w:numPr>
          <w:ilvl w:val="0"/>
          <w:numId w:val="1"/>
        </w:numPr>
        <w:spacing w:after="210" w:line="360" w:lineRule="auto"/>
      </w:pPr>
      <w:bookmarkStart w:id="258" w:name="fn61"/>
      <w:bookmarkEnd w:id="258"/>
      <w:r>
        <w:fldChar w:fldCharType="begin"/>
      </w:r>
      <w:r>
        <w:instrText xml:space="preserve"> HYPERLINK "https://www.sundance.org/blogs/what-to-watch-9-films-by-trans-filmmakers-to-celebrate-transgender-day-of-visibility/" \h </w:instrText>
      </w:r>
      <w:r>
        <w:fldChar w:fldCharType="separate"/>
      </w:r>
      <w:r>
        <w:rPr>
          <w:rFonts w:ascii="inter" w:hAnsi="inter" w:eastAsia="inter" w:cs="inter"/>
          <w:color w:val="000000"/>
          <w:sz w:val="18"/>
          <w:u w:val="single"/>
        </w:rPr>
        <w:t>https://www.sundance.org/blogs/what-to-watch-9-films-by-trans-filmmakers-to-celebrate-transgender-day-of-visibility/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B9A41D7">
      <w:pPr>
        <w:numPr>
          <w:ilvl w:val="0"/>
          <w:numId w:val="1"/>
        </w:numPr>
        <w:spacing w:after="210" w:line="360" w:lineRule="auto"/>
      </w:pPr>
      <w:bookmarkStart w:id="259" w:name="fn62"/>
      <w:bookmarkEnd w:id="259"/>
      <w:r>
        <w:fldChar w:fldCharType="begin"/>
      </w:r>
      <w:r>
        <w:instrText xml:space="preserve"> HYPERLINK "https://dukeupress.edu/queer-african-cinemas" \h </w:instrText>
      </w:r>
      <w:r>
        <w:fldChar w:fldCharType="separate"/>
      </w:r>
      <w:r>
        <w:rPr>
          <w:rFonts w:ascii="inter" w:hAnsi="inter" w:eastAsia="inter" w:cs="inter"/>
          <w:color w:val="000000"/>
          <w:sz w:val="18"/>
          <w:u w:val="single"/>
        </w:rPr>
        <w:t>https://dukeupress.edu/queer-african-cinemas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50B4AA4">
      <w:pPr>
        <w:numPr>
          <w:ilvl w:val="0"/>
          <w:numId w:val="1"/>
        </w:numPr>
        <w:spacing w:after="210" w:line="360" w:lineRule="auto"/>
      </w:pPr>
      <w:bookmarkStart w:id="260" w:name="fn63"/>
      <w:bookmarkEnd w:id="260"/>
      <w:r>
        <w:fldChar w:fldCharType="begin"/>
      </w:r>
      <w:r>
        <w:instrText xml:space="preserve"> HYPERLINK "https://letterboxd.com/yasminat/list/queer-arab-cinema/" \h </w:instrText>
      </w:r>
      <w:r>
        <w:fldChar w:fldCharType="separate"/>
      </w:r>
      <w:r>
        <w:rPr>
          <w:rFonts w:ascii="inter" w:hAnsi="inter" w:eastAsia="inter" w:cs="inter"/>
          <w:color w:val="000000"/>
          <w:sz w:val="18"/>
          <w:u w:val="single"/>
        </w:rPr>
        <w:t>https://letterboxd.com/yasminat/list/queer-arab-cinema/</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60BF971">
      <w:pPr>
        <w:numPr>
          <w:ilvl w:val="0"/>
          <w:numId w:val="1"/>
        </w:numPr>
        <w:spacing w:after="210" w:line="360" w:lineRule="auto"/>
      </w:pPr>
      <w:bookmarkStart w:id="261" w:name="fn64"/>
      <w:bookmarkEnd w:id="261"/>
      <w:r>
        <w:fldChar w:fldCharType="begin"/>
      </w:r>
      <w:r>
        <w:instrText xml:space="preserve"> HYPERLINK "https://english-meiji.net/articles/5348/" \h </w:instrText>
      </w:r>
      <w:r>
        <w:fldChar w:fldCharType="separate"/>
      </w:r>
      <w:r>
        <w:rPr>
          <w:rFonts w:ascii="inter" w:hAnsi="inter" w:eastAsia="inter" w:cs="inter"/>
          <w:color w:val="000000"/>
          <w:sz w:val="18"/>
          <w:u w:val="single"/>
        </w:rPr>
        <w:t>https://english-meiji.net/articles/5348/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CEF24FE">
      <w:pPr>
        <w:numPr>
          <w:ilvl w:val="0"/>
          <w:numId w:val="1"/>
        </w:numPr>
        <w:spacing w:after="210" w:line="360" w:lineRule="auto"/>
      </w:pPr>
      <w:bookmarkStart w:id="262" w:name="fn65"/>
      <w:bookmarkEnd w:id="262"/>
      <w:r>
        <w:fldChar w:fldCharType="begin"/>
      </w:r>
      <w:r>
        <w:instrText xml:space="preserve"> HYPERLINK "https://howlround.com/producing-queer-middle-eastern-and-north-african-theatre-american-stage" \h </w:instrText>
      </w:r>
      <w:r>
        <w:fldChar w:fldCharType="separate"/>
      </w:r>
      <w:r>
        <w:rPr>
          <w:rFonts w:ascii="inter" w:hAnsi="inter" w:eastAsia="inter" w:cs="inter"/>
          <w:color w:val="000000"/>
          <w:sz w:val="18"/>
          <w:u w:val="single"/>
        </w:rPr>
        <w:t>https://howlround.com/producing-queer-middle-eastern-and-north-african-theatre-american-stage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42DB4B7">
      <w:pPr>
        <w:numPr>
          <w:ilvl w:val="0"/>
          <w:numId w:val="1"/>
        </w:numPr>
        <w:spacing w:after="210" w:line="360" w:lineRule="auto"/>
      </w:pPr>
      <w:bookmarkStart w:id="263" w:name="fn66"/>
      <w:bookmarkEnd w:id="263"/>
      <w:r>
        <w:fldChar w:fldCharType="begin"/>
      </w:r>
      <w:r>
        <w:instrText xml:space="preserve"> HYPERLINK "https://www.alphavillejournal.com/Issue20/HTML/ArticleKarim.html" \h </w:instrText>
      </w:r>
      <w:r>
        <w:fldChar w:fldCharType="separate"/>
      </w:r>
      <w:r>
        <w:rPr>
          <w:rFonts w:ascii="inter" w:hAnsi="inter" w:eastAsia="inter" w:cs="inter"/>
          <w:color w:val="000000"/>
          <w:sz w:val="18"/>
          <w:u w:val="single"/>
        </w:rPr>
        <w:t>https://www.alphavillejournal.com/Issue20/HTML/ArticleKarim.html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D4D1330">
      <w:pPr>
        <w:numPr>
          <w:ilvl w:val="0"/>
          <w:numId w:val="1"/>
        </w:numPr>
        <w:spacing w:after="210" w:line="360" w:lineRule="auto"/>
      </w:pPr>
      <w:bookmarkStart w:id="264" w:name="fn67"/>
      <w:bookmarkEnd w:id="264"/>
      <w:r>
        <w:fldChar w:fldCharType="begin"/>
      </w:r>
      <w:r>
        <w:instrText xml:space="preserve"> HYPERLINK "https://www.boshemiamagazine.com/blog/from-villain-to-visibility-trans-lives-on-film-hallie-murray" \h </w:instrText>
      </w:r>
      <w:r>
        <w:fldChar w:fldCharType="separate"/>
      </w:r>
      <w:r>
        <w:rPr>
          <w:rFonts w:ascii="inter" w:hAnsi="inter" w:eastAsia="inter" w:cs="inter"/>
          <w:color w:val="000000"/>
          <w:sz w:val="18"/>
          <w:u w:val="single"/>
        </w:rPr>
        <w:t>https://www.boshemiamagazine.com/blog/from-villain-to-visibility-trans-lives-on-film-hallie-murray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65D68AF">
      <w:pPr>
        <w:numPr>
          <w:ilvl w:val="0"/>
          <w:numId w:val="1"/>
        </w:numPr>
        <w:spacing w:after="210" w:line="360" w:lineRule="auto"/>
      </w:pPr>
      <w:bookmarkStart w:id="265" w:name="fn68"/>
      <w:bookmarkEnd w:id="265"/>
      <w:r>
        <w:fldChar w:fldCharType="begin"/>
      </w:r>
      <w:r>
        <w:instrText xml:space="preserve"> HYPERLINK "https://etd.library.emory.edu/concern/etds/rf55z8965" \h </w:instrText>
      </w:r>
      <w:r>
        <w:fldChar w:fldCharType="separate"/>
      </w:r>
      <w:r>
        <w:rPr>
          <w:rFonts w:ascii="inter" w:hAnsi="inter" w:eastAsia="inter" w:cs="inter"/>
          <w:color w:val="000000"/>
          <w:sz w:val="18"/>
          <w:u w:val="single"/>
        </w:rPr>
        <w:t>https://etd.library.emory.edu/concern/etds/rf55z8965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4E52204">
      <w:pPr>
        <w:numPr>
          <w:ilvl w:val="0"/>
          <w:numId w:val="1"/>
        </w:numPr>
        <w:spacing w:after="210" w:line="360" w:lineRule="auto"/>
      </w:pPr>
      <w:bookmarkStart w:id="266" w:name="fn69"/>
      <w:bookmarkEnd w:id="266"/>
      <w:r>
        <w:fldChar w:fldCharType="begin"/>
      </w:r>
      <w:r>
        <w:instrText xml:space="preserve"> HYPERLINK "https://www.samarhabib.net/single-post/2016/08/03/filmmakers-who-feature-arab-gay-lesbian-and-bisexual-characters" \h </w:instrText>
      </w:r>
      <w:r>
        <w:fldChar w:fldCharType="separate"/>
      </w:r>
      <w:r>
        <w:rPr>
          <w:rFonts w:ascii="inter" w:hAnsi="inter" w:eastAsia="inter" w:cs="inter"/>
          <w:color w:val="000000"/>
          <w:sz w:val="18"/>
          <w:u w:val="single"/>
        </w:rPr>
        <w:t>https://www.samarhabib.net/single-post/2016/08/03/filmmakers-who-feature-arab-gay-lesbian-and-bisexual-characters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972DAF8">
      <w:pPr>
        <w:numPr>
          <w:ilvl w:val="0"/>
          <w:numId w:val="1"/>
        </w:numPr>
        <w:spacing w:after="210" w:line="360" w:lineRule="auto"/>
      </w:pPr>
      <w:bookmarkStart w:id="267" w:name="fn70"/>
      <w:bookmarkEnd w:id="267"/>
      <w:r>
        <w:fldChar w:fldCharType="begin"/>
      </w:r>
      <w:r>
        <w:instrText xml:space="preserve"> HYPERLINK "https://www.reddit.com/r/dune/comments/wabnov/issues_of_mena_representation_in_dune/" \h </w:instrText>
      </w:r>
      <w:r>
        <w:fldChar w:fldCharType="separate"/>
      </w:r>
      <w:r>
        <w:rPr>
          <w:rFonts w:ascii="inter" w:hAnsi="inter" w:eastAsia="inter" w:cs="inter"/>
          <w:color w:val="000000"/>
          <w:sz w:val="18"/>
          <w:u w:val="single"/>
        </w:rPr>
        <w:t>https://www.reddit.com/r/dune/comments/wabnov/issues_of_mena_representation_in_dune/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8A333AF">
      <w:pPr>
        <w:numPr>
          <w:ilvl w:val="0"/>
          <w:numId w:val="1"/>
        </w:numPr>
        <w:spacing w:after="210" w:line="360" w:lineRule="auto"/>
      </w:pPr>
      <w:bookmarkStart w:id="268" w:name="fn71"/>
      <w:bookmarkEnd w:id="268"/>
      <w:r>
        <w:fldChar w:fldCharType="begin"/>
      </w:r>
      <w:r>
        <w:instrText xml:space="preserve"> HYPERLINK "https://papers.ssrn.com/sol3/Delivery.cfm/5232397.pdf?abstractid=5232397&amp;mirid=1" \h </w:instrText>
      </w:r>
      <w:r>
        <w:fldChar w:fldCharType="separate"/>
      </w:r>
      <w:r>
        <w:rPr>
          <w:rFonts w:ascii="inter" w:hAnsi="inter" w:eastAsia="inter" w:cs="inter"/>
          <w:color w:val="000000"/>
          <w:sz w:val="18"/>
          <w:u w:val="single"/>
        </w:rPr>
        <w:t>https://papers.ssrn.com/sol3/Delivery.cfm/5232397.pdf?abstractid=5232397&amp;mirid=1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113E620">
      <w:pPr>
        <w:numPr>
          <w:ilvl w:val="0"/>
          <w:numId w:val="1"/>
        </w:numPr>
        <w:spacing w:after="210" w:line="360" w:lineRule="auto"/>
      </w:pPr>
      <w:bookmarkStart w:id="269" w:name="fn72"/>
      <w:bookmarkEnd w:id="269"/>
      <w:r>
        <w:fldChar w:fldCharType="begin"/>
      </w:r>
      <w:r>
        <w:instrText xml:space="preserve"> HYPERLINK "https://www.nbcnews.com/feature/nbc-out/emirati-filmmaker-pushes-boundaries-exposes-hidden-lives-n796351" \h </w:instrText>
      </w:r>
      <w:r>
        <w:fldChar w:fldCharType="separate"/>
      </w:r>
      <w:r>
        <w:rPr>
          <w:rFonts w:ascii="inter" w:hAnsi="inter" w:eastAsia="inter" w:cs="inter"/>
          <w:color w:val="000000"/>
          <w:sz w:val="18"/>
          <w:u w:val="single"/>
        </w:rPr>
        <w:t>https://www.nbcnews.com/feature/nbc-out/emirati-filmmaker-pushes-boundaries-exposes-hidden-lives-n796351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D9EDAEF">
      <w:pPr>
        <w:numPr>
          <w:ilvl w:val="0"/>
          <w:numId w:val="1"/>
        </w:numPr>
        <w:spacing w:after="210" w:line="360" w:lineRule="auto"/>
      </w:pPr>
      <w:bookmarkStart w:id="270" w:name="fn73"/>
      <w:bookmarkEnd w:id="270"/>
      <w:r>
        <w:fldChar w:fldCharType="begin"/>
      </w:r>
      <w:r>
        <w:instrText xml:space="preserve"> HYPERLINK "https://www.instagram.com/p/DRr3fHogXE0/" \h </w:instrText>
      </w:r>
      <w:r>
        <w:fldChar w:fldCharType="separate"/>
      </w:r>
      <w:r>
        <w:rPr>
          <w:rFonts w:ascii="inter" w:hAnsi="inter" w:eastAsia="inter" w:cs="inter"/>
          <w:color w:val="000000"/>
          <w:sz w:val="18"/>
          <w:u w:val="single"/>
        </w:rPr>
        <w:t>https://www.instagram.com/p/DRr3fHogXE0/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70BE853">
      <w:pPr>
        <w:numPr>
          <w:ilvl w:val="0"/>
          <w:numId w:val="1"/>
        </w:numPr>
        <w:spacing w:after="210" w:line="360" w:lineRule="auto"/>
      </w:pPr>
      <w:bookmarkStart w:id="271" w:name="fn74"/>
      <w:bookmarkEnd w:id="271"/>
      <w:r>
        <w:fldChar w:fldCharType="begin"/>
      </w:r>
      <w:r>
        <w:instrText xml:space="preserve"> HYPERLINK "https://guides.library.cornell.edu/c.php?g=474189&amp;p=3244709" \h </w:instrText>
      </w:r>
      <w:r>
        <w:fldChar w:fldCharType="separate"/>
      </w:r>
      <w:r>
        <w:rPr>
          <w:rFonts w:ascii="inter" w:hAnsi="inter" w:eastAsia="inter" w:cs="inter"/>
          <w:color w:val="000000"/>
          <w:sz w:val="18"/>
          <w:u w:val="single"/>
        </w:rPr>
        <w:t>https://guides.library.cornell.edu/c.php?g=474189&amp;p=3244709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86ABDAF">
      <w:pPr>
        <w:numPr>
          <w:ilvl w:val="0"/>
          <w:numId w:val="1"/>
        </w:numPr>
        <w:spacing w:after="210" w:line="360" w:lineRule="auto"/>
      </w:pPr>
      <w:bookmarkStart w:id="272" w:name="fn75"/>
      <w:bookmarkEnd w:id="272"/>
      <w:r>
        <w:fldChar w:fldCharType="begin"/>
      </w:r>
      <w:r>
        <w:instrText xml:space="preserve"> HYPERLINK "https://www.youtube.com/watch?v=InT99AHc8q4" \h </w:instrText>
      </w:r>
      <w:r>
        <w:fldChar w:fldCharType="separate"/>
      </w:r>
      <w:r>
        <w:rPr>
          <w:rFonts w:ascii="inter" w:hAnsi="inter" w:eastAsia="inter" w:cs="inter"/>
          <w:color w:val="000000"/>
          <w:sz w:val="18"/>
          <w:u w:val="single"/>
        </w:rPr>
        <w:t>https://www.youtube.com/watch?v=InT99AHc8q4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E4F4D21">
      <w:pPr>
        <w:numPr>
          <w:ilvl w:val="0"/>
          <w:numId w:val="1"/>
        </w:numPr>
        <w:spacing w:after="210" w:line="360" w:lineRule="auto"/>
      </w:pPr>
      <w:bookmarkStart w:id="273" w:name="fn76"/>
      <w:bookmarkEnd w:id="273"/>
      <w:r>
        <w:fldChar w:fldCharType="begin"/>
      </w:r>
      <w:r>
        <w:instrText xml:space="preserve"> HYPERLINK "https://academic.oup.com/screen/article/65/2/278/7701379" \h </w:instrText>
      </w:r>
      <w:r>
        <w:fldChar w:fldCharType="separate"/>
      </w:r>
      <w:r>
        <w:rPr>
          <w:rFonts w:ascii="inter" w:hAnsi="inter" w:eastAsia="inter" w:cs="inter"/>
          <w:color w:val="000000"/>
          <w:sz w:val="18"/>
          <w:u w:val="single"/>
        </w:rPr>
        <w:t>https://academic.oup.com/screen/article/65/2/278/7701379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95B107A">
      <w:pPr>
        <w:numPr>
          <w:ilvl w:val="0"/>
          <w:numId w:val="1"/>
        </w:numPr>
        <w:spacing w:after="210" w:line="360" w:lineRule="auto"/>
      </w:pPr>
      <w:bookmarkStart w:id="274" w:name="fn77"/>
      <w:bookmarkEnd w:id="274"/>
      <w:r>
        <w:fldChar w:fldCharType="begin"/>
      </w:r>
      <w:r>
        <w:instrText xml:space="preserve"> HYPERLINK "https://www.anothermag.com/design-living/14709/joyland-how-saim-sadiq-made-pakistans-groundbreaking-trans-love-story" \h </w:instrText>
      </w:r>
      <w:r>
        <w:fldChar w:fldCharType="separate"/>
      </w:r>
      <w:r>
        <w:rPr>
          <w:rFonts w:ascii="inter" w:hAnsi="inter" w:eastAsia="inter" w:cs="inter"/>
          <w:color w:val="000000"/>
          <w:sz w:val="18"/>
          <w:u w:val="single"/>
        </w:rPr>
        <w:t>https://www.anothermag.com/design-living/14709/joyland-how-saim-sadiq-made-pakistans-groundbreaking-trans-love-story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CAE3554">
      <w:pPr>
        <w:numPr>
          <w:ilvl w:val="0"/>
          <w:numId w:val="1"/>
        </w:numPr>
        <w:spacing w:after="210" w:line="360" w:lineRule="auto"/>
      </w:pPr>
      <w:bookmarkStart w:id="275" w:name="fn78"/>
      <w:bookmarkEnd w:id="275"/>
      <w:r>
        <w:fldChar w:fldCharType="begin"/>
      </w:r>
      <w:r>
        <w:instrText xml:space="preserve"> HYPERLINK "https://film.twn.org/products/cinema-fouad" \h </w:instrText>
      </w:r>
      <w:r>
        <w:fldChar w:fldCharType="separate"/>
      </w:r>
      <w:r>
        <w:rPr>
          <w:rFonts w:ascii="inter" w:hAnsi="inter" w:eastAsia="inter" w:cs="inter"/>
          <w:color w:val="000000"/>
          <w:sz w:val="18"/>
          <w:u w:val="single"/>
        </w:rPr>
        <w:t>https://film.twn.org/products/cinema-fouad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762260D">
      <w:pPr>
        <w:numPr>
          <w:ilvl w:val="0"/>
          <w:numId w:val="1"/>
        </w:numPr>
        <w:spacing w:after="210" w:line="360" w:lineRule="auto"/>
      </w:pPr>
      <w:bookmarkStart w:id="276" w:name="fn79"/>
      <w:bookmarkEnd w:id="276"/>
      <w:r>
        <w:fldChar w:fldCharType="begin"/>
      </w:r>
      <w:r>
        <w:instrText xml:space="preserve"> HYPERLINK "https://raseef22.net/english/article/1100342-on-queer-subtleties-and-secrecies-why-imhy-im-still-thinking-about-that-scene-in" \h </w:instrText>
      </w:r>
      <w:r>
        <w:fldChar w:fldCharType="separate"/>
      </w:r>
      <w:r>
        <w:rPr>
          <w:rFonts w:ascii="inter" w:hAnsi="inter" w:eastAsia="inter" w:cs="inter"/>
          <w:color w:val="000000"/>
          <w:sz w:val="18"/>
          <w:u w:val="single"/>
        </w:rPr>
        <w:t>https://raseef22.net/english/article/1100342-on-queer-subtleties-and-secrecies-why-imhy-im-still-thinking-about-that-scene-in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A1E9BCF">
      <w:pPr>
        <w:numPr>
          <w:ilvl w:val="0"/>
          <w:numId w:val="1"/>
        </w:numPr>
        <w:spacing w:after="210" w:line="360" w:lineRule="auto"/>
      </w:pPr>
      <w:bookmarkStart w:id="277" w:name="fn80"/>
      <w:bookmarkEnd w:id="277"/>
      <w:r>
        <w:fldChar w:fldCharType="begin"/>
      </w:r>
      <w:r>
        <w:instrText xml:space="preserve"> HYPERLINK "https://www.wyomingpublicmedia.org/2023-05-03/pakistans-trans-community-shows-love-for-joyland-but-worries-about-a-backlash" \h </w:instrText>
      </w:r>
      <w:r>
        <w:fldChar w:fldCharType="separate"/>
      </w:r>
      <w:r>
        <w:rPr>
          <w:rFonts w:ascii="inter" w:hAnsi="inter" w:eastAsia="inter" w:cs="inter"/>
          <w:color w:val="000000"/>
          <w:sz w:val="18"/>
          <w:u w:val="single"/>
        </w:rPr>
        <w:t>https://www.wyomingpublicmedia.org/2023-05-03/pakistans-trans-community-shows-love-for-joyland-but-worries-about-a-backlash</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E6511FD">
      <w:pPr>
        <w:numPr>
          <w:ilvl w:val="0"/>
          <w:numId w:val="1"/>
        </w:numPr>
        <w:spacing w:after="210" w:line="360" w:lineRule="auto"/>
      </w:pPr>
      <w:bookmarkStart w:id="278" w:name="fn81"/>
      <w:bookmarkEnd w:id="278"/>
      <w:r>
        <w:fldChar w:fldCharType="begin"/>
      </w:r>
      <w:r>
        <w:instrText xml:space="preserve"> HYPERLINK "https://bidoun.org/projects/hello-guggenheim/projects/paris-without-a-sea-mounira-al-solh-2007-8-cinema-fouad-mohamed-soueid-1993" \h </w:instrText>
      </w:r>
      <w:r>
        <w:fldChar w:fldCharType="separate"/>
      </w:r>
      <w:r>
        <w:rPr>
          <w:rFonts w:ascii="inter" w:hAnsi="inter" w:eastAsia="inter" w:cs="inter"/>
          <w:color w:val="000000"/>
          <w:sz w:val="18"/>
          <w:u w:val="single"/>
        </w:rPr>
        <w:t>https://bidoun.org/projects/hello-guggenheim/projects/paris-without-a-sea-mounira-al-solh-2007-8-cinema-fouad-mohamed-soueid-1993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148302C">
      <w:pPr>
        <w:numPr>
          <w:ilvl w:val="0"/>
          <w:numId w:val="1"/>
        </w:numPr>
        <w:spacing w:after="210" w:line="360" w:lineRule="auto"/>
      </w:pPr>
      <w:bookmarkStart w:id="279" w:name="fn82"/>
      <w:bookmarkEnd w:id="279"/>
      <w:r>
        <w:fldChar w:fldCharType="begin"/>
      </w:r>
      <w:r>
        <w:instrText xml:space="preserve"> HYPERLINK "https://www.semanticscholar.org/paper/Framed:-The-Door-Swings-Both-Ways-in-the-Lebanese-Balaa/cb41a8a37d3f18318bafb28872429810b4c9e926" \h </w:instrText>
      </w:r>
      <w:r>
        <w:fldChar w:fldCharType="separate"/>
      </w:r>
      <w:r>
        <w:rPr>
          <w:rFonts w:ascii="inter" w:hAnsi="inter" w:eastAsia="inter" w:cs="inter"/>
          <w:color w:val="000000"/>
          <w:sz w:val="18"/>
          <w:u w:val="single"/>
        </w:rPr>
        <w:t>https://www.semanticscholar.org/paper/Framed:-The-Door-Swings-Both-Ways-in-the-Lebanese-Balaa/cb41a8a37d3f18318bafb28872429810b4c9e926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34D2AA6">
      <w:pPr>
        <w:numPr>
          <w:ilvl w:val="0"/>
          <w:numId w:val="1"/>
        </w:numPr>
        <w:spacing w:after="210" w:line="360" w:lineRule="auto"/>
      </w:pPr>
      <w:bookmarkStart w:id="280" w:name="fn83"/>
      <w:bookmarkEnd w:id="280"/>
      <w:r>
        <w:fldChar w:fldCharType="begin"/>
      </w:r>
      <w:r>
        <w:instrText xml:space="preserve"> HYPERLINK "https://badapplemagazine.org/2025/04/24/a-conversation-on-joyland-pakistani-cinema-tackles-transgender-love-and-desire/" \h </w:instrText>
      </w:r>
      <w:r>
        <w:fldChar w:fldCharType="separate"/>
      </w:r>
      <w:r>
        <w:rPr>
          <w:rFonts w:ascii="inter" w:hAnsi="inter" w:eastAsia="inter" w:cs="inter"/>
          <w:color w:val="000000"/>
          <w:sz w:val="18"/>
          <w:u w:val="single"/>
        </w:rPr>
        <w:t>https://badapplemagazine.org/2025/04/24/a-conversation-on-joyland-pakistani-cinema-tackles-transgender-love-and-desire/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E664C51">
      <w:pPr>
        <w:numPr>
          <w:ilvl w:val="0"/>
          <w:numId w:val="1"/>
        </w:numPr>
        <w:spacing w:after="210" w:line="360" w:lineRule="auto"/>
      </w:pPr>
      <w:bookmarkStart w:id="281" w:name="fn84"/>
      <w:bookmarkEnd w:id="281"/>
      <w:r>
        <w:fldChar w:fldCharType="begin"/>
      </w:r>
      <w:r>
        <w:instrText xml:space="preserve"> HYPERLINK "https://www.nasjonalmuseet.no/en/exhibitions-and-events/national-museum/arrangementer/2022/11/trap-filmserie/cinema-fouad/" \h </w:instrText>
      </w:r>
      <w:r>
        <w:fldChar w:fldCharType="separate"/>
      </w:r>
      <w:r>
        <w:rPr>
          <w:rFonts w:ascii="inter" w:hAnsi="inter" w:eastAsia="inter" w:cs="inter"/>
          <w:color w:val="000000"/>
          <w:sz w:val="18"/>
          <w:u w:val="single"/>
        </w:rPr>
        <w:t>https://www.nasjonalmuseet.no/en/exhibitions-and-events/national-museum/arrangementer/2022/11/trap-filmserie/cinema-fouad/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57EDCA7">
      <w:pPr>
        <w:numPr>
          <w:ilvl w:val="0"/>
          <w:numId w:val="1"/>
        </w:numPr>
        <w:spacing w:after="210" w:line="360" w:lineRule="auto"/>
      </w:pPr>
      <w:bookmarkStart w:id="282" w:name="fn85"/>
      <w:bookmarkEnd w:id="282"/>
      <w:r>
        <w:fldChar w:fldCharType="begin"/>
      </w:r>
      <w:r>
        <w:instrText xml:space="preserve"> HYPERLINK "https://www.reddit.com/r/TrueFilm/comments/1lnhwbm/laura_mulvey/" \h </w:instrText>
      </w:r>
      <w:r>
        <w:fldChar w:fldCharType="separate"/>
      </w:r>
      <w:r>
        <w:rPr>
          <w:rFonts w:ascii="inter" w:hAnsi="inter" w:eastAsia="inter" w:cs="inter"/>
          <w:color w:val="000000"/>
          <w:sz w:val="18"/>
          <w:u w:val="single"/>
        </w:rPr>
        <w:t>https://www.reddit.com/r/TrueFilm/comments/1lnhwbm/laura_mulvey/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4F0B728">
      <w:pPr>
        <w:numPr>
          <w:ilvl w:val="0"/>
          <w:numId w:val="1"/>
        </w:numPr>
        <w:spacing w:after="210" w:line="360" w:lineRule="auto"/>
      </w:pPr>
      <w:bookmarkStart w:id="283" w:name="fn86"/>
      <w:bookmarkEnd w:id="283"/>
      <w:r>
        <w:fldChar w:fldCharType="begin"/>
      </w:r>
      <w:r>
        <w:instrText xml:space="preserve"> HYPERLINK "https://www.youtube.com/watch?v=ItPc2kPaxb0" \h </w:instrText>
      </w:r>
      <w:r>
        <w:fldChar w:fldCharType="separate"/>
      </w:r>
      <w:r>
        <w:rPr>
          <w:rFonts w:ascii="inter" w:hAnsi="inter" w:eastAsia="inter" w:cs="inter"/>
          <w:color w:val="000000"/>
          <w:sz w:val="18"/>
          <w:u w:val="single"/>
        </w:rPr>
        <w:t>https://www.youtube.com/watch?v=ItPc2kPaxb0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295A734">
      <w:pPr>
        <w:numPr>
          <w:ilvl w:val="0"/>
          <w:numId w:val="1"/>
        </w:numPr>
        <w:spacing w:after="210" w:line="360" w:lineRule="auto"/>
      </w:pPr>
      <w:bookmarkStart w:id="284" w:name="fn87"/>
      <w:bookmarkEnd w:id="284"/>
      <w:r>
        <w:fldChar w:fldCharType="begin"/>
      </w:r>
      <w:r>
        <w:instrText xml:space="preserve"> HYPERLINK "https://oro.open.ac.uk/83579/15/Gender%20Work%20%20%20Organization%20-%202022%20-%20Barthold%20-%20Intersectionality%20on%20screen%20%20A%20coloniality%20perspective%20to%20understand%20popular.pdf" \h </w:instrText>
      </w:r>
      <w:r>
        <w:fldChar w:fldCharType="separate"/>
      </w:r>
      <w:r>
        <w:rPr>
          <w:rFonts w:ascii="inter" w:hAnsi="inter" w:eastAsia="inter" w:cs="inter"/>
          <w:color w:val="000000"/>
          <w:sz w:val="18"/>
          <w:u w:val="single"/>
        </w:rPr>
        <w:t>https://oro.open.ac.uk/83579/15/Gender Work Organization - 2022 - Barthold - Intersectionality on screen A coloniality perspective to understand popular.pdf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7DAB9A0">
      <w:pPr>
        <w:numPr>
          <w:ilvl w:val="0"/>
          <w:numId w:val="1"/>
        </w:numPr>
        <w:spacing w:after="210" w:line="360" w:lineRule="auto"/>
      </w:pPr>
      <w:bookmarkStart w:id="285" w:name="fn88"/>
      <w:bookmarkEnd w:id="285"/>
      <w:r>
        <w:fldChar w:fldCharType="begin"/>
      </w:r>
      <w:r>
        <w:instrText xml:space="preserve"> HYPERLINK "https://media-studies.com/judith-butler/" \h </w:instrText>
      </w:r>
      <w:r>
        <w:fldChar w:fldCharType="separate"/>
      </w:r>
      <w:r>
        <w:rPr>
          <w:rFonts w:ascii="inter" w:hAnsi="inter" w:eastAsia="inter" w:cs="inter"/>
          <w:color w:val="000000"/>
          <w:sz w:val="18"/>
          <w:u w:val="single"/>
        </w:rPr>
        <w:t>https://media-studies.com/judith-butler/</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0167B0D">
      <w:pPr>
        <w:numPr>
          <w:ilvl w:val="0"/>
          <w:numId w:val="1"/>
        </w:numPr>
        <w:spacing w:after="210" w:line="360" w:lineRule="auto"/>
      </w:pPr>
      <w:bookmarkStart w:id="286" w:name="fn89"/>
      <w:bookmarkEnd w:id="286"/>
      <w:r>
        <w:fldChar w:fldCharType="begin"/>
      </w:r>
      <w:r>
        <w:instrText xml:space="preserve"> HYPERLINK "https://www.amherst.edu/system/files/media/1021/Laura%20Mulvey,%20Visual%20Pleasure.pdf" \h </w:instrText>
      </w:r>
      <w:r>
        <w:fldChar w:fldCharType="separate"/>
      </w:r>
      <w:r>
        <w:rPr>
          <w:rFonts w:ascii="inter" w:hAnsi="inter" w:eastAsia="inter" w:cs="inter"/>
          <w:color w:val="000000"/>
          <w:sz w:val="18"/>
          <w:u w:val="single"/>
        </w:rPr>
        <w:t>https://www.amherst.edu/system/files/media/1021/Laura Mulvey, Visual Pleasure.pdf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19F71FF">
      <w:pPr>
        <w:numPr>
          <w:ilvl w:val="0"/>
          <w:numId w:val="1"/>
        </w:numPr>
        <w:spacing w:after="210" w:line="360" w:lineRule="auto"/>
      </w:pPr>
      <w:bookmarkStart w:id="287" w:name="fn90"/>
      <w:bookmarkEnd w:id="287"/>
      <w:r>
        <w:fldChar w:fldCharType="begin"/>
      </w:r>
      <w:r>
        <w:instrText xml:space="preserve"> HYPERLINK "https://www.tandfonline.com/doi/full/10.1080/13688790.2015.1089529" \h </w:instrText>
      </w:r>
      <w:r>
        <w:fldChar w:fldCharType="separate"/>
      </w:r>
      <w:r>
        <w:rPr>
          <w:rFonts w:ascii="inter" w:hAnsi="inter" w:eastAsia="inter" w:cs="inter"/>
          <w:color w:val="000000"/>
          <w:sz w:val="18"/>
          <w:u w:val="single"/>
        </w:rPr>
        <w:t>https://www.tandfonline.com/doi/full/10.1080/13688790.2015.1089529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1508212">
      <w:pPr>
        <w:numPr>
          <w:ilvl w:val="0"/>
          <w:numId w:val="1"/>
        </w:numPr>
        <w:spacing w:after="210" w:line="360" w:lineRule="auto"/>
      </w:pPr>
      <w:bookmarkStart w:id="288" w:name="fn91"/>
      <w:bookmarkEnd w:id="288"/>
      <w:r>
        <w:fldChar w:fldCharType="begin"/>
      </w:r>
      <w:r>
        <w:instrText xml:space="preserve"> HYPERLINK "https://fiveable.me/key-terms/film-and-media-theory/judith-butler" \h </w:instrText>
      </w:r>
      <w:r>
        <w:fldChar w:fldCharType="separate"/>
      </w:r>
      <w:r>
        <w:rPr>
          <w:rFonts w:ascii="inter" w:hAnsi="inter" w:eastAsia="inter" w:cs="inter"/>
          <w:color w:val="000000"/>
          <w:sz w:val="18"/>
          <w:u w:val="single"/>
        </w:rPr>
        <w:t>https://fiveable.me/key-terms/film-and-media-theory/judith-butler</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037DC0B">
      <w:pPr>
        <w:numPr>
          <w:ilvl w:val="0"/>
          <w:numId w:val="1"/>
        </w:numPr>
        <w:spacing w:after="210" w:line="360" w:lineRule="auto"/>
      </w:pPr>
      <w:bookmarkStart w:id="289" w:name="fn92"/>
      <w:bookmarkEnd w:id="289"/>
      <w:r>
        <w:fldChar w:fldCharType="begin"/>
      </w:r>
      <w:r>
        <w:instrText xml:space="preserve"> HYPERLINK "https://www.anothergaze.com/suddenly-woman-spectator-conversation-interview-feminism-laura-mulvey/" \h </w:instrText>
      </w:r>
      <w:r>
        <w:fldChar w:fldCharType="separate"/>
      </w:r>
      <w:r>
        <w:rPr>
          <w:rFonts w:ascii="inter" w:hAnsi="inter" w:eastAsia="inter" w:cs="inter"/>
          <w:color w:val="000000"/>
          <w:sz w:val="18"/>
          <w:u w:val="single"/>
        </w:rPr>
        <w:t>https://www.anothergaze.com/suddenly-woman-spectator-conversation-interview-feminism-laura-mulvey/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9B0E95C">
      <w:pPr>
        <w:numPr>
          <w:ilvl w:val="0"/>
          <w:numId w:val="1"/>
        </w:numPr>
        <w:spacing w:after="210" w:line="360" w:lineRule="auto"/>
      </w:pPr>
      <w:bookmarkStart w:id="290" w:name="fn93"/>
      <w:bookmarkEnd w:id="290"/>
      <w:r>
        <w:fldChar w:fldCharType="begin"/>
      </w:r>
      <w:r>
        <w:instrText xml:space="preserve"> HYPERLINK "https://www.jstor.org/stable/pdf/40004635.pdf" \h </w:instrText>
      </w:r>
      <w:r>
        <w:fldChar w:fldCharType="separate"/>
      </w:r>
      <w:r>
        <w:rPr>
          <w:rFonts w:ascii="inter" w:hAnsi="inter" w:eastAsia="inter" w:cs="inter"/>
          <w:color w:val="000000"/>
          <w:sz w:val="18"/>
          <w:u w:val="single"/>
        </w:rPr>
        <w:t>https://www.jstor.org/stable/pdf/40004635.pdf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A948574">
      <w:pPr>
        <w:numPr>
          <w:ilvl w:val="0"/>
          <w:numId w:val="1"/>
        </w:numPr>
        <w:spacing w:after="210" w:line="360" w:lineRule="auto"/>
      </w:pPr>
      <w:bookmarkStart w:id="291" w:name="fn94"/>
      <w:bookmarkEnd w:id="291"/>
      <w:r>
        <w:fldChar w:fldCharType="begin"/>
      </w:r>
      <w:r>
        <w:instrText xml:space="preserve"> HYPERLINK "https://academic.oup.com/screen/article-abstract/16/3/6/1603296" \h </w:instrText>
      </w:r>
      <w:r>
        <w:fldChar w:fldCharType="separate"/>
      </w:r>
      <w:r>
        <w:rPr>
          <w:rFonts w:ascii="inter" w:hAnsi="inter" w:eastAsia="inter" w:cs="inter"/>
          <w:color w:val="000000"/>
          <w:sz w:val="18"/>
          <w:u w:val="single"/>
        </w:rPr>
        <w:t>https://academic.oup.com/screen/article-abstract/16/3/6/1603296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AA0D1F4">
      <w:pPr>
        <w:numPr>
          <w:ilvl w:val="0"/>
          <w:numId w:val="1"/>
        </w:numPr>
        <w:spacing w:after="210" w:line="360" w:lineRule="auto"/>
      </w:pPr>
      <w:bookmarkStart w:id="292" w:name="fn95"/>
      <w:bookmarkEnd w:id="292"/>
      <w:r>
        <w:fldChar w:fldCharType="begin"/>
      </w:r>
      <w:r>
        <w:instrText xml:space="preserve"> HYPERLINK "https://dspace.library.uu.nl/bitstream/handle/1874/381254/Postcolonial_Theory_in_Film_Cinema_and_Media_Studies_Oxford_Bibliographies.pdf" \h </w:instrText>
      </w:r>
      <w:r>
        <w:fldChar w:fldCharType="separate"/>
      </w:r>
      <w:r>
        <w:rPr>
          <w:rFonts w:ascii="inter" w:hAnsi="inter" w:eastAsia="inter" w:cs="inter"/>
          <w:color w:val="000000"/>
          <w:sz w:val="18"/>
          <w:u w:val="single"/>
        </w:rPr>
        <w:t>https://dspace.library.uu.nl/bitstream/handle/1874/381254/Postcolonial_Theory_in_Film_Cinema_and_Media_Studies_Oxford_Bibliographies.pdf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FBEB405">
      <w:pPr>
        <w:numPr>
          <w:ilvl w:val="0"/>
          <w:numId w:val="1"/>
        </w:numPr>
        <w:spacing w:after="210" w:line="360" w:lineRule="auto"/>
      </w:pPr>
      <w:bookmarkStart w:id="293" w:name="fn96"/>
      <w:bookmarkEnd w:id="293"/>
      <w:r>
        <w:fldChar w:fldCharType="begin"/>
      </w:r>
      <w:r>
        <w:instrText xml:space="preserve"> HYPERLINK "https://journals.sagepub.com/doi/abs/10.1177/1097184X251346487" \h </w:instrText>
      </w:r>
      <w:r>
        <w:fldChar w:fldCharType="separate"/>
      </w:r>
      <w:r>
        <w:rPr>
          <w:rFonts w:ascii="inter" w:hAnsi="inter" w:eastAsia="inter" w:cs="inter"/>
          <w:color w:val="000000"/>
          <w:sz w:val="18"/>
          <w:u w:val="single"/>
        </w:rPr>
        <w:t>https://journals.sagepub.com/doi/abs/10.1177/1097184X251346487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5C95A2B">
      <w:pPr>
        <w:numPr>
          <w:ilvl w:val="0"/>
          <w:numId w:val="1"/>
        </w:numPr>
        <w:spacing w:after="210" w:line="360" w:lineRule="auto"/>
      </w:pPr>
      <w:bookmarkStart w:id="294" w:name="fn97"/>
      <w:bookmarkEnd w:id="294"/>
      <w:r>
        <w:fldChar w:fldCharType="begin"/>
      </w:r>
      <w:r>
        <w:instrText xml:space="preserve"> HYPERLINK "https://www.amnesty.org/en/latest/research/2019/02/human-rights-in-the-middle-east-and-north-africa-2018/" \h </w:instrText>
      </w:r>
      <w:r>
        <w:fldChar w:fldCharType="separate"/>
      </w:r>
      <w:r>
        <w:rPr>
          <w:rFonts w:ascii="inter" w:hAnsi="inter" w:eastAsia="inter" w:cs="inter"/>
          <w:color w:val="000000"/>
          <w:sz w:val="18"/>
          <w:u w:val="single"/>
        </w:rPr>
        <w:t>https://www.amnesty.org/en/latest/research/2019/02/human-rights-in-the-middle-east-and-north-africa-2018/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76EA9F7">
      <w:pPr>
        <w:numPr>
          <w:ilvl w:val="0"/>
          <w:numId w:val="1"/>
        </w:numPr>
        <w:spacing w:after="210" w:line="360" w:lineRule="auto"/>
      </w:pPr>
      <w:bookmarkStart w:id="295" w:name="fn98"/>
      <w:bookmarkEnd w:id="295"/>
      <w:r>
        <w:fldChar w:fldCharType="begin"/>
      </w:r>
      <w:r>
        <w:instrText xml:space="preserve"> HYPERLINK "https://www.facebook.com/groups/we.love.gay.movies/posts/4259693617647847/" \h </w:instrText>
      </w:r>
      <w:r>
        <w:fldChar w:fldCharType="separate"/>
      </w:r>
      <w:r>
        <w:rPr>
          <w:rFonts w:ascii="inter" w:hAnsi="inter" w:eastAsia="inter" w:cs="inter"/>
          <w:color w:val="000000"/>
          <w:sz w:val="18"/>
          <w:u w:val="single"/>
        </w:rPr>
        <w:t>https://www.facebook.com/groups/we.love.gay.movies/posts/4259693617647847/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F101F48">
      <w:pPr>
        <w:numPr>
          <w:ilvl w:val="0"/>
          <w:numId w:val="1"/>
        </w:numPr>
        <w:spacing w:after="210" w:line="360" w:lineRule="auto"/>
      </w:pPr>
      <w:bookmarkStart w:id="296" w:name="fn99"/>
      <w:bookmarkEnd w:id="296"/>
      <w:r>
        <w:fldChar w:fldCharType="begin"/>
      </w:r>
      <w:r>
        <w:instrText xml:space="preserve"> HYPERLINK "https://www.tesisenred.net/bitstream/handle/10803/689817/TESI%20Abed%20Al%20Wahab%20Kassir.pdf?sequence=1&amp;isAllowed=y" \h </w:instrText>
      </w:r>
      <w:r>
        <w:fldChar w:fldCharType="separate"/>
      </w:r>
      <w:r>
        <w:rPr>
          <w:rFonts w:ascii="inter" w:hAnsi="inter" w:eastAsia="inter" w:cs="inter"/>
          <w:color w:val="000000"/>
          <w:sz w:val="18"/>
          <w:u w:val="single"/>
        </w:rPr>
        <w:t>https://www.tesisenred.net/bitstream/handle/10803/689817/TESI Abed Al Wahab Kassir.pdf?sequence=1&amp;isAllowed=y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E95071D">
      <w:pPr>
        <w:numPr>
          <w:ilvl w:val="0"/>
          <w:numId w:val="1"/>
        </w:numPr>
        <w:spacing w:after="210" w:line="360" w:lineRule="auto"/>
      </w:pPr>
      <w:bookmarkStart w:id="297" w:name="fn100"/>
      <w:bookmarkEnd w:id="297"/>
      <w:r>
        <w:fldChar w:fldCharType="begin"/>
      </w:r>
      <w:r>
        <w:instrText xml:space="preserve"> HYPERLINK "https://www.hollywoodreporter.com/movies/movie-reviews/blue-caftan-cannes-2022-1235142967/" \h </w:instrText>
      </w:r>
      <w:r>
        <w:fldChar w:fldCharType="separate"/>
      </w:r>
      <w:r>
        <w:rPr>
          <w:rFonts w:ascii="inter" w:hAnsi="inter" w:eastAsia="inter" w:cs="inter"/>
          <w:color w:val="000000"/>
          <w:sz w:val="18"/>
          <w:u w:val="single"/>
        </w:rPr>
        <w:t>https://www.hollywoodreporter.com/movies/movie-reviews/blue-caftan-cannes-2022-1235142967/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2BAF13D">
      <w:pPr>
        <w:numPr>
          <w:ilvl w:val="0"/>
          <w:numId w:val="1"/>
        </w:numPr>
        <w:spacing w:after="210" w:line="360" w:lineRule="auto"/>
      </w:pPr>
      <w:bookmarkStart w:id="298" w:name="fn101"/>
      <w:bookmarkEnd w:id="298"/>
      <w:r>
        <w:fldChar w:fldCharType="begin"/>
      </w:r>
      <w:r>
        <w:instrText xml:space="preserve"> HYPERLINK "https://kohljournal.press/crossing-the-border" \h </w:instrText>
      </w:r>
      <w:r>
        <w:fldChar w:fldCharType="separate"/>
      </w:r>
      <w:r>
        <w:rPr>
          <w:rFonts w:ascii="inter" w:hAnsi="inter" w:eastAsia="inter" w:cs="inter"/>
          <w:color w:val="000000"/>
          <w:sz w:val="18"/>
          <w:u w:val="single"/>
        </w:rPr>
        <w:t>https://kohljournal.press/crossing-the-border</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6E93382">
      <w:pPr>
        <w:numPr>
          <w:ilvl w:val="0"/>
          <w:numId w:val="1"/>
        </w:numPr>
        <w:spacing w:after="210" w:line="360" w:lineRule="auto"/>
      </w:pPr>
      <w:bookmarkStart w:id="299" w:name="fn102"/>
      <w:bookmarkEnd w:id="299"/>
      <w:r>
        <w:fldChar w:fldCharType="begin"/>
      </w:r>
      <w:r>
        <w:instrText xml:space="preserve"> HYPERLINK "https://www.instagram.com/reel/DMqt3QISUMS/" \h </w:instrText>
      </w:r>
      <w:r>
        <w:fldChar w:fldCharType="separate"/>
      </w:r>
      <w:r>
        <w:rPr>
          <w:rFonts w:ascii="inter" w:hAnsi="inter" w:eastAsia="inter" w:cs="inter"/>
          <w:color w:val="000000"/>
          <w:sz w:val="18"/>
          <w:u w:val="single"/>
        </w:rPr>
        <w:t>https://www.instagram.com/reel/DMqt3QISUMS/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3CCE514">
      <w:pPr>
        <w:numPr>
          <w:ilvl w:val="0"/>
          <w:numId w:val="1"/>
        </w:numPr>
        <w:spacing w:after="210" w:line="360" w:lineRule="auto"/>
      </w:pPr>
      <w:bookmarkStart w:id="300" w:name="fn103"/>
      <w:bookmarkEnd w:id="300"/>
      <w:r>
        <w:fldChar w:fldCharType="begin"/>
      </w:r>
      <w:r>
        <w:instrText xml:space="preserve"> HYPERLINK "https://eprints.ums.ac.id/114143/11/Naskah%20Publikasi.pdf" \h </w:instrText>
      </w:r>
      <w:r>
        <w:fldChar w:fldCharType="separate"/>
      </w:r>
      <w:r>
        <w:rPr>
          <w:rFonts w:ascii="inter" w:hAnsi="inter" w:eastAsia="inter" w:cs="inter"/>
          <w:color w:val="000000"/>
          <w:sz w:val="18"/>
          <w:u w:val="single"/>
        </w:rPr>
        <w:t>https://eprints.ums.ac.id/114143/11/Naskah Publikasi.pdf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4C62139">
      <w:pPr>
        <w:numPr>
          <w:ilvl w:val="0"/>
          <w:numId w:val="1"/>
        </w:numPr>
        <w:spacing w:after="210" w:line="360" w:lineRule="auto"/>
      </w:pPr>
      <w:bookmarkStart w:id="301" w:name="fn104"/>
      <w:bookmarkEnd w:id="301"/>
      <w:r>
        <w:fldChar w:fldCharType="begin"/>
      </w:r>
      <w:r>
        <w:instrText xml:space="preserve"> HYPERLINK "https://kuey.net/index.php/kuey/article/download/9150/6946/17493" \h </w:instrText>
      </w:r>
      <w:r>
        <w:fldChar w:fldCharType="separate"/>
      </w:r>
      <w:r>
        <w:rPr>
          <w:rFonts w:ascii="inter" w:hAnsi="inter" w:eastAsia="inter" w:cs="inter"/>
          <w:color w:val="000000"/>
          <w:sz w:val="18"/>
          <w:u w:val="single"/>
        </w:rPr>
        <w:t>https://kuey.net/index.php/kuey/article/download/9150/6946/17493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BB09DE8">
      <w:pPr>
        <w:numPr>
          <w:ilvl w:val="0"/>
          <w:numId w:val="1"/>
        </w:numPr>
        <w:spacing w:after="210" w:line="360" w:lineRule="auto"/>
      </w:pPr>
      <w:bookmarkStart w:id="302" w:name="fn105"/>
      <w:bookmarkEnd w:id="302"/>
      <w:r>
        <w:fldChar w:fldCharType="begin"/>
      </w:r>
      <w:r>
        <w:instrText xml:space="preserve"> HYPERLINK "https://2022.emnlp.org/blog/EMNLP-2022-Abu-Dhabi-LGBTQ+-Visitor-Considerations/" \h </w:instrText>
      </w:r>
      <w:r>
        <w:fldChar w:fldCharType="separate"/>
      </w:r>
      <w:r>
        <w:rPr>
          <w:rFonts w:ascii="inter" w:hAnsi="inter" w:eastAsia="inter" w:cs="inter"/>
          <w:color w:val="000000"/>
          <w:sz w:val="18"/>
          <w:u w:val="single"/>
        </w:rPr>
        <w:t>https://2022.emnlp.org/blog/EMNLP-2022-Abu-Dhabi-LGBTQ+-Visitor-Considerations/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0A8459C">
      <w:pPr>
        <w:numPr>
          <w:ilvl w:val="0"/>
          <w:numId w:val="1"/>
        </w:numPr>
        <w:spacing w:after="210" w:line="360" w:lineRule="auto"/>
      </w:pPr>
      <w:bookmarkStart w:id="303" w:name="fn106"/>
      <w:bookmarkEnd w:id="303"/>
      <w:r>
        <w:fldChar w:fldCharType="begin"/>
      </w:r>
      <w:r>
        <w:instrText xml:space="preserve"> HYPERLINK "https://journal.lontaradigitech.com/index.php/GLENS/article/download/365/179" \h </w:instrText>
      </w:r>
      <w:r>
        <w:fldChar w:fldCharType="separate"/>
      </w:r>
      <w:r>
        <w:rPr>
          <w:rFonts w:ascii="inter" w:hAnsi="inter" w:eastAsia="inter" w:cs="inter"/>
          <w:color w:val="000000"/>
          <w:sz w:val="18"/>
          <w:u w:val="single"/>
        </w:rPr>
        <w:t>https://journal.lontaradigitech.com/index.php/GLENS/article/download/365/179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B8D51D7">
      <w:pPr>
        <w:numPr>
          <w:ilvl w:val="0"/>
          <w:numId w:val="1"/>
        </w:numPr>
        <w:spacing w:after="210" w:line="360" w:lineRule="auto"/>
      </w:pPr>
      <w:bookmarkStart w:id="304" w:name="fn107"/>
      <w:bookmarkEnd w:id="304"/>
      <w:r>
        <w:fldChar w:fldCharType="begin"/>
      </w:r>
      <w:r>
        <w:instrText xml:space="preserve"> HYPERLINK "https://www.theculturist.com/home/interview-with-abdulla-al-kaabi-director-of-only-men-go-to-t.html" \h </w:instrText>
      </w:r>
      <w:r>
        <w:fldChar w:fldCharType="separate"/>
      </w:r>
      <w:r>
        <w:rPr>
          <w:rFonts w:ascii="inter" w:hAnsi="inter" w:eastAsia="inter" w:cs="inter"/>
          <w:color w:val="000000"/>
          <w:sz w:val="18"/>
          <w:u w:val="single"/>
        </w:rPr>
        <w:t>https://www.theculturist.com/home/interview-with-abdulla-al-kaabi-director-of-only-men-go-to-t.html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6BE919F">
      <w:pPr>
        <w:numPr>
          <w:ilvl w:val="0"/>
          <w:numId w:val="1"/>
        </w:numPr>
        <w:spacing w:after="210" w:line="360" w:lineRule="auto"/>
      </w:pPr>
      <w:bookmarkStart w:id="305" w:name="fn108"/>
      <w:bookmarkEnd w:id="305"/>
      <w:r>
        <w:fldChar w:fldCharType="begin"/>
      </w:r>
      <w:r>
        <w:instrText xml:space="preserve"> HYPERLINK "https://zmj.unibo.it/article/view/19519/18116" \h </w:instrText>
      </w:r>
      <w:r>
        <w:fldChar w:fldCharType="separate"/>
      </w:r>
      <w:r>
        <w:rPr>
          <w:rFonts w:ascii="inter" w:hAnsi="inter" w:eastAsia="inter" w:cs="inter"/>
          <w:color w:val="000000"/>
          <w:sz w:val="18"/>
          <w:u w:val="single"/>
        </w:rPr>
        <w:t>https://zmj.unibo.it/article/view/19519/18116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5E8BD76">
      <w:pPr>
        <w:numPr>
          <w:ilvl w:val="0"/>
          <w:numId w:val="1"/>
        </w:numPr>
        <w:spacing w:after="210" w:line="360" w:lineRule="auto"/>
      </w:pPr>
      <w:bookmarkStart w:id="306" w:name="fn109"/>
      <w:bookmarkEnd w:id="306"/>
      <w:r>
        <w:fldChar w:fldCharType="begin"/>
      </w:r>
      <w:r>
        <w:instrText xml:space="preserve"> HYPERLINK "http://journal.ebizmark.id/index.php/ICoDSS/article/download/236/264" \h </w:instrText>
      </w:r>
      <w:r>
        <w:fldChar w:fldCharType="separate"/>
      </w:r>
      <w:r>
        <w:rPr>
          <w:rFonts w:ascii="inter" w:hAnsi="inter" w:eastAsia="inter" w:cs="inter"/>
          <w:color w:val="000000"/>
          <w:sz w:val="18"/>
          <w:u w:val="single"/>
        </w:rPr>
        <w:t>http://journal.ebizmark.id/index.php/ICoDSS/article/download/236/264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D64E108">
      <w:pPr>
        <w:numPr>
          <w:ilvl w:val="0"/>
          <w:numId w:val="1"/>
        </w:numPr>
        <w:spacing w:after="210" w:line="360" w:lineRule="auto"/>
      </w:pPr>
      <w:bookmarkStart w:id="307" w:name="fn110"/>
      <w:bookmarkEnd w:id="307"/>
      <w:r>
        <w:fldChar w:fldCharType="begin"/>
      </w:r>
      <w:r>
        <w:instrText xml:space="preserve"> HYPERLINK "https://www.npr.org/sections/goatsandsoda/2023/05/03/1171885678/pakistans-trans-community-shows-love-for-joyland-but-worries-about-a-backlash" \h </w:instrText>
      </w:r>
      <w:r>
        <w:fldChar w:fldCharType="separate"/>
      </w:r>
      <w:r>
        <w:rPr>
          <w:rFonts w:ascii="inter" w:hAnsi="inter" w:eastAsia="inter" w:cs="inter"/>
          <w:color w:val="000000"/>
          <w:sz w:val="18"/>
          <w:u w:val="single"/>
        </w:rPr>
        <w:t>https://www.npr.org/sections/goatsandsoda/2023/05/03/1171885678/pakistans-trans-community-shows-love-for-joyland-but-worries-about-a-backlash</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tabs>
          <w:tab w:val="left" w:pos="900"/>
        </w:tabs>
        <w:ind w:left="5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36030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3">
    <w:name w:val="Default Paragraph Font"/>
    <w:semiHidden/>
    <w:uiPriority w:val="0"/>
  </w:style>
  <w:style w:type="table" w:default="1" w:styleId="2">
    <w:name w:val="Normal Table"/>
    <w:semiHidden/>
    <w:unhideWhenUsed/>
    <w:qFormat/>
    <w:uiPriority w:val="99"/>
    <w:tblPr>
      <w:tblCellMar>
        <w:top w:w="80" w:type="dxa"/>
        <w:left w:w="160" w:type="dxa"/>
        <w:bottom w:w="80" w:type="dxa"/>
        <w:right w:w="160" w:type="dxa"/>
      </w:tblCellMar>
    </w:tblPr>
  </w:style>
  <w:style w:type="character" w:customStyle="1" w:styleId="4">
    <w:name w:val="Verbatim Char"/>
    <w:uiPriority w:val="0"/>
    <w:rPr>
      <w:rFonts w:ascii="Consolas" w:hAnsi="Consolas"/>
      <w:sz w:val="22"/>
    </w:rPr>
  </w:style>
  <w:style w:type="table" w:customStyle="1" w:styleId="5">
    <w:name w:val="Normal Grid"/>
    <w:basedOn w:val="2"/>
    <w:qFormat/>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45</Pages>
  <Words>776</Words>
  <Characters>5347</Characters>
  <TotalTime>1</TotalTime>
  <ScaleCrop>false</ScaleCrop>
  <LinksUpToDate>false</LinksUpToDate>
  <CharactersWithSpaces>6100</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2026-01-01T09:51:00Z</dcterms:created>
  <dc:creator>html-to-docx</dc:creator>
  <cp:keywords>html-to-docx</cp:keywords>
  <cp:lastModifiedBy>dyx</cp:lastModifiedBy>
  <dcterms:modified xsi:type="dcterms:W3CDTF">2026-01-01T09:53:40Z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ECB9C29AB5834234BDBB8FC89C81854E_12</vt:lpwstr>
  </property>
</Properties>
</file>