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基于多维指标的国际顶级保险公司综合实力横向比较及其在中国市场语境下的未来资产排名预测研究</w:t>
      </w:r>
    </w:p>
    <w:p>
      <w:r>
        <w:t>---</w:t>
      </w:r>
    </w:p>
    <w:p>
      <w:pPr>
        <w:pStyle w:val="Heading2"/>
      </w:pPr>
      <w:r>
        <w:t>摘要</w:t>
      </w:r>
    </w:p>
    <w:p>
      <w:r>
        <w:t>本研究报告对全球范围内十家领先保险公司进行了多维度、系统性的综合评估，涵盖规模实力、盈利能力、财务稳健性、市场表现与中国市场潜力五个核心维度。研究基于2024-2025年最新的权威数据，包括AM Best全球评级机构的非银行资产排名、标普全球市场财智的寿险公司准备金规模排名、《财富》世界500强排行及各公司年度财务报告[1][2][3][4]。</w:t>
      </w:r>
    </w:p>
    <w:p>
      <w:r>
        <w:t>根据综合评分，伯克希尔哈撒韦（Berkshire Hathaway）、中国人寿（China Life Insurance）和中国平安（China Ping An Insurance）三家公司因其在多个维度的卓越表现，成为未来全球保险行业的重点关注对象。特别是在中国市场语境下，中国人寿和中国平安凭借本地竞争优势和战略布局，有望进一步提升其全球资产排名。</w:t>
      </w:r>
    </w:p>
    <w:p>
      <w:r>
        <w:t>本报告通过大量规范化的数据表格、趋势分析图表和SWOT分析矩阵，呈现了各公司的核心竞争力、潜在风险与发展机遇。报告同时将具体评估结论与国家金融供给侧结构性改革、"一带一路"倡议、保险科技赋能、绿色金融与养老第三支柱建设等更高层次的战略背景相关联，以期为政策决策者、投资者与从业者提供参考价值。</w:t>
      </w:r>
    </w:p>
    <w:p>
      <w:r>
        <w:t>---</w:t>
      </w:r>
    </w:p>
    <w:p>
      <w:pPr>
        <w:pStyle w:val="Heading2"/>
      </w:pPr>
      <w:r>
        <w:t>一、引言</w:t>
      </w:r>
    </w:p>
    <w:p>
      <w:pPr>
        <w:pStyle w:val="Heading3"/>
      </w:pPr>
      <w:r>
        <w:t>（一）研究背景与意义</w:t>
      </w:r>
    </w:p>
    <w:p>
      <w:r>
        <w:t>保险行业作为现代金融体系的重要组成部分，其发展水平与实力格局往往反映一国经济发展阶段和金融市场成熟度。据瑞士再保险sigma报告所示，2024年全球保险保费收入继续增长，其中寿险业务与财产险业务均呈现出稳定扩张态势[1]。与此同时，国际保险市场面临前所未有的结构性变化——发达国家保险公司面对利率环境复杂化、资产配置压力与监管政策趋严的多重挑战，而新兴市场（尤其是中国）的保险公司则因人口红利递减、产业升级与金融创新的推动，呈现出强劲增长势头[2]。</w:t>
      </w:r>
    </w:p>
    <w:p>
      <w:r>
        <w:t>据世界银行数据，中国已成为全球第二大保险市场，2024年保费收入约占全球总额的11%-12%，而其平均增速显著高于发达国家。与此相应，中国保险公司的国际竞争力不断提升，多家公司已进入全球保险公司排名前列。这种格局变化为传统的全球保险业版图带来了深刻重塑[3]。</w:t>
      </w:r>
    </w:p>
    <w:p>
      <w:r>
        <w:t>在此背景下，系统性地评估全球顶级保险公司的综合实力，预测其未来在中国市场语境下的发展前景，具有重要的学术价值与实践指导意义。本研究旨在通过多维度的定量分析与定性判断，为政策制定者、投资者与行业从业者提供决策参考。</w:t>
      </w:r>
    </w:p>
    <w:p>
      <w:pPr>
        <w:pStyle w:val="Heading3"/>
      </w:pPr>
      <w:r>
        <w:t>（二）研究范围与对象</w:t>
      </w:r>
    </w:p>
    <w:p>
      <w:r>
        <w:t>本研究共选取10家全球领先保险公司作为评估对象，包括：</w:t>
      </w:r>
    </w:p>
    <w:p>
      <w:r>
        <w:rPr>
          <w:b/>
        </w:rPr>
        <w:t>国际保险集团（5家）：</w:t>
      </w:r>
    </w:p>
    <w:p>
      <w:pPr>
        <w:pStyle w:val="ListBullet"/>
      </w:pPr>
      <w:r>
        <w:t>伯克希尔哈撒韦（Berkshire Hathaway，美国）</w:t>
      </w:r>
    </w:p>
    <w:p>
      <w:pPr>
        <w:pStyle w:val="ListBullet"/>
      </w:pPr>
      <w:r>
        <w:t>安联保险集团（Allianz SE，德国）</w:t>
      </w:r>
    </w:p>
    <w:p>
      <w:pPr>
        <w:pStyle w:val="ListBullet"/>
      </w:pPr>
      <w:r>
        <w:t>瑞银集团保险业务（UBS Insurance，瑞士）</w:t>
      </w:r>
    </w:p>
    <w:p>
      <w:pPr>
        <w:pStyle w:val="ListBullet"/>
      </w:pPr>
      <w:r>
        <w:t>法国巴黎保险（BNP Paribas Cardif，法国）</w:t>
      </w:r>
    </w:p>
    <w:p>
      <w:pPr>
        <w:pStyle w:val="ListBullet"/>
      </w:pPr>
      <w:r>
        <w:t>苏黎世保险（Zurich Insurance，瑞士）</w:t>
      </w:r>
    </w:p>
    <w:p>
      <w:r>
        <w:rPr>
          <w:b/>
        </w:rPr>
        <w:t>中国保险集团（5家）：</w:t>
      </w:r>
    </w:p>
    <w:p>
      <w:pPr>
        <w:pStyle w:val="ListBullet"/>
      </w:pPr>
      <w:r>
        <w:t>中国人寿保险（China Life Insurance，中国）</w:t>
      </w:r>
    </w:p>
    <w:p>
      <w:pPr>
        <w:pStyle w:val="ListBullet"/>
      </w:pPr>
      <w:r>
        <w:t>中国平安保险（China Ping An Insurance，中国）</w:t>
      </w:r>
    </w:p>
    <w:p>
      <w:pPr>
        <w:pStyle w:val="ListBullet"/>
      </w:pPr>
      <w:r>
        <w:t>中国人民保险（PICC，中国）</w:t>
      </w:r>
    </w:p>
    <w:p>
      <w:pPr>
        <w:pStyle w:val="ListBullet"/>
      </w:pPr>
      <w:r>
        <w:t>中国太保（China Pacific Insurance，中国）</w:t>
      </w:r>
    </w:p>
    <w:p>
      <w:pPr>
        <w:pStyle w:val="ListBullet"/>
      </w:pPr>
      <w:r>
        <w:t>友邦保险（AIA，中国香港/亚太）</w:t>
      </w:r>
    </w:p>
    <w:p>
      <w:r>
        <w:t>选择这10家公司的理由在于：其一，它们均在全球保险行业资产排名中位列前50强，代表了国际一流水平；其二，包含了发达国家与新兴市场的典型代表，便于进行对比分析；其三，其中包含大量与中国市场有直接关联的公司，符合研究主题。</w:t>
      </w:r>
    </w:p>
    <w:p>
      <w:r>
        <w:t>---</w:t>
      </w:r>
    </w:p>
    <w:p>
      <w:pPr>
        <w:pStyle w:val="Heading2"/>
      </w:pPr>
      <w:r>
        <w:t>二、研究方法论</w:t>
      </w:r>
    </w:p>
    <w:p>
      <w:pPr>
        <w:pStyle w:val="Heading3"/>
      </w:pPr>
      <w:r>
        <w:t>（一）评估维度与指标体系</w:t>
      </w:r>
    </w:p>
    <w:p>
      <w:r>
        <w:t>本研究采用"五维评估框架"，从以下五个维度对各公司进行综合评估：</w:t>
      </w:r>
    </w:p>
    <w:p>
      <w:pPr>
        <w:pStyle w:val="Heading4"/>
      </w:pPr>
      <w:r>
        <w:t>1. 规模实力维度</w:t>
      </w:r>
    </w:p>
    <w:p>
      <w:pPr>
        <w:pStyle w:val="ListBullet"/>
      </w:pPr>
      <w:r>
        <w:rPr>
          <w:b/>
        </w:rPr>
        <w:t>核心指标：</w:t>
      </w:r>
      <w:r>
        <w:t xml:space="preserve"> 非银行资产总额（单位：万亿美元）、准备金规模（单位：亿美元）、总资产（单位：亿美元）</w:t>
      </w:r>
    </w:p>
    <w:p>
      <w:pPr>
        <w:pStyle w:val="ListBullet"/>
      </w:pPr>
      <w:r>
        <w:rPr>
          <w:b/>
        </w:rPr>
        <w:t>定义与说明：</w:t>
      </w:r>
      <w:r>
        <w:t xml:space="preserve"> 非银行资产反映了保险公司作为资金运用主体的整体投资规模；准备金规模体现了公司的承保责任与财务基础。</w:t>
      </w:r>
    </w:p>
    <w:p>
      <w:pPr>
        <w:pStyle w:val="ListBullet"/>
      </w:pPr>
      <w:r>
        <w:rPr>
          <w:b/>
        </w:rPr>
        <w:t>数据来源：</w:t>
      </w:r>
      <w:r>
        <w:t xml:space="preserve"> AM Best全球评级机构2024年非银行资产排名；标普全球市场财智2025年寿险公司准备金排名[4]</w:t>
      </w:r>
    </w:p>
    <w:p>
      <w:pPr>
        <w:pStyle w:val="Heading4"/>
      </w:pPr>
      <w:r>
        <w:t>2. 盈利能力维度</w:t>
      </w:r>
    </w:p>
    <w:p>
      <w:pPr>
        <w:pStyle w:val="ListBullet"/>
      </w:pPr>
      <w:r>
        <w:rPr>
          <w:b/>
        </w:rPr>
        <w:t>核心指标：</w:t>
      </w:r>
      <w:r>
        <w:t xml:space="preserve"> 利润规模、利润增长率、净利润率、新业务价值（New Business Value, NBV）</w:t>
      </w:r>
    </w:p>
    <w:p>
      <w:pPr>
        <w:pStyle w:val="ListBullet"/>
      </w:pPr>
      <w:r>
        <w:rPr>
          <w:b/>
        </w:rPr>
        <w:t>定义与说明：</w:t>
      </w:r>
      <w:r>
        <w:t xml:space="preserve"> 新业务价值（NBV）是寿险公司的关键衡量指标，反映新签单保险合同为公司创造的价值；内含价值（Embedded Value, EV）则表示公司当前已有保险合同可创造的未来价值。</w:t>
      </w:r>
    </w:p>
    <w:p>
      <w:pPr>
        <w:pStyle w:val="ListBullet"/>
      </w:pPr>
      <w:r>
        <w:rPr>
          <w:b/>
        </w:rPr>
        <w:t>数据来源：</w:t>
      </w:r>
      <w:r>
        <w:t xml:space="preserve"> 各公司年度财务报告；2025年《财富》世界500强利润数据[5]</w:t>
      </w:r>
    </w:p>
    <w:p>
      <w:pPr>
        <w:pStyle w:val="Heading4"/>
      </w:pPr>
      <w:r>
        <w:t>3. 财务稳健性维度</w:t>
      </w:r>
    </w:p>
    <w:p>
      <w:pPr>
        <w:pStyle w:val="ListBullet"/>
      </w:pPr>
      <w:r>
        <w:rPr>
          <w:b/>
        </w:rPr>
        <w:t>核心指标：</w:t>
      </w:r>
      <w:r>
        <w:t xml:space="preserve"> 偿付能力充足率（Solvency Ratio）、核心偿付能力充足率、杠杆率、流动性覆盖率（LCR）</w:t>
      </w:r>
    </w:p>
    <w:p>
      <w:pPr>
        <w:pStyle w:val="ListBullet"/>
      </w:pPr>
      <w:r>
        <w:rPr>
          <w:b/>
        </w:rPr>
        <w:t>定义与说明：</w:t>
      </w:r>
      <w:r>
        <w:t xml:space="preserve"> 偿付能力充足率衡量保险公司的风险承受能力与债务偿还能力，通常要求不低于150%；核心偿付能力充足率（由核心资本除以最低资本要求得出）更为严格，反映公司在高压力情景下的风险抗击力。</w:t>
      </w:r>
    </w:p>
    <w:p>
      <w:pPr>
        <w:pStyle w:val="ListBullet"/>
      </w:pPr>
      <w:r>
        <w:rPr>
          <w:b/>
        </w:rPr>
        <w:t>数据来源：</w:t>
      </w:r>
      <w:r>
        <w:t xml:space="preserve"> 各公司偿付能力报告；中国银保监会季度披露数据[6]</w:t>
      </w:r>
    </w:p>
    <w:p>
      <w:pPr>
        <w:pStyle w:val="Heading4"/>
      </w:pPr>
      <w:r>
        <w:t>4. 市场表现维度</w:t>
      </w:r>
    </w:p>
    <w:p>
      <w:pPr>
        <w:pStyle w:val="ListBullet"/>
      </w:pPr>
      <w:r>
        <w:rPr>
          <w:b/>
        </w:rPr>
        <w:t>核心指标：</w:t>
      </w:r>
      <w:r>
        <w:t xml:space="preserve"> 品牌价值排名、世界500强排名变化、保费收入增长率、市场份额</w:t>
      </w:r>
    </w:p>
    <w:p>
      <w:pPr>
        <w:pStyle w:val="ListBullet"/>
      </w:pPr>
      <w:r>
        <w:rPr>
          <w:b/>
        </w:rPr>
        <w:t>定义与说明：</w:t>
      </w:r>
      <w:r>
        <w:t xml:space="preserve"> 品牌价值通过消费者认知与市场口碑综合反映；排名变化趋势显示公司的相对竞争力演变。</w:t>
      </w:r>
    </w:p>
    <w:p>
      <w:pPr>
        <w:pStyle w:val="ListBullet"/>
      </w:pPr>
      <w:r>
        <w:rPr>
          <w:b/>
        </w:rPr>
        <w:t>数据来源：</w:t>
      </w:r>
      <w:r>
        <w:t xml:space="preserve"> Interbrand全球品牌价值排名；《财富》杂志数据；各公司年报[7]</w:t>
      </w:r>
    </w:p>
    <w:p>
      <w:pPr>
        <w:pStyle w:val="Heading4"/>
      </w:pPr>
      <w:r>
        <w:t>5. 中国市场潜力维度</w:t>
      </w:r>
    </w:p>
    <w:p>
      <w:pPr>
        <w:pStyle w:val="ListBullet"/>
      </w:pPr>
      <w:r>
        <w:rPr>
          <w:b/>
        </w:rPr>
        <w:t>核心指标：</w:t>
      </w:r>
      <w:r>
        <w:t xml:space="preserve"> 在华业务规模、增长势头、监管合规性、战略布局完整度</w:t>
      </w:r>
    </w:p>
    <w:p>
      <w:pPr>
        <w:pStyle w:val="ListBullet"/>
      </w:pPr>
      <w:r>
        <w:rPr>
          <w:b/>
        </w:rPr>
        <w:t>定义与说明：</w:t>
      </w:r>
      <w:r>
        <w:t xml:space="preserve"> 考察公司在中国市场的本地化程度、市场渗透率、未来扩展空间与政策适应性。</w:t>
      </w:r>
    </w:p>
    <w:p>
      <w:pPr>
        <w:pStyle w:val="ListBullet"/>
      </w:pPr>
      <w:r>
        <w:rPr>
          <w:b/>
        </w:rPr>
        <w:t>数据来源：</w:t>
      </w:r>
      <w:r>
        <w:t xml:space="preserve"> 各公司中国分公司/子公司财报；中国银保监会市场监测数据；企业战略公告</w:t>
      </w:r>
    </w:p>
    <w:p>
      <w:pPr>
        <w:pStyle w:val="Heading3"/>
      </w:pPr>
      <w:r>
        <w:t>（二）评分方法</w:t>
      </w:r>
    </w:p>
    <w:p>
      <w:r>
        <w:t>本研究采用加权评分法。各维度根据其对全球保险行业的重要性与战略意义，分配以下权重：</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权重</w:t>
            </w:r>
          </w:p>
        </w:tc>
        <w:tc>
          <w:tcPr>
            <w:tcW w:type="dxa" w:w="2880"/>
          </w:tcPr>
          <w:p>
            <w:r>
              <w:t>理由说明</w:t>
            </w:r>
          </w:p>
        </w:tc>
      </w:tr>
      <w:tr>
        <w:tc>
          <w:tcPr>
            <w:tcW w:type="dxa" w:w="2880"/>
          </w:tcPr>
          <w:p>
            <w:r>
              <w:t>规模实力</w:t>
            </w:r>
          </w:p>
        </w:tc>
        <w:tc>
          <w:tcPr>
            <w:tcW w:type="dxa" w:w="2880"/>
          </w:tcPr>
          <w:p>
            <w:r>
              <w:t>25%</w:t>
            </w:r>
          </w:p>
        </w:tc>
        <w:tc>
          <w:tcPr>
            <w:tcW w:type="dxa" w:w="2880"/>
          </w:tcPr>
          <w:p>
            <w:r>
              <w:t>基础性指标，反映公司整体实力</w:t>
            </w:r>
          </w:p>
        </w:tc>
      </w:tr>
      <w:tr>
        <w:tc>
          <w:tcPr>
            <w:tcW w:type="dxa" w:w="2880"/>
          </w:tcPr>
          <w:p>
            <w:r>
              <w:t>盈利能力</w:t>
            </w:r>
          </w:p>
        </w:tc>
        <w:tc>
          <w:tcPr>
            <w:tcW w:type="dxa" w:w="2880"/>
          </w:tcPr>
          <w:p>
            <w:r>
              <w:t>25%</w:t>
            </w:r>
          </w:p>
        </w:tc>
        <w:tc>
          <w:tcPr>
            <w:tcW w:type="dxa" w:w="2880"/>
          </w:tcPr>
          <w:p>
            <w:r>
              <w:t>可持续发展的核心驱动力</w:t>
            </w:r>
          </w:p>
        </w:tc>
      </w:tr>
      <w:tr>
        <w:tc>
          <w:tcPr>
            <w:tcW w:type="dxa" w:w="2880"/>
          </w:tcPr>
          <w:p>
            <w:r>
              <w:t>财务稳健性</w:t>
            </w:r>
          </w:p>
        </w:tc>
        <w:tc>
          <w:tcPr>
            <w:tcW w:type="dxa" w:w="2880"/>
          </w:tcPr>
          <w:p>
            <w:r>
              <w:t>20%</w:t>
            </w:r>
          </w:p>
        </w:tc>
        <w:tc>
          <w:tcPr>
            <w:tcW w:type="dxa" w:w="2880"/>
          </w:tcPr>
          <w:p>
            <w:r>
              <w:t>风险管理与监管要求</w:t>
            </w:r>
          </w:p>
        </w:tc>
      </w:tr>
      <w:tr>
        <w:tc>
          <w:tcPr>
            <w:tcW w:type="dxa" w:w="2880"/>
          </w:tcPr>
          <w:p>
            <w:r>
              <w:t>市场表现</w:t>
            </w:r>
          </w:p>
        </w:tc>
        <w:tc>
          <w:tcPr>
            <w:tcW w:type="dxa" w:w="2880"/>
          </w:tcPr>
          <w:p>
            <w:r>
              <w:t>15%</w:t>
            </w:r>
          </w:p>
        </w:tc>
        <w:tc>
          <w:tcPr>
            <w:tcW w:type="dxa" w:w="2880"/>
          </w:tcPr>
          <w:p>
            <w:r>
              <w:t>相对竞争地位指示器</w:t>
            </w:r>
          </w:p>
        </w:tc>
      </w:tr>
      <w:tr>
        <w:tc>
          <w:tcPr>
            <w:tcW w:type="dxa" w:w="2880"/>
          </w:tcPr>
          <w:p>
            <w:r>
              <w:t>中国市场潜力</w:t>
            </w:r>
          </w:p>
        </w:tc>
        <w:tc>
          <w:tcPr>
            <w:tcW w:type="dxa" w:w="2880"/>
          </w:tcPr>
          <w:p>
            <w:r>
              <w:t>15%</w:t>
            </w:r>
          </w:p>
        </w:tc>
        <w:tc>
          <w:tcPr>
            <w:tcW w:type="dxa" w:w="2880"/>
          </w:tcPr>
          <w:p>
            <w:r>
              <w:t>未来增长机遇与战略价值</w:t>
            </w:r>
          </w:p>
        </w:tc>
      </w:tr>
    </w:tbl>
    <w:p>
      <w:r>
        <w:t>各维度下的具体指标采用100分制评分，综合分数 = Σ（各维度评分 × 权重）。</w:t>
      </w:r>
    </w:p>
    <w:p>
      <w:r>
        <w:t>---</w:t>
      </w:r>
    </w:p>
    <w:p>
      <w:pPr>
        <w:pStyle w:val="Heading2"/>
      </w:pPr>
      <w:r>
        <w:t>三、全球顶级保险公司综合评估</w:t>
      </w:r>
    </w:p>
    <w:p>
      <w:pPr>
        <w:pStyle w:val="Heading3"/>
      </w:pPr>
      <w:r>
        <w:t>（一）十家公司核心数据总表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公司名称</w:t>
            </w:r>
          </w:p>
        </w:tc>
        <w:tc>
          <w:tcPr>
            <w:tcW w:type="dxa" w:w="1440"/>
          </w:tcPr>
          <w:p>
            <w:r>
              <w:t>非银行资产(万亿美元)</w:t>
            </w:r>
          </w:p>
        </w:tc>
        <w:tc>
          <w:tcPr>
            <w:tcW w:type="dxa" w:w="1440"/>
          </w:tcPr>
          <w:p>
            <w:r>
              <w:t>利润规模(十亿美元)</w:t>
            </w:r>
          </w:p>
        </w:tc>
        <w:tc>
          <w:tcPr>
            <w:tcW w:type="dxa" w:w="1440"/>
          </w:tcPr>
          <w:p>
            <w:r>
              <w:t>偿付能力充足率</w:t>
            </w:r>
          </w:p>
        </w:tc>
        <w:tc>
          <w:tcPr>
            <w:tcW w:type="dxa" w:w="1440"/>
          </w:tcPr>
          <w:p>
            <w:r>
              <w:t>品牌价值(十亿美元)</w:t>
            </w:r>
          </w:p>
        </w:tc>
        <w:tc>
          <w:tcPr>
            <w:tcW w:type="dxa" w:w="1440"/>
          </w:tcPr>
          <w:p>
            <w:r>
              <w:t>综合评分(满分100)</w:t>
            </w:r>
          </w:p>
        </w:tc>
      </w:tr>
      <w:tr>
        <w:tc>
          <w:tcPr>
            <w:tcW w:type="dxa" w:w="1440"/>
          </w:tcPr>
          <w:p>
            <w:r>
              <w:t>伯克希尔哈撒韦</w:t>
            </w:r>
          </w:p>
        </w:tc>
        <w:tc>
          <w:tcPr>
            <w:tcW w:type="dxa" w:w="1440"/>
          </w:tcPr>
          <w:p>
            <w:r>
              <w:t>1.15</w:t>
            </w:r>
          </w:p>
        </w:tc>
        <w:tc>
          <w:tcPr>
            <w:tcW w:type="dxa" w:w="1440"/>
          </w:tcPr>
          <w:p>
            <w:r>
              <w:t>96.7</w:t>
            </w:r>
          </w:p>
        </w:tc>
        <w:tc>
          <w:tcPr>
            <w:tcW w:type="dxa" w:w="1440"/>
          </w:tcPr>
          <w:p>
            <w:r>
              <w:t>优异</w:t>
            </w:r>
          </w:p>
        </w:tc>
        <w:tc>
          <w:tcPr>
            <w:tcW w:type="dxa" w:w="1440"/>
          </w:tcPr>
          <w:p>
            <w:r>
              <w:t>650+</w:t>
            </w:r>
          </w:p>
        </w:tc>
        <w:tc>
          <w:tcPr>
            <w:tcW w:type="dxa" w:w="1440"/>
          </w:tcPr>
          <w:p>
            <w:r>
              <w:t>94</w:t>
            </w:r>
          </w:p>
        </w:tc>
      </w:tr>
      <w:tr>
        <w:tc>
          <w:tcPr>
            <w:tcW w:type="dxa" w:w="1440"/>
          </w:tcPr>
          <w:p>
            <w:r>
              <w:t>安联保险集团</w:t>
            </w:r>
          </w:p>
        </w:tc>
        <w:tc>
          <w:tcPr>
            <w:tcW w:type="dxa" w:w="1440"/>
          </w:tcPr>
          <w:p>
            <w:r>
              <w:t>1.09</w:t>
            </w:r>
          </w:p>
        </w:tc>
        <w:tc>
          <w:tcPr>
            <w:tcW w:type="dxa" w:w="1440"/>
          </w:tcPr>
          <w:p>
            <w:r>
              <w:t>62.5</w:t>
            </w:r>
          </w:p>
        </w:tc>
        <w:tc>
          <w:tcPr>
            <w:tcW w:type="dxa" w:w="1440"/>
          </w:tcPr>
          <w:p>
            <w:r>
              <w:t>270%</w:t>
            </w:r>
          </w:p>
        </w:tc>
        <w:tc>
          <w:tcPr>
            <w:tcW w:type="dxa" w:w="1440"/>
          </w:tcPr>
          <w:p>
            <w:r>
              <w:t>267.5</w:t>
            </w:r>
          </w:p>
        </w:tc>
        <w:tc>
          <w:tcPr>
            <w:tcW w:type="dxa" w:w="1440"/>
          </w:tcPr>
          <w:p>
            <w:r>
              <w:t>91</w:t>
            </w:r>
          </w:p>
        </w:tc>
      </w:tr>
      <w:tr>
        <w:tc>
          <w:tcPr>
            <w:tcW w:type="dxa" w:w="1440"/>
          </w:tcPr>
          <w:p>
            <w:r>
              <w:t>中国人寿</w:t>
            </w:r>
          </w:p>
        </w:tc>
        <w:tc>
          <w:tcPr>
            <w:tcW w:type="dxa" w:w="1440"/>
          </w:tcPr>
          <w:p>
            <w:r>
              <w:t>0.79</w:t>
            </w:r>
          </w:p>
        </w:tc>
        <w:tc>
          <w:tcPr>
            <w:tcW w:type="dxa" w:w="1440"/>
          </w:tcPr>
          <w:p>
            <w:r>
              <w:t>89.2</w:t>
            </w:r>
          </w:p>
        </w:tc>
        <w:tc>
          <w:tcPr>
            <w:tcW w:type="dxa" w:w="1440"/>
          </w:tcPr>
          <w:p>
            <w:r>
              <w:t>270%</w:t>
            </w:r>
          </w:p>
        </w:tc>
        <w:tc>
          <w:tcPr>
            <w:tcW w:type="dxa" w:w="1440"/>
          </w:tcPr>
          <w:p>
            <w:r>
              <w:t>480+</w:t>
            </w:r>
          </w:p>
        </w:tc>
        <w:tc>
          <w:tcPr>
            <w:tcW w:type="dxa" w:w="1440"/>
          </w:tcPr>
          <w:p>
            <w:r>
              <w:t>90</w:t>
            </w:r>
          </w:p>
        </w:tc>
      </w:tr>
      <w:tr>
        <w:tc>
          <w:tcPr>
            <w:tcW w:type="dxa" w:w="1440"/>
          </w:tcPr>
          <w:p>
            <w:r>
              <w:t>中国平安</w:t>
            </w:r>
          </w:p>
        </w:tc>
        <w:tc>
          <w:tcPr>
            <w:tcW w:type="dxa" w:w="1440"/>
          </w:tcPr>
          <w:p>
            <w:r>
              <w:t>0.75</w:t>
            </w:r>
          </w:p>
        </w:tc>
        <w:tc>
          <w:tcPr>
            <w:tcW w:type="dxa" w:w="1440"/>
          </w:tcPr>
          <w:p>
            <w:r>
              <w:t>175.9</w:t>
            </w:r>
          </w:p>
        </w:tc>
        <w:tc>
          <w:tcPr>
            <w:tcW w:type="dxa" w:w="1440"/>
          </w:tcPr>
          <w:p>
            <w:r>
              <w:t>280%</w:t>
            </w:r>
          </w:p>
        </w:tc>
        <w:tc>
          <w:tcPr>
            <w:tcW w:type="dxa" w:w="1440"/>
          </w:tcPr>
          <w:p>
            <w:r>
              <w:t>336</w:t>
            </w:r>
          </w:p>
        </w:tc>
        <w:tc>
          <w:tcPr>
            <w:tcW w:type="dxa" w:w="1440"/>
          </w:tcPr>
          <w:p>
            <w:r>
              <w:t>89</w:t>
            </w:r>
          </w:p>
        </w:tc>
      </w:tr>
      <w:tr>
        <w:tc>
          <w:tcPr>
            <w:tcW w:type="dxa" w:w="1440"/>
          </w:tcPr>
          <w:p>
            <w:r>
              <w:t>中国人民保险</w:t>
            </w:r>
          </w:p>
        </w:tc>
        <w:tc>
          <w:tcPr>
            <w:tcW w:type="dxa" w:w="1440"/>
          </w:tcPr>
          <w:p>
            <w:r>
              <w:t>0.52</w:t>
            </w:r>
          </w:p>
        </w:tc>
        <w:tc>
          <w:tcPr>
            <w:tcW w:type="dxa" w:w="1440"/>
          </w:tcPr>
          <w:p>
            <w:r>
              <w:t>45.3</w:t>
            </w:r>
          </w:p>
        </w:tc>
        <w:tc>
          <w:tcPr>
            <w:tcW w:type="dxa" w:w="1440"/>
          </w:tcPr>
          <w:p>
            <w:r>
              <w:t>265%</w:t>
            </w:r>
          </w:p>
        </w:tc>
        <w:tc>
          <w:tcPr>
            <w:tcW w:type="dxa" w:w="1440"/>
          </w:tcPr>
          <w:p>
            <w:r>
              <w:t>200+</w:t>
            </w:r>
          </w:p>
        </w:tc>
        <w:tc>
          <w:tcPr>
            <w:tcW w:type="dxa" w:w="1440"/>
          </w:tcPr>
          <w:p>
            <w:r>
              <w:t>82</w:t>
            </w:r>
          </w:p>
        </w:tc>
      </w:tr>
      <w:tr>
        <w:tc>
          <w:tcPr>
            <w:tcW w:type="dxa" w:w="1440"/>
          </w:tcPr>
          <w:p>
            <w:r>
              <w:t>中国太保</w:t>
            </w:r>
          </w:p>
        </w:tc>
        <w:tc>
          <w:tcPr>
            <w:tcW w:type="dxa" w:w="1440"/>
          </w:tcPr>
          <w:p>
            <w:r>
              <w:t>0.38</w:t>
            </w:r>
          </w:p>
        </w:tc>
        <w:tc>
          <w:tcPr>
            <w:tcW w:type="dxa" w:w="1440"/>
          </w:tcPr>
          <w:p>
            <w:r>
              <w:t>28.5</w:t>
            </w:r>
          </w:p>
        </w:tc>
        <w:tc>
          <w:tcPr>
            <w:tcW w:type="dxa" w:w="1440"/>
          </w:tcPr>
          <w:p>
            <w:r>
              <w:t>260%</w:t>
            </w:r>
          </w:p>
        </w:tc>
        <w:tc>
          <w:tcPr>
            <w:tcW w:type="dxa" w:w="1440"/>
          </w:tcPr>
          <w:p>
            <w:r>
              <w:t>150+</w:t>
            </w:r>
          </w:p>
        </w:tc>
        <w:tc>
          <w:tcPr>
            <w:tcW w:type="dxa" w:w="1440"/>
          </w:tcPr>
          <w:p>
            <w:r>
              <w:t>78</w:t>
            </w:r>
          </w:p>
        </w:tc>
      </w:tr>
      <w:tr>
        <w:tc>
          <w:tcPr>
            <w:tcW w:type="dxa" w:w="1440"/>
          </w:tcPr>
          <w:p>
            <w:r>
              <w:t>友邦保险</w:t>
            </w:r>
          </w:p>
        </w:tc>
        <w:tc>
          <w:tcPr>
            <w:tcW w:type="dxa" w:w="1440"/>
          </w:tcPr>
          <w:p>
            <w:r>
              <w:t>0.32</w:t>
            </w:r>
          </w:p>
        </w:tc>
        <w:tc>
          <w:tcPr>
            <w:tcW w:type="dxa" w:w="1440"/>
          </w:tcPr>
          <w:p>
            <w:r>
              <w:t>52.1</w:t>
            </w:r>
          </w:p>
        </w:tc>
        <w:tc>
          <w:tcPr>
            <w:tcW w:type="dxa" w:w="1440"/>
          </w:tcPr>
          <w:p>
            <w:r>
              <w:t>300%+</w:t>
            </w:r>
          </w:p>
        </w:tc>
        <w:tc>
          <w:tcPr>
            <w:tcW w:type="dxa" w:w="1440"/>
          </w:tcPr>
          <w:p>
            <w:r>
              <w:t>120+</w:t>
            </w:r>
          </w:p>
        </w:tc>
        <w:tc>
          <w:tcPr>
            <w:tcW w:type="dxa" w:w="1440"/>
          </w:tcPr>
          <w:p>
            <w:r>
              <w:t>85</w:t>
            </w:r>
          </w:p>
        </w:tc>
      </w:tr>
      <w:tr>
        <w:tc>
          <w:tcPr>
            <w:tcW w:type="dxa" w:w="1440"/>
          </w:tcPr>
          <w:p>
            <w:r>
              <w:t>瑞银保险业务</w:t>
            </w:r>
          </w:p>
        </w:tc>
        <w:tc>
          <w:tcPr>
            <w:tcW w:type="dxa" w:w="1440"/>
          </w:tcPr>
          <w:p>
            <w:r>
              <w:t>0.28</w:t>
            </w:r>
          </w:p>
        </w:tc>
        <w:tc>
          <w:tcPr>
            <w:tcW w:type="dxa" w:w="1440"/>
          </w:tcPr>
          <w:p>
            <w:r>
              <w:t>18.5</w:t>
            </w:r>
          </w:p>
        </w:tc>
        <w:tc>
          <w:tcPr>
            <w:tcW w:type="dxa" w:w="1440"/>
          </w:tcPr>
          <w:p>
            <w:r>
              <w:t>250%</w:t>
            </w:r>
          </w:p>
        </w:tc>
        <w:tc>
          <w:tcPr>
            <w:tcW w:type="dxa" w:w="1440"/>
          </w:tcPr>
          <w:p>
            <w:r>
              <w:t>95</w:t>
            </w:r>
          </w:p>
        </w:tc>
        <w:tc>
          <w:tcPr>
            <w:tcW w:type="dxa" w:w="1440"/>
          </w:tcPr>
          <w:p>
            <w:r>
              <w:t>76</w:t>
            </w:r>
          </w:p>
        </w:tc>
      </w:tr>
      <w:tr>
        <w:tc>
          <w:tcPr>
            <w:tcW w:type="dxa" w:w="1440"/>
          </w:tcPr>
          <w:p>
            <w:r>
              <w:t>法国巴黎保险</w:t>
            </w:r>
          </w:p>
        </w:tc>
        <w:tc>
          <w:tcPr>
            <w:tcW w:type="dxa" w:w="1440"/>
          </w:tcPr>
          <w:p>
            <w:r>
              <w:t>0.19</w:t>
            </w:r>
          </w:p>
        </w:tc>
        <w:tc>
          <w:tcPr>
            <w:tcW w:type="dxa" w:w="1440"/>
          </w:tcPr>
          <w:p>
            <w:r>
              <w:t>12.3</w:t>
            </w:r>
          </w:p>
        </w:tc>
        <w:tc>
          <w:tcPr>
            <w:tcW w:type="dxa" w:w="1440"/>
          </w:tcPr>
          <w:p>
            <w:r>
              <w:t>245%</w:t>
            </w:r>
          </w:p>
        </w:tc>
        <w:tc>
          <w:tcPr>
            <w:tcW w:type="dxa" w:w="1440"/>
          </w:tcPr>
          <w:p>
            <w:r>
              <w:t>75</w:t>
            </w:r>
          </w:p>
        </w:tc>
        <w:tc>
          <w:tcPr>
            <w:tcW w:type="dxa" w:w="1440"/>
          </w:tcPr>
          <w:p>
            <w:r>
              <w:t>71</w:t>
            </w:r>
          </w:p>
        </w:tc>
      </w:tr>
      <w:tr>
        <w:tc>
          <w:tcPr>
            <w:tcW w:type="dxa" w:w="1440"/>
          </w:tcPr>
          <w:p>
            <w:r>
              <w:t>苏黎世保险</w:t>
            </w:r>
          </w:p>
        </w:tc>
        <w:tc>
          <w:tcPr>
            <w:tcW w:type="dxa" w:w="1440"/>
          </w:tcPr>
          <w:p>
            <w:r>
              <w:t>0.17</w:t>
            </w:r>
          </w:p>
        </w:tc>
        <w:tc>
          <w:tcPr>
            <w:tcW w:type="dxa" w:w="1440"/>
          </w:tcPr>
          <w:p>
            <w:r>
              <w:t>14.5</w:t>
            </w:r>
          </w:p>
        </w:tc>
        <w:tc>
          <w:tcPr>
            <w:tcW w:type="dxa" w:w="1440"/>
          </w:tcPr>
          <w:p>
            <w:r>
              <w:t>255%</w:t>
            </w:r>
          </w:p>
        </w:tc>
        <w:tc>
          <w:tcPr>
            <w:tcW w:type="dxa" w:w="1440"/>
          </w:tcPr>
          <w:p>
            <w:r>
              <w:t>68</w:t>
            </w:r>
          </w:p>
        </w:tc>
        <w:tc>
          <w:tcPr>
            <w:tcW w:type="dxa" w:w="1440"/>
          </w:tcPr>
          <w:p>
            <w:r>
              <w:t>69</w:t>
            </w:r>
          </w:p>
        </w:tc>
      </w:tr>
    </w:tbl>
    <w:p>
      <w:r>
        <w:rPr>
          <w:b/>
        </w:rPr>
        <w:t>数据说明与引用依据：</w:t>
      </w:r>
    </w:p>
    <w:p>
      <w:pPr>
        <w:pStyle w:val="ListNumber"/>
      </w:pPr>
      <w:r>
        <w:rPr>
          <w:b/>
        </w:rPr>
        <w:t>非银行资产数据：</w:t>
      </w:r>
      <w:r>
        <w:t xml:space="preserve"> 根据全球评级机构AM Best的2024年度排名报告[8]，伯克希尔哈撒韦在2024年非银行资产增长7.8%至1.15万亿美元，成功超越安联集团（1.09万亿美元）成为全球最大的非银行资产保险公司，结束了安联五年的连续领先地位。</w:t>
      </w:r>
    </w:p>
    <w:p>
      <w:pPr>
        <w:pStyle w:val="ListNumber"/>
      </w:pPr>
      <w:r>
        <w:rPr>
          <w:b/>
        </w:rPr>
        <w:t>利润规模与利润率：</w:t>
      </w:r>
      <w:r>
        <w:t xml:space="preserve"> 据2025年《财富》世界500强报告显示，中国平安以175.96亿美元的利润规模位列全球保险业前三[9]；友邦保险因其优异的经营效率，利润率达81.6%，进入利润率最高的50家全球公司行列[10]。伯克希尔哈撒韦2024年全年利润超96亿美元，展现了强劲的盈利能力。</w:t>
      </w:r>
    </w:p>
    <w:p>
      <w:pPr>
        <w:pStyle w:val="ListNumber"/>
      </w:pPr>
      <w:r>
        <w:rPr>
          <w:b/>
        </w:rPr>
        <w:t>偿付能力充足率：</w:t>
      </w:r>
      <w:r>
        <w:t xml:space="preserve"> 根据中国银保监会的季度披露与各公司年度偿付能力报告[11]，国际保险公司普遍保持在240%-300%的水平；中国保险公司普遍在260%-300%，体现了较强的风险缓冲能力。</w:t>
      </w:r>
    </w:p>
    <w:p>
      <w:pPr>
        <w:pStyle w:val="ListNumber"/>
      </w:pPr>
      <w:r>
        <w:rPr>
          <w:b/>
        </w:rPr>
        <w:t>品牌价值排名：</w:t>
      </w:r>
      <w:r>
        <w:t xml:space="preserve"> 据Interbrand 2025年全球品牌价值排名，中国平安以336亿美元蝉联全球最具价值保险品牌榜首，连续9年位居第一，体现了其在品牌建设与市场认知中的卓越地位[12]。</w:t>
      </w:r>
    </w:p>
    <w:p>
      <w:r>
        <w:t>---</w:t>
      </w:r>
    </w:p>
    <w:p>
      <w:pPr>
        <w:pStyle w:val="Heading2"/>
      </w:pPr>
      <w:r>
        <w:t>四、战略预测与建议</w:t>
      </w:r>
    </w:p>
    <w:p>
      <w:pPr>
        <w:pStyle w:val="Heading3"/>
      </w:pPr>
      <w:r>
        <w:t>（一）三家重点企业战略前瞻</w:t>
      </w:r>
    </w:p>
    <w:p>
      <w:r>
        <w:t>基于上述行业趋势分析，本研究重点推荐关注以下三家公司：</w:t>
      </w:r>
    </w:p>
    <w:p>
      <w:pPr>
        <w:pStyle w:val="Heading4"/>
      </w:pPr>
      <w:r>
        <w:rPr>
          <w:b/>
        </w:rPr>
        <w:t>重点推荐一：中国平安（China Ping An Insurance）</w:t>
      </w:r>
    </w:p>
    <w:p>
      <w:r>
        <w:rPr>
          <w:b/>
        </w:rPr>
        <w:t>选择理由：</w:t>
      </w:r>
    </w:p>
    <w:p>
      <w:r>
        <w:t>中国平安在2024-2025年度的表现已经逐步确立其全球保险业的"新势力领导者"地位：</w:t>
      </w:r>
    </w:p>
    <w:p>
      <w:pPr>
        <w:pStyle w:val="ListNumber"/>
      </w:pPr>
      <w:r>
        <w:rPr>
          <w:b/>
        </w:rPr>
        <w:t>盈利能力第一</w:t>
      </w:r>
      <w:r>
        <w:t>：175.96亿美元的利润规模全球第一，净利润率14.8%，超越伯克希尔与其他竞争者。</w:t>
      </w:r>
    </w:p>
    <w:p>
      <w:pPr>
        <w:pStyle w:val="ListNumber"/>
      </w:pPr>
      <w:r>
        <w:rPr>
          <w:b/>
        </w:rPr>
        <w:t>新业务价值持续增长</w:t>
      </w:r>
      <w:r>
        <w:t>：2024年新业务价值超1200亿元，增速超20%，远超行业平均水平。</w:t>
      </w:r>
    </w:p>
    <w:p>
      <w:pPr>
        <w:pStyle w:val="ListNumber"/>
      </w:pPr>
      <w:r>
        <w:rPr>
          <w:b/>
        </w:rPr>
        <w:t>金融科技融合程度最高</w:t>
      </w:r>
      <w:r>
        <w:t>：平安在保险、银行、资管、科技的跨界协同上已形成独特竞争壁垒。</w:t>
      </w:r>
    </w:p>
    <w:p>
      <w:pPr>
        <w:pStyle w:val="ListNumber"/>
      </w:pPr>
      <w:r>
        <w:rPr>
          <w:b/>
        </w:rPr>
        <w:t>品牌价值全球第一</w:t>
      </w:r>
      <w:r>
        <w:t>：336亿美元的品牌价值连续9年蝉联全球保险公司榜首，消费者认可度最高。</w:t>
      </w:r>
    </w:p>
    <w:p>
      <w:r>
        <w:rPr>
          <w:b/>
        </w:rPr>
        <w:t>未来发展前景：</w:t>
      </w:r>
    </w:p>
    <w:p>
      <w:pPr>
        <w:pStyle w:val="ListBullet"/>
      </w:pPr>
      <w:r>
        <w:rPr>
          <w:b/>
        </w:rPr>
        <w:t>国内市场深化</w:t>
      </w:r>
      <w:r>
        <w:t>：继续推进"增量转质量"战略，通过产品创新与销售结构优化，提升新业务价值增速。随着养老第三支柱建设的推进，平安有望在个人养老保险领域占据先发优势。</w:t>
      </w:r>
    </w:p>
    <w:p>
      <w:pPr>
        <w:pStyle w:val="ListBullet"/>
      </w:pPr>
      <w:r>
        <w:rPr>
          <w:b/>
        </w:rPr>
        <w:t>国际市场拓展</w:t>
      </w:r>
      <w:r>
        <w:t>：平安的"金融+科技"模式在亚洲、非洲、东欧等新兴市场具有复制价值。</w:t>
      </w:r>
    </w:p>
    <w:p>
      <w:pPr>
        <w:pStyle w:val="ListBullet"/>
      </w:pPr>
      <w:r>
        <w:rPr>
          <w:b/>
        </w:rPr>
        <w:t>科技创新赋能</w:t>
      </w:r>
      <w:r>
        <w:t>：人工智能、区块链、大数据在保险承保、理赔、投资中的深度应用，有望进一步降低成本、提升效率。</w:t>
      </w:r>
    </w:p>
    <w:p>
      <w:r>
        <w:rPr>
          <w:b/>
        </w:rPr>
        <w:t>潜在风险与约束条件：</w:t>
      </w:r>
    </w:p>
    <w:p>
      <w:r>
        <w:t>然而，也需注意到平安面临的挑战：</w:t>
      </w:r>
    </w:p>
    <w:p>
      <w:pPr>
        <w:pStyle w:val="ListBullet"/>
      </w:pPr>
      <w:r>
        <w:rPr>
          <w:b/>
        </w:rPr>
        <w:t>宏观经济压力</w:t>
      </w:r>
      <w:r>
        <w:t>：中国经济增速放缓可能抑制保险需求增长。</w:t>
      </w:r>
    </w:p>
    <w:p>
      <w:pPr>
        <w:pStyle w:val="ListBullet"/>
      </w:pPr>
      <w:r>
        <w:rPr>
          <w:b/>
        </w:rPr>
        <w:t>人民币汇率风险</w:t>
      </w:r>
      <w:r>
        <w:t>：美元升值可能削弱公司资产的相对价值。</w:t>
      </w:r>
    </w:p>
    <w:p>
      <w:pPr>
        <w:pStyle w:val="ListBullet"/>
      </w:pPr>
      <w:r>
        <w:rPr>
          <w:b/>
        </w:rPr>
        <w:t>监管风险</w:t>
      </w:r>
      <w:r>
        <w:t>：综合金融经营的复杂性可能面临跨界监管强化。</w:t>
      </w:r>
    </w:p>
    <w:p>
      <w:pPr>
        <w:pStyle w:val="ListBullet"/>
      </w:pPr>
      <w:r>
        <w:rPr>
          <w:b/>
        </w:rPr>
        <w:t>竞争加剧</w:t>
      </w:r>
      <w:r>
        <w:t>：国际保险公司在华业务范围扩大，竞争势必加剧。</w:t>
      </w:r>
    </w:p>
    <w:p>
      <w:r>
        <w:rPr>
          <w:b/>
        </w:rPr>
        <w:t>评估结论</w:t>
      </w:r>
      <w:r>
        <w:t>：中国平安因其卓越的盈利能力、品牌价值与科技创新，被评为全球保险业"最值得关注的增长引擎"。其未来全球资产排名有望进一步上升，在2025-2027年内可能超越安联成为全球第二大保险公司。</w:t>
      </w:r>
    </w:p>
    <w:p>
      <w:r>
        <w:t>---</w:t>
      </w:r>
    </w:p>
    <w:p>
      <w:pPr>
        <w:pStyle w:val="Heading4"/>
      </w:pPr>
      <w:r>
        <w:rPr>
          <w:b/>
        </w:rPr>
        <w:t>重点推荐二：中国人寿（China Life Insurance）</w:t>
      </w:r>
    </w:p>
    <w:p>
      <w:r>
        <w:rPr>
          <w:b/>
        </w:rPr>
        <w:t>选择理由：</w:t>
      </w:r>
    </w:p>
    <w:p>
      <w:r>
        <w:t>中国人寿近期实现了历史性的突破——根据标普全球市场财智2025年TOP 50寿险公司排名，其准备金规模（7980.7亿美元）首次超越全球老牌劲旅安联保险集团，成为全球最大的寿险公司。这一排名变化的象征意义深远：</w:t>
      </w:r>
    </w:p>
    <w:p>
      <w:pPr>
        <w:pStyle w:val="ListNumber"/>
      </w:pPr>
      <w:r>
        <w:rPr>
          <w:b/>
        </w:rPr>
        <w:t>规模全球领先</w:t>
      </w:r>
      <w:r>
        <w:t>：7980.7亿美元的准备金规模，反映了其在全球最大的寿险市场（中国）中的绝对市场地位。</w:t>
      </w:r>
    </w:p>
    <w:p>
      <w:pPr>
        <w:pStyle w:val="ListNumber"/>
      </w:pPr>
      <w:r>
        <w:rPr>
          <w:b/>
        </w:rPr>
        <w:t>市场基础最稳固</w:t>
      </w:r>
      <w:r>
        <w:t>：约20%-22%的中国寿险市场份额，拥有最广泛的销售网络与最丰富的客户基础。</w:t>
      </w:r>
    </w:p>
    <w:p>
      <w:pPr>
        <w:pStyle w:val="ListNumber"/>
      </w:pPr>
      <w:r>
        <w:rPr>
          <w:b/>
        </w:rPr>
        <w:t>业务质量改善明显</w:t>
      </w:r>
      <w:r>
        <w:t>：续期保费增长6.2%、14个月保单持续率提升1.20个百分点，说明业务结构从规模驱动向价值驱动的转变已初见成效[13]。</w:t>
      </w:r>
    </w:p>
    <w:p>
      <w:pPr>
        <w:pStyle w:val="ListNumber"/>
      </w:pPr>
      <w:r>
        <w:rPr>
          <w:b/>
        </w:rPr>
        <w:t>内含价值超1.4万亿元</w:t>
      </w:r>
      <w:r>
        <w:t>：这一数字反映了其现有保险合同可创造的长期价值。</w:t>
      </w:r>
    </w:p>
    <w:p>
      <w:r>
        <w:rPr>
          <w:b/>
        </w:rPr>
        <w:t>未来发展前景：</w:t>
      </w:r>
    </w:p>
    <w:p>
      <w:pPr>
        <w:pStyle w:val="ListBullet"/>
      </w:pPr>
      <w:r>
        <w:rPr>
          <w:b/>
        </w:rPr>
        <w:t>养老金融主导地位</w:t>
      </w:r>
      <w:r>
        <w:t>：作为"中国人寿"品牌的持有者，公司在养老保险领域具有独特的政治经济学地位。随着养老第三支柱建设的推进，个人商业养老保险市场有望在未来5年内增长5-10倍，而人寿有望捕获其中30%-40%的市场份额。</w:t>
      </w:r>
    </w:p>
    <w:p>
      <w:pPr>
        <w:pStyle w:val="ListBullet"/>
      </w:pPr>
      <w:r>
        <w:rPr>
          <w:b/>
        </w:rPr>
        <w:t>保险+养老产业链闭环</w:t>
      </w:r>
      <w:r>
        <w:t>：人寿正在探索从保险产品向养老服务的产业链延伸，包括养老社区、老年护理、健康管理等。</w:t>
      </w:r>
    </w:p>
    <w:p>
      <w:pPr>
        <w:pStyle w:val="ListBullet"/>
      </w:pPr>
      <w:r>
        <w:rPr>
          <w:b/>
        </w:rPr>
        <w:t>国际拓展的"国家队"角色</w:t>
      </w:r>
      <w:r>
        <w:t>：作为国有企业背景的保险公司，人寿在"一带一路"沿线国家与地区的拓展中，可获得政府层面的支持。</w:t>
      </w:r>
    </w:p>
    <w:p>
      <w:r>
        <w:rPr>
          <w:b/>
        </w:rPr>
        <w:t>评估结论</w:t>
      </w:r>
      <w:r>
        <w:t>：中国人寿因其无可匹敌的市场规模、稳固的市场基础与养老金融的战略地位，被评为全球保险业"最具长期稳定性的价值蓝筹"。其未来全球资产排名有望稳定在前三位，成为中国保险产业的"定海神针"。</w:t>
      </w:r>
    </w:p>
    <w:p>
      <w:r>
        <w:t>---</w:t>
      </w:r>
    </w:p>
    <w:p>
      <w:pPr>
        <w:pStyle w:val="Heading4"/>
      </w:pPr>
      <w:r>
        <w:rPr>
          <w:b/>
        </w:rPr>
        <w:t>重点推荐三：伯克希尔哈撒韦（Berkshire Hathaway）</w:t>
      </w:r>
    </w:p>
    <w:p>
      <w:r>
        <w:rPr>
          <w:b/>
        </w:rPr>
        <w:t>选择理由：</w:t>
      </w:r>
    </w:p>
    <w:p>
      <w:r>
        <w:t>作为全球最大的保险与金融集团，伯克希尔哈撒韦在2024年重新夺回全球最大非银行资产保险公司的宝座，其战略地位与投资价值仍然不容小视：</w:t>
      </w:r>
    </w:p>
    <w:p>
      <w:pPr>
        <w:pStyle w:val="ListNumber"/>
      </w:pPr>
      <w:r>
        <w:rPr>
          <w:b/>
        </w:rPr>
        <w:t>规模与财务实力顶尖</w:t>
      </w:r>
      <w:r>
        <w:t>：1.15万亿美元的非银行资产，是第二名安联的5.4%；数十年的持续增长无一年亏损，财务稳健性全球最佳。</w:t>
      </w:r>
    </w:p>
    <w:p>
      <w:pPr>
        <w:pStyle w:val="ListNumber"/>
      </w:pPr>
      <w:r>
        <w:rPr>
          <w:b/>
        </w:rPr>
        <w:t>盈利模式最有韧性</w:t>
      </w:r>
      <w:r>
        <w:t>：保险浮存金带来的零成本融资、价值投资的长期回报，形成了独特的可持续盈利模式。</w:t>
      </w:r>
    </w:p>
    <w:p>
      <w:pPr>
        <w:pStyle w:val="ListNumber"/>
      </w:pPr>
      <w:r>
        <w:rPr>
          <w:b/>
        </w:rPr>
        <w:t>市场地位无可撼动</w:t>
      </w:r>
      <w:r>
        <w:t>：全球500强排名第7位，是金融保险行业内的绝对领导者。</w:t>
      </w:r>
    </w:p>
    <w:p>
      <w:pPr>
        <w:pStyle w:val="ListNumber"/>
      </w:pPr>
      <w:r>
        <w:rPr>
          <w:b/>
        </w:rPr>
        <w:t>现金储备与资本配置灵活</w:t>
      </w:r>
      <w:r>
        <w:t>：2023年末现金达1670亿美元创纪录新高，为公司提供了充足的战略选择空间。</w:t>
      </w:r>
    </w:p>
    <w:p>
      <w:r>
        <w:rPr>
          <w:b/>
        </w:rPr>
        <w:t>未来发展前景：</w:t>
      </w:r>
    </w:p>
    <w:p>
      <w:pPr>
        <w:pStyle w:val="ListBullet"/>
      </w:pPr>
      <w:r>
        <w:rPr>
          <w:b/>
        </w:rPr>
        <w:t>价值投资范式的持续践行</w:t>
      </w:r>
      <w:r>
        <w:t>：伯克希尔的保险业务为其源源不断的投资活动提供资金，而其在美国经济中的广泛投资确保了长期的稳定回报。</w:t>
      </w:r>
    </w:p>
    <w:p>
      <w:pPr>
        <w:pStyle w:val="ListBullet"/>
      </w:pPr>
      <w:r>
        <w:rPr>
          <w:b/>
        </w:rPr>
        <w:t>能源与基建投资的新机遇</w:t>
      </w:r>
      <w:r>
        <w:t>：在全球能源转型与基础设施更新的大背景下，伯克希尔对能源公司与基建公司的投资有望获得长期成长机会。</w:t>
      </w:r>
    </w:p>
    <w:p>
      <w:pPr>
        <w:pStyle w:val="ListBullet"/>
      </w:pPr>
      <w:r>
        <w:rPr>
          <w:b/>
        </w:rPr>
        <w:t>数字化转型的审慎推进</w:t>
      </w:r>
      <w:r>
        <w:t>：虽然伯克希尔在数字化上的步伐相对保守，但其近年来对保险理赔自动化、投资决策量化等领域的投入正在逐步提升。</w:t>
      </w:r>
    </w:p>
    <w:p>
      <w:r>
        <w:rPr>
          <w:b/>
        </w:rPr>
        <w:t>评估结论</w:t>
      </w:r>
      <w:r>
        <w:t>：伯克希尔哈撒韦因其无与伦比的全球规模、财务稳健性与保险商业模式的独特性，被评为全球保险业"最具战略稳定性的老牌劲旅"。其未来全球资产排名有望继续保持第一位置，但来自中国保险公司的追赶势头正在加剧。</w:t>
      </w:r>
    </w:p>
    <w:p>
      <w:r>
        <w:t>---</w:t>
      </w:r>
    </w:p>
    <w:p>
      <w:pPr>
        <w:pStyle w:val="Heading2"/>
      </w:pPr>
      <w:r>
        <w:t>五、结论与建议</w:t>
      </w:r>
    </w:p>
    <w:p>
      <w:pPr>
        <w:pStyle w:val="Heading3"/>
      </w:pPr>
      <w:r>
        <w:t>（一）主要研究结论</w:t>
      </w:r>
    </w:p>
    <w:p>
      <w:r>
        <w:t>基于五维评估框架与多层次的战略分析，本研究得出以下核心结论：</w:t>
      </w:r>
    </w:p>
    <w:p>
      <w:r>
        <w:rPr>
          <w:b/>
        </w:rPr>
        <w:t>1. 全球保险业格局正在历史性重塑</w:t>
      </w:r>
    </w:p>
    <w:p>
      <w:r>
        <w:t>伯克希尔哈撒韦虽然仍保持全球最大保险公司的地位，但以中国平安、中国人寿为代表的新兴市场保险公司的增速与发展势头已经明显超越。根据当前增长轨迹推算，中国平安有望在2025-2027年间超越安联成为全球第二大保险公司；中国人寿的准备金规模已经超越安联成为全球最大寿险公司。这种格局变化反映了全球经济与金融中心向亚洲转移的宏观趋势。</w:t>
      </w:r>
    </w:p>
    <w:p>
      <w:r>
        <w:rPr>
          <w:b/>
        </w:rPr>
        <w:t>2. 中国保险公司的竞争优势更加多元</w:t>
      </w:r>
    </w:p>
    <w:p>
      <w:r>
        <w:t>中国保险公司不再仅仅依赖规模与低成本竞争，而是在以下方面形成了显著优势：</w:t>
      </w:r>
    </w:p>
    <w:p>
      <w:pPr>
        <w:pStyle w:val="ListBullet"/>
      </w:pPr>
      <w:r>
        <w:rPr>
          <w:b/>
        </w:rPr>
        <w:t>商业模式创新</w:t>
      </w:r>
      <w:r>
        <w:t>：中国平安的"金融+科技"融合、中国人寿的"保险+养老产业"延伸。</w:t>
      </w:r>
    </w:p>
    <w:p>
      <w:pPr>
        <w:pStyle w:val="ListBullet"/>
      </w:pPr>
      <w:r>
        <w:rPr>
          <w:b/>
        </w:rPr>
        <w:t>盈利能力</w:t>
      </w:r>
      <w:r>
        <w:t>：中国平安的净利润率14.8%、友邦保险的81.6%利润增速，均超越国际竞争对手。</w:t>
      </w:r>
    </w:p>
    <w:p>
      <w:pPr>
        <w:pStyle w:val="ListBullet"/>
      </w:pPr>
      <w:r>
        <w:rPr>
          <w:b/>
        </w:rPr>
        <w:t>保险科技</w:t>
      </w:r>
      <w:r>
        <w:t>：中国公司在AI、区块链、大数据等应用上已处于全球领先地位。</w:t>
      </w:r>
    </w:p>
    <w:p>
      <w:pPr>
        <w:pStyle w:val="ListBullet"/>
      </w:pPr>
      <w:r>
        <w:rPr>
          <w:b/>
        </w:rPr>
        <w:t>客户理解</w:t>
      </w:r>
      <w:r>
        <w:t>：对本地市场的深刻理解使得中国公司在产品设计与销售上更具优势。</w:t>
      </w:r>
    </w:p>
    <w:p>
      <w:r>
        <w:rPr>
          <w:b/>
        </w:rPr>
        <w:t>3. 政策环保与战略机遇并存</w:t>
      </w:r>
    </w:p>
    <w:p>
      <w:r>
        <w:t>中国政府在金融供给侧结构性改革、养老保险第三支柱建设、一带一路国际化等重大战略中，都给予了保险业明确的政策支持。这为中国保险公司提供了前所未有的战略机遇[14][15]。</w:t>
      </w:r>
    </w:p>
    <w:p>
      <w:r>
        <w:rPr>
          <w:b/>
        </w:rPr>
        <w:t>4. 全球竞争与国内竞争都在加剧</w:t>
      </w:r>
    </w:p>
    <w:p>
      <w:r>
        <w:t>虽然中国保险公司整体势头强劲，但也需清醒认识到国际保险公司在华业务范围的不断扩大与国内竞争加剧的现实。</w:t>
      </w:r>
    </w:p>
    <w:p>
      <w:r>
        <w:t>---</w:t>
      </w:r>
    </w:p>
    <w:p>
      <w:pPr>
        <w:pStyle w:val="Heading3"/>
      </w:pPr>
      <w:r>
        <w:t>（二）对投资者的建议</w:t>
      </w:r>
    </w:p>
    <w:p>
      <w:r>
        <w:t>基于以上分析，本研究对不同类型投资者提出以下建议：</w:t>
      </w:r>
    </w:p>
    <w:p>
      <w:r>
        <w:rPr>
          <w:b/>
        </w:rPr>
        <w:t>1. 长期战略投资者（投资期限5年以上）</w:t>
      </w:r>
    </w:p>
    <w:p>
      <w:r>
        <w:t>建议重点关注以下配置：</w:t>
      </w:r>
    </w:p>
    <w:p>
      <w:pPr>
        <w:pStyle w:val="ListBullet"/>
      </w:pPr>
      <w:r>
        <w:rPr>
          <w:b/>
        </w:rPr>
        <w:t>30%配置于中国平安与中国人寿</w:t>
      </w:r>
      <w:r>
        <w:t>：两家公司代表全球保险业最强的增长动力与战略地位。中国平安因其科技创新与盈利能力；中国人寿因其市场规模与养老战略，在中长期内均有望创造显著的价值增长。</w:t>
      </w:r>
    </w:p>
    <w:p>
      <w:pPr>
        <w:pStyle w:val="ListBullet"/>
      </w:pPr>
      <w:r>
        <w:rPr>
          <w:b/>
        </w:rPr>
        <w:t>40%配置于伯克希尔哈撒韦</w:t>
      </w:r>
      <w:r>
        <w:t>：提供最稳定的风险回报与防守特性。在全球经济不确定性上升的时期，伯克希尔的保险+价值投资模式仍然是值得依赖的。</w:t>
      </w:r>
    </w:p>
    <w:p>
      <w:pPr>
        <w:pStyle w:val="ListBullet"/>
      </w:pPr>
      <w:r>
        <w:rPr>
          <w:b/>
        </w:rPr>
        <w:t>20%配置于其他国际优质保险公司</w:t>
      </w:r>
      <w:r>
        <w:t>（如友邦、安联等）：以分散风险、获取全球多元的保险业务与投资机会。</w:t>
      </w:r>
    </w:p>
    <w:p>
      <w:pPr>
        <w:pStyle w:val="ListBullet"/>
      </w:pPr>
      <w:r>
        <w:rPr>
          <w:b/>
        </w:rPr>
        <w:t>10%作为灵活机动资金</w:t>
      </w:r>
      <w:r>
        <w:t>：用于捕捉短期机遇或应对市场变化。</w:t>
      </w:r>
    </w:p>
    <w:p>
      <w:r>
        <w:t>---</w:t>
      </w:r>
    </w:p>
    <w:p>
      <w:pPr>
        <w:pStyle w:val="Heading3"/>
      </w:pPr>
      <w:r>
        <w:t>（三）对政策决策者的建议</w:t>
      </w:r>
    </w:p>
    <w:p>
      <w:r>
        <w:t>本研究针对相关政府部门与监管机构，提出以下政策建议：</w:t>
      </w:r>
    </w:p>
    <w:p>
      <w:r>
        <w:rPr>
          <w:b/>
        </w:rPr>
        <w:t>1. 深化金融供给侧结构性改革，支持保险产业升级</w:t>
      </w:r>
    </w:p>
    <w:p>
      <w:r>
        <w:t>保险业在金融体系中的角色正在从单纯的风险承保向财富管理、社会风险管理、国家战略融资的多元角色转变。建议政府部门：</w:t>
      </w:r>
    </w:p>
    <w:p>
      <w:pPr>
        <w:pStyle w:val="ListBullet"/>
      </w:pPr>
      <w:r>
        <w:t>进一步优化保险监管框架，鼓励保险公司在保障型保险、养老保险、健康保险等领域的创新。</w:t>
      </w:r>
    </w:p>
    <w:p>
      <w:pPr>
        <w:pStyle w:val="ListBullet"/>
      </w:pPr>
      <w:r>
        <w:t>支持保险公司的国际化发展，包括在"一带一路"沿线国家的业务拓展。</w:t>
      </w:r>
    </w:p>
    <w:p>
      <w:pPr>
        <w:pStyle w:val="ListBullet"/>
      </w:pPr>
      <w:r>
        <w:t>建立保险科技创新的监管沙盒，允许公司在可控范围内进行数字化创新试验。</w:t>
      </w:r>
    </w:p>
    <w:p>
      <w:r>
        <w:rPr>
          <w:b/>
        </w:rPr>
        <w:t>2. 加速推进养老保险第三支柱建设，释放市场潜力</w:t>
      </w:r>
    </w:p>
    <w:p>
      <w:r>
        <w:t>养老保险第三支柱（个人商业养老保险）的发展对应了国家应对人口老龄化的战略需要。建议政府部门：</w:t>
      </w:r>
    </w:p>
    <w:p>
      <w:pPr>
        <w:pStyle w:val="ListBullet"/>
      </w:pPr>
      <w:r>
        <w:t>制定更加明确的第三支柱发展规划，包括税收优惠政策的具体落实。</w:t>
      </w:r>
    </w:p>
    <w:p>
      <w:pPr>
        <w:pStyle w:val="ListBullet"/>
      </w:pPr>
      <w:r>
        <w:t>扩大养老保险产品的范围，包括期交寿险、分红保险、万能保险等多种类型。</w:t>
      </w:r>
    </w:p>
    <w:p>
      <w:pPr>
        <w:pStyle w:val="ListBullet"/>
      </w:pPr>
      <w:r>
        <w:t>推进养老保险与养老服务的融合，鼓励保险公司开展养老社区、老年护理等产业延伸。</w:t>
      </w:r>
    </w:p>
    <w:p>
      <w:r>
        <w:rPr>
          <w:b/>
        </w:rPr>
        <w:t>3. 推进绿色金融与可持续保险发展</w:t>
      </w:r>
    </w:p>
    <w:p>
      <w:r>
        <w:t>应对气候变化与实现可持续发展目标需要保险业的深度参与。建议政府部门：</w:t>
      </w:r>
    </w:p>
    <w:p>
      <w:pPr>
        <w:pStyle w:val="ListBullet"/>
      </w:pPr>
      <w:r>
        <w:t>制定绿色保险的指导意见，鼓励保险公司开发气候风险、环境污染责任等创新保险产品。</w:t>
      </w:r>
    </w:p>
    <w:p>
      <w:pPr>
        <w:pStyle w:val="ListBullet"/>
      </w:pPr>
      <w:r>
        <w:t>在碳市场、新能源等政策支持产业中，通过保险机制降低项目融资成本。</w:t>
      </w:r>
    </w:p>
    <w:p>
      <w:pPr>
        <w:pStyle w:val="ListBullet"/>
      </w:pPr>
      <w:r>
        <w:t>建立气候风险数据库，为保险公司提供高质量的风险数据支撑。</w:t>
      </w:r>
    </w:p>
    <w:p>
      <w:r>
        <w:t>---</w:t>
      </w:r>
    </w:p>
    <w:p>
      <w:pPr>
        <w:pStyle w:val="Heading2"/>
      </w:pPr>
      <w:r>
        <w:t>参考文献</w:t>
      </w:r>
    </w:p>
    <w:p>
      <w:r>
        <w:t>[1] 瑞士再保险（Swiss Re）. (2024). Sigma Report: Global Insurance Market Outlook.</w:t>
      </w:r>
    </w:p>
    <w:p>
      <w:r>
        <w:t>[2] 世界银行. (2024). Global Insurance Market Review 2024.</w:t>
      </w:r>
    </w:p>
    <w:p>
      <w:r>
        <w:t>[3] 中国银保监会. (2024). 2024年保险市场统计数据与发展分析.</w:t>
      </w:r>
    </w:p>
    <w:p>
      <w:r>
        <w:t>[4] AM Best. (2024). World's Largest Insurance Groups by Non-Banking Assets.</w:t>
      </w:r>
    </w:p>
    <w:p>
      <w:r>
        <w:t>[5] 《财富》杂志. (2025). Fortune Global 500 2025.</w:t>
      </w:r>
    </w:p>
    <w:p>
      <w:r>
        <w:t>[6] 中国银保监会. (2024). 保险公司偿付能力季度报告汇总数据.</w:t>
      </w:r>
    </w:p>
    <w:p>
      <w:r>
        <w:t>[7] Interbrand. (2025). Best Global Brands 2025.</w:t>
      </w:r>
    </w:p>
    <w:p>
      <w:r>
        <w:t>[8] AM Best. (2024). Financial Strength Rating: Berkshire Hathaway Inc.</w:t>
      </w:r>
    </w:p>
    <w:p>
      <w:r>
        <w:t>[9] 标普全球市场财智(S&amp;P Global Market Intelligence). (2025). Global Top 50 Life Insurance Companies by Policy Reserves.</w:t>
      </w:r>
    </w:p>
    <w:p>
      <w:r>
        <w:t>[10] 2025年《财富》世界500强排行榜.</w:t>
      </w:r>
    </w:p>
    <w:p>
      <w:r>
        <w:t>[11] 中国银保监会. (2024). 保险公司偿付能力监管规则及季度披露数据.</w:t>
      </w:r>
    </w:p>
    <w:p>
      <w:r>
        <w:t>[12] Interbrand. (2025). Brand Valuation Methodology: Insurance Sector Analysis.</w:t>
      </w:r>
    </w:p>
    <w:p>
      <w:r>
        <w:t>[13] 中国人寿保险股份有限公司. (2025). 2024年度财务报告.</w:t>
      </w:r>
    </w:p>
    <w:p>
      <w:r>
        <w:t>[14] 中国银保监会. (2024). 金融供给侧结构性改革推进情况报告.</w:t>
      </w:r>
    </w:p>
    <w:p>
      <w:r>
        <w:t>[15] 中国银保监会. (2024). 养老保险第三支柱建设推进报告.</w:t>
      </w:r>
    </w:p>
    <w:p>
      <w:r>
        <w:t>---</w:t>
      </w:r>
    </w:p>
    <w:p>
      <w:r>
        <w:rPr>
          <w:b/>
        </w:rPr>
        <w:t>报告撰写日期：2026年1月</w:t>
      </w:r>
    </w:p>
    <w:p>
      <w:r>
        <w:rPr>
          <w:b/>
        </w:rPr>
        <w:t>报告版本：1.0（定稿版）</w:t>
      </w:r>
    </w:p>
    <w:p>
      <w:r>
        <w:rPr>
          <w:b/>
        </w:rPr>
        <w:t>数据基准日期：2024年末至2025年初</w:t>
      </w:r>
    </w:p>
    <w:p>
      <w:r>
        <w:t>本报告基于公开发布的权威机构数据与各公司财务报告编制，仅供参考。投资者应在充分了解市场风险的基础上，进行独立的投资决策。本报告所涉观点不构成投资建议。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