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E1BE1">
      <w:pPr>
        <w:spacing w:before="315" w:after="105" w:line="360" w:lineRule="auto"/>
        <w:ind w:left="-30"/>
        <w:jc w:val="left"/>
      </w:pPr>
      <w:bookmarkStart w:id="0" w:name="国际综合实力前十保险公司评估与发展潜力分析报告"/>
      <w:bookmarkStart w:id="141" w:name="_GoBack"/>
      <w:bookmarkEnd w:id="141"/>
      <w:r>
        <w:rPr>
          <w:rFonts w:ascii="inter" w:hAnsi="inter" w:eastAsia="inter" w:cs="inter"/>
          <w:b/>
          <w:color w:val="000000"/>
          <w:sz w:val="24"/>
        </w:rPr>
        <w:t>国际综合实力前十保险公司评估与发展潜力分析报告</w:t>
      </w:r>
      <w:bookmarkEnd w:id="0"/>
    </w:p>
    <w:p w14:paraId="18A7B062">
      <w:pPr>
        <w:spacing w:before="315" w:after="105" w:line="360" w:lineRule="auto"/>
        <w:ind w:left="-30"/>
        <w:jc w:val="left"/>
      </w:pPr>
      <w:bookmarkStart w:id="1" w:name="概述与核心发现"/>
      <w:r>
        <w:rPr>
          <w:rFonts w:ascii="inter" w:hAnsi="inter" w:eastAsia="inter" w:cs="inter"/>
          <w:b/>
          <w:color w:val="000000"/>
          <w:sz w:val="24"/>
        </w:rPr>
        <w:t>概述与核心发现</w:t>
      </w:r>
      <w:bookmarkEnd w:id="1"/>
    </w:p>
    <w:p w14:paraId="7FE376D5">
      <w:pPr>
        <w:spacing w:after="210" w:line="360" w:lineRule="auto"/>
      </w:pPr>
      <w:r>
        <w:rPr>
          <w:rFonts w:ascii="inter" w:hAnsi="inter" w:eastAsia="inter" w:cs="inter"/>
          <w:color w:val="000000"/>
        </w:rPr>
        <w:t>基于2024-2025年最新数据，全球综合实力前十的保险集团已明确形成国际竞争格局。按总资产规模，伯克希尔·哈撒韦公司（1.154万亿美元）已于2025年1月超越长期领导者安联集团（1.088万亿美元），成为全球最大保险集团。中国的两家保险龙头——中国人寿和平安保险——凭借强劲的增长动能，稳健占据全球前四位置，并展现出超越西方传统强势集团的上升趋势。</w:t>
      </w:r>
      <w:bookmarkStart w:id="2" w:name="fnref1"/>
      <w:bookmarkEnd w:id="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" w:name="fnref2"/>
      <w:bookmarkEnd w:id="3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4" w:name="fnref3"/>
      <w:bookmarkEnd w:id="4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76E9CB5">
      <w:pPr>
        <w:spacing w:before="315" w:after="105" w:line="360" w:lineRule="auto"/>
        <w:ind w:left="-30"/>
        <w:jc w:val="left"/>
      </w:pPr>
      <w:bookmarkStart w:id="5" w:name="前十排名全景_按总资产规模"/>
      <w:r>
        <w:rPr>
          <w:rFonts w:ascii="inter" w:hAnsi="inter" w:eastAsia="inter" w:cs="inter"/>
          <w:b/>
          <w:color w:val="000000"/>
          <w:sz w:val="24"/>
        </w:rPr>
        <w:t>前十排名全景（按总资产规模）</w:t>
      </w:r>
      <w:bookmarkEnd w:id="5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665"/>
        <w:gridCol w:w="1680"/>
        <w:gridCol w:w="830"/>
        <w:gridCol w:w="1850"/>
        <w:gridCol w:w="1005"/>
      </w:tblGrid>
      <w:tr w14:paraId="7DB389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4EEEC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排名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74707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公司名称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809CF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国家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3A020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总资产（十亿美元）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51D742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所属地区</w:t>
            </w:r>
          </w:p>
        </w:tc>
      </w:tr>
      <w:tr w14:paraId="11A4E3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2310D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8874A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伯克希尔·哈撒韦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0E0B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美国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1F7B6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1,153.88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FF15A3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北美</w:t>
            </w:r>
          </w:p>
        </w:tc>
      </w:tr>
      <w:tr w14:paraId="1D23DA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7414C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38D51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安联集团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8AC47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德国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1F0D1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1,088.16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702417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欧洲</w:t>
            </w:r>
          </w:p>
        </w:tc>
      </w:tr>
      <w:tr w14:paraId="1D7AF2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30B00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013C8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中国人寿集团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B081B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中国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7A53B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1,024.51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E4D9EF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亚洲</w:t>
            </w:r>
          </w:p>
        </w:tc>
      </w:tr>
      <w:tr w14:paraId="61606C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A3B44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C594B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平安保险集团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3CC3C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中国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48C14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984.67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149C58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亚洲</w:t>
            </w:r>
          </w:p>
        </w:tc>
      </w:tr>
      <w:tr w14:paraId="0A3416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1E285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9BE18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普信金融公司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BC9AE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美国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10562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735.59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4E1DBB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北美</w:t>
            </w:r>
          </w:p>
        </w:tc>
      </w:tr>
      <w:tr w14:paraId="5002BB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5AF79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D89BA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英杰华集团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5DA3F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英国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1810C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683.87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D2B244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欧洲</w:t>
            </w:r>
          </w:p>
        </w:tc>
      </w:tr>
      <w:tr w14:paraId="202D82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F6698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7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20104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安盛集团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70ABC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法国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623EA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681.04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50FE53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欧洲</w:t>
            </w:r>
          </w:p>
        </w:tc>
      </w:tr>
      <w:tr w14:paraId="23DEA3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48605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E9840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宏利金融集团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E2B72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加拿大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1C8CD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680.51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FCC212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北美</w:t>
            </w:r>
          </w:p>
        </w:tc>
      </w:tr>
      <w:tr w14:paraId="3C1F7A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703F1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9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55349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大都会人寿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FDDDF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美国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02B2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677.46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A474FF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北美</w:t>
            </w:r>
          </w:p>
        </w:tc>
      </w:tr>
      <w:tr w14:paraId="7AA2E5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DD9AF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92167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印度人寿保险公司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88CA8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印度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65120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657.54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4F051C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亚洲</w:t>
            </w:r>
          </w:p>
        </w:tc>
      </w:tr>
    </w:tbl>
    <w:p w14:paraId="491527BC"/>
    <w:p w14:paraId="21347EC5"/>
    <w:p w14:paraId="50D90CDF">
      <w:pPr>
        <w:spacing w:after="210" w:line="360" w:lineRule="auto"/>
      </w:pPr>
      <w:r>
        <w:rPr>
          <w:rFonts w:ascii="inter" w:hAnsi="inter" w:eastAsia="inter" w:cs="inter"/>
          <w:color w:val="000000"/>
        </w:rPr>
        <w:t>Top 10 Global Insurance Companies: Comparative Financial Metrics (2024-2025)</w:t>
      </w:r>
    </w:p>
    <w:p w14:paraId="1061C1B5">
      <w:pPr>
        <w:spacing w:before="315" w:after="105" w:line="360" w:lineRule="auto"/>
        <w:ind w:left="-30"/>
        <w:jc w:val="left"/>
      </w:pPr>
      <w:bookmarkStart w:id="6" w:name="多维度横向比较分析"/>
      <w:r>
        <w:rPr>
          <w:rFonts w:ascii="inter" w:hAnsi="inter" w:eastAsia="inter" w:cs="inter"/>
          <w:b/>
          <w:color w:val="000000"/>
          <w:sz w:val="24"/>
        </w:rPr>
        <w:t>多维度横向比较分析</w:t>
      </w:r>
      <w:bookmarkEnd w:id="6"/>
    </w:p>
    <w:p w14:paraId="00A2C0E1">
      <w:pPr>
        <w:spacing w:before="315" w:after="105" w:line="360" w:lineRule="auto"/>
        <w:ind w:left="-30"/>
        <w:jc w:val="left"/>
      </w:pPr>
      <w:bookmarkStart w:id="7" w:name="一_融资能力与资本充足性"/>
      <w:r>
        <w:rPr>
          <w:rFonts w:ascii="inter" w:hAnsi="inter" w:eastAsia="inter" w:cs="inter"/>
          <w:b/>
          <w:color w:val="000000"/>
          <w:sz w:val="24"/>
        </w:rPr>
        <w:t>一、融资能力与资本充足性</w:t>
      </w:r>
      <w:bookmarkEnd w:id="7"/>
    </w:p>
    <w:p w14:paraId="7AB371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伯克希尔·哈撒韦</w:t>
      </w:r>
      <w:r>
        <w:rPr>
          <w:rFonts w:ascii="inter" w:hAnsi="inter" w:eastAsia="inter" w:cs="inter"/>
          <w:color w:val="000000"/>
        </w:rPr>
        <w:t>拥有业界最强的财务灵活性。集团于2024年底达到创纪录的3,340亿美元现金储备，保险承保利润达90亿美元，较2023年增长66%。其三大保险业务（GEICO、伯克希尔直保、再保险部）全部实现承保利润，核心分支评级为AA+（标准普尔）和A++（美国最佳）。</w:t>
      </w:r>
      <w:bookmarkStart w:id="8" w:name="fnref4"/>
      <w:bookmarkEnd w:id="8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9" w:name="fnref5"/>
      <w:bookmarkEnd w:id="9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0" w:name="fnref6"/>
      <w:bookmarkEnd w:id="10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410CEA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安联集团</w:t>
      </w:r>
      <w:r>
        <w:rPr>
          <w:rFonts w:ascii="inter" w:hAnsi="inter" w:eastAsia="inter" w:cs="inter"/>
          <w:color w:val="000000"/>
        </w:rPr>
        <w:t>实行严格的资本管理政策，2024年溶解比率维持209%，远超监管要求。集团采取最低75%分红比率政策，保证资本充足的同时向股东返还价值。2024年运营利润增长9%达86亿欧元，其中财产意外险（P&amp;C）部门增长12%，人寿与健康保险增长5%。</w:t>
      </w:r>
      <w:bookmarkStart w:id="11" w:name="fnref7"/>
      <w:bookmarkEnd w:id="11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2" w:name="fnref8"/>
      <w:bookmarkEnd w:id="12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3" w:name="fnref9"/>
      <w:bookmarkEnd w:id="13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4" w:name="fnref10"/>
      <w:bookmarkEnd w:id="14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BB9FC3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中国人寿集团</w:t>
      </w:r>
      <w:r>
        <w:rPr>
          <w:rFonts w:ascii="inter" w:hAnsi="inter" w:eastAsia="inter" w:cs="inter"/>
          <w:color w:val="000000"/>
        </w:rPr>
        <w:t>总资产达6.48万亿人民币（截至2024年Q3），资本充足率强健：核心溶解比154.58%，综合溶解比211.64%。2024年全年收入同比增长10.6%，达1.141万亿元人民币，投资收益大幅增长。集团正积极调整资产负债匹配策略，强化长期投资和价值投资理念。</w:t>
      </w:r>
      <w:bookmarkStart w:id="15" w:name="fnref11"/>
      <w:bookmarkEnd w:id="15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6" w:name="fnref12"/>
      <w:bookmarkEnd w:id="16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7" w:name="fnref13"/>
      <w:bookmarkEnd w:id="17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82B723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平安保险集团</w:t>
      </w:r>
      <w:r>
        <w:rPr>
          <w:rFonts w:ascii="inter" w:hAnsi="inter" w:eastAsia="inter" w:cs="inter"/>
          <w:color w:val="000000"/>
        </w:rPr>
        <w:t>2024年总资产达9,846.74亿美元，增长率19.9%，为前十公司中增长最快者。经营利润同比增长9.1%至1,218.62亿元人民币，净利润增长47.8%至1,266.07亿元。集团保险基金投资收益率达5.8%（综合投资收益率），较上年提高2.2个百分点。</w:t>
      </w:r>
      <w:bookmarkStart w:id="18" w:name="fnref12_1"/>
      <w:bookmarkEnd w:id="18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9" w:name="fnref11_1"/>
      <w:bookmarkEnd w:id="19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ACB0C7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普信金融、英杰华、安盛、宏利、大都会人寿</w:t>
      </w:r>
      <w:r>
        <w:rPr>
          <w:rFonts w:ascii="inter" w:hAnsi="inter" w:eastAsia="inter" w:cs="inter"/>
          <w:color w:val="000000"/>
        </w:rPr>
        <w:t>等西方传统强势保险集团均维持稳健的资本地位。普信金融2024年税后调整后营业收入增长4.7%，集团分红及回购支出近30亿美元。宏利集团亚洲地区核心收益较2023年增长27%，新业务价值增长35%。</w:t>
      </w:r>
      <w:bookmarkStart w:id="20" w:name="fnref14"/>
      <w:bookmarkEnd w:id="20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1" w:name="fnref15"/>
      <w:bookmarkEnd w:id="21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2" w:name="fnref16"/>
      <w:bookmarkEnd w:id="22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17ECEAD">
      <w:pPr>
        <w:spacing w:before="315" w:after="105" w:line="360" w:lineRule="auto"/>
        <w:ind w:left="-30"/>
        <w:jc w:val="left"/>
      </w:pPr>
      <w:bookmarkStart w:id="23" w:name="二_信誉度与财务评级"/>
      <w:r>
        <w:rPr>
          <w:rFonts w:ascii="inter" w:hAnsi="inter" w:eastAsia="inter" w:cs="inter"/>
          <w:b/>
          <w:color w:val="000000"/>
          <w:sz w:val="24"/>
        </w:rPr>
        <w:t>二、信誉度与财务评级</w:t>
      </w:r>
      <w:bookmarkEnd w:id="23"/>
    </w:p>
    <w:p w14:paraId="4B6D90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顶级财务强度评级者</w:t>
      </w:r>
      <w:r>
        <w:rPr>
          <w:rFonts w:ascii="inter" w:hAnsi="inter" w:eastAsia="inter" w:cs="inter"/>
          <w:color w:val="000000"/>
        </w:rPr>
        <w:t>：</w:t>
      </w:r>
    </w:p>
    <w:p w14:paraId="3F497CEA">
      <w:pPr>
        <w:spacing w:after="210" w:line="360" w:lineRule="auto"/>
      </w:pPr>
      <w:r>
        <w:rPr>
          <w:rFonts w:ascii="inter" w:hAnsi="inter" w:eastAsia="inter" w:cs="inter"/>
          <w:color w:val="000000"/>
        </w:rPr>
        <w:t>安联、伯克希尔、平安、中国人寿等四家集团获得三大评级机构的一致高评。安联目前评级为：标准普尔AA（稳定）、穆迪Aa2（稳定）、美国最佳A+（稳定）。伯克希尔享受AA+（标准普尔）、A++（美国最佳）评级。</w:t>
      </w:r>
      <w:bookmarkStart w:id="24" w:name="fnref8_1"/>
      <w:bookmarkEnd w:id="24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5" w:name="fnref5_1"/>
      <w:bookmarkEnd w:id="25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6" w:name="fnref10_1"/>
      <w:bookmarkEnd w:id="26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1DFA1F0">
      <w:pPr>
        <w:spacing w:after="210" w:line="360" w:lineRule="auto"/>
      </w:pPr>
      <w:r>
        <w:rPr>
          <w:rFonts w:ascii="inter" w:hAnsi="inter" w:eastAsia="inter" w:cs="inter"/>
          <w:color w:val="000000"/>
        </w:rPr>
        <w:t>安盛集团于2025年9月获得穆迪升级至Aa2（从Aa3），同时标准普尔维持AA-评级（正面展望），美国最佳维持A+评级。穆迪特别强调安盛的商业概况增强、盈利能力提升和资本地位稳健。</w:t>
      </w:r>
      <w:bookmarkStart w:id="27" w:name="fnref17"/>
      <w:bookmarkEnd w:id="27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8" w:name="fnref18"/>
      <w:bookmarkEnd w:id="28"/>
      <w:r>
        <w:fldChar w:fldCharType="begin"/>
      </w:r>
      <w:r>
        <w:instrText xml:space="preserve"> HYPERLINK \l "fn18"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F639AE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中国监管体系信誉</w:t>
      </w:r>
      <w:r>
        <w:rPr>
          <w:rFonts w:ascii="inter" w:hAnsi="inter" w:eastAsia="inter" w:cs="inter"/>
          <w:color w:val="000000"/>
        </w:rPr>
        <w:t>：中国人寿和平安均在中国银保监会严格监管框架下运营，定期接受偿付能力测试。两家公司均获得市场认可，平安保险连续9年获得全球最有价值保险品牌（Brand Finance）排名第一，中国人寿获得第二名。</w:t>
      </w:r>
      <w:bookmarkStart w:id="29" w:name="fnref19"/>
      <w:bookmarkEnd w:id="29"/>
      <w:r>
        <w:fldChar w:fldCharType="begin"/>
      </w:r>
      <w:r>
        <w:instrText xml:space="preserve"> HYPERLINK \l "fn19"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C84D99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印度人寿保险公司（LIC）</w:t>
      </w:r>
      <w:r>
        <w:rPr>
          <w:rFonts w:ascii="inter" w:hAnsi="inter" w:eastAsia="inter" w:cs="inter"/>
          <w:color w:val="000000"/>
        </w:rPr>
        <w:t>：作为印度最大保险公司，得到政府背书，具有主权信用支撑。公司于2024-25财年税后利润增长18.38%至481.51亿卢比，偿付能力比率高达1.98。</w:t>
      </w:r>
      <w:bookmarkStart w:id="30" w:name="fnref20"/>
      <w:bookmarkEnd w:id="30"/>
      <w:r>
        <w:fldChar w:fldCharType="begin"/>
      </w:r>
      <w:r>
        <w:instrText xml:space="preserve"> HYPERLINK \l "fn20"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1" w:name="fnref21"/>
      <w:bookmarkEnd w:id="31"/>
      <w:r>
        <w:fldChar w:fldCharType="begin"/>
      </w:r>
      <w:r>
        <w:instrText xml:space="preserve"> HYPERLINK \l "fn21"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2" w:name="fnref22"/>
      <w:bookmarkEnd w:id="32"/>
      <w:r>
        <w:fldChar w:fldCharType="begin"/>
      </w:r>
      <w:r>
        <w:instrText xml:space="preserve"> HYPERLINK \l "fn22"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8E5E800">
      <w:pPr>
        <w:spacing w:before="315" w:after="105" w:line="360" w:lineRule="auto"/>
        <w:ind w:left="-30"/>
        <w:jc w:val="left"/>
      </w:pPr>
      <w:bookmarkStart w:id="33" w:name="三_过往五年增长幅度对标"/>
      <w:r>
        <w:rPr>
          <w:rFonts w:ascii="inter" w:hAnsi="inter" w:eastAsia="inter" w:cs="inter"/>
          <w:b/>
          <w:color w:val="000000"/>
          <w:sz w:val="24"/>
        </w:rPr>
        <w:t>三、过往五年增长幅度对标</w:t>
      </w:r>
      <w:bookmarkEnd w:id="33"/>
    </w:p>
    <w:p w14:paraId="79656854">
      <w:pPr>
        <w:spacing w:after="0" w:line="360" w:lineRule="auto"/>
        <w:jc w:val="center"/>
      </w:pPr>
      <w:r>
        <w:rPr>
          <w:rFonts w:ascii="inter" w:hAnsi="inter" w:eastAsia="inter" w:cs="inter"/>
          <w:color w:val="000000"/>
        </w:rPr>
        <w:drawing>
          <wp:inline distT="0" distB="0" distL="0" distR="0">
            <wp:extent cx="952500" cy="952500"/>
            <wp:effectExtent l="0" t="0" r="0" b="0"/>
            <wp:docPr id="2" name="image-not-found.png" descr="Profit Growth Momentum: Top 10 Global Insurers 2024 (by percentage increas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not-found.png" descr="Profit Growth Momentum: Top 10 Global Insurers 2024 (by percentage increase)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06C4">
      <w:pPr>
        <w:spacing w:after="210" w:line="360" w:lineRule="auto"/>
      </w:pPr>
      <w:r>
        <w:rPr>
          <w:rFonts w:ascii="inter" w:hAnsi="inter" w:eastAsia="inter" w:cs="inter"/>
          <w:color w:val="000000"/>
        </w:rPr>
        <w:t>Profit Growth Momentum: Top 10 Global Insurers 2024 (by percentage increase)</w:t>
      </w:r>
    </w:p>
    <w:p w14:paraId="14AF469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超高速增长阵营</w:t>
      </w:r>
      <w:r>
        <w:rPr>
          <w:rFonts w:ascii="inter" w:hAnsi="inter" w:eastAsia="inter" w:cs="inter"/>
          <w:color w:val="000000"/>
        </w:rPr>
        <w:t>：</w:t>
      </w:r>
    </w:p>
    <w:p w14:paraId="25C5B9E3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中国人寿</w:t>
      </w:r>
      <w:r>
        <w:rPr>
          <w:rFonts w:ascii="inter" w:hAnsi="inter" w:eastAsia="inter" w:cs="inter"/>
          <w:color w:val="000000"/>
          <w:sz w:val="21"/>
        </w:rPr>
        <w:t>：2024年Q3净利润同比增长174%（1,045亿元），前三季度新业务价值增长25.1%。这一增速在全球保险业中罕见，主要驱动因素为：(1)产品创新成效显著，长期正常保费占比提升至46%；(2)销售队伍生产率提高17.7%；(3)投资收益大幅回升，Q3单季投资收益增速152%。从2019-2024五年维度，公司总资产复合增长率约8-10%。</w:t>
      </w:r>
      <w:bookmarkStart w:id="34" w:name="fnref13_1"/>
      <w:bookmarkEnd w:id="34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35" w:name="fnref23"/>
      <w:bookmarkEnd w:id="35"/>
      <w:r>
        <w:fldChar w:fldCharType="begin"/>
      </w:r>
      <w:r>
        <w:instrText xml:space="preserve"> HYPERLINK \l "fn23"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[23]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584BCC90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平安保险</w:t>
      </w:r>
      <w:r>
        <w:rPr>
          <w:rFonts w:ascii="inter" w:hAnsi="inter" w:eastAsia="inter" w:cs="inter"/>
          <w:color w:val="000000"/>
          <w:sz w:val="21"/>
        </w:rPr>
        <w:t>：2024年全年净利润增长47.8%（1,266.07亿元），资产规模增长19.9%。新业务价值增长28.8%，新客户获取增长9.8%至3,207万。从近五年看，公司已从传统保险商演变为"保险+科技+健康养老"综合金融集团，增长动能持续强劲。</w:t>
      </w:r>
      <w:bookmarkStart w:id="36" w:name="fnref11_2"/>
      <w:bookmarkEnd w:id="36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37" w:name="fnref12_2"/>
      <w:bookmarkEnd w:id="37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1FD99B9C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伯克希尔·哈撒韦</w:t>
      </w:r>
      <w:r>
        <w:rPr>
          <w:rFonts w:ascii="inter" w:hAnsi="inter" w:eastAsia="inter" w:cs="inter"/>
          <w:color w:val="000000"/>
          <w:sz w:val="21"/>
        </w:rPr>
        <w:t>：2024年运营收益增长27%，保险承保利润增长66%。过去20年，保险业务累计税后承保利润达320亿美元，浮存金从460亿美元增至1,710亿美元。集团采取"浮存金成本为零"的经营模式，使保险业务成为长期价值创造引擎。</w:t>
      </w:r>
      <w:bookmarkStart w:id="38" w:name="fnref4_1"/>
      <w:bookmarkEnd w:id="38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39" w:name="fnref5_2"/>
      <w:bookmarkEnd w:id="39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40" w:name="fnref24"/>
      <w:bookmarkEnd w:id="40"/>
      <w:r>
        <w:fldChar w:fldCharType="begin"/>
      </w:r>
      <w:r>
        <w:instrText xml:space="preserve"> HYPERLINK \l "fn24"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775F8A4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稳健增长阵营</w:t>
      </w:r>
      <w:r>
        <w:rPr>
          <w:rFonts w:ascii="inter" w:hAnsi="inter" w:eastAsia="inter" w:cs="inter"/>
          <w:color w:val="000000"/>
        </w:rPr>
        <w:t>：</w:t>
      </w:r>
    </w:p>
    <w:p w14:paraId="0645197D">
      <w:pPr>
        <w:numPr>
          <w:ilvl w:val="0"/>
          <w:numId w:val="2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安联集团</w:t>
      </w:r>
      <w:r>
        <w:rPr>
          <w:rFonts w:ascii="inter" w:hAnsi="inter" w:eastAsia="inter" w:cs="inter"/>
          <w:color w:val="000000"/>
          <w:sz w:val="21"/>
        </w:rPr>
        <w:t>：2024年保险收入增长7%达977亿欧元。2024年上半年运营利润增长9%至86亿欧元，其中P&amp;C增长12%至45亿欧元。从历史看，公司五年平均ROE约16.9%，体现了欧洲保险龙头的稳定成长性。</w:t>
      </w:r>
      <w:bookmarkStart w:id="41" w:name="fnref25"/>
      <w:bookmarkEnd w:id="41"/>
      <w:r>
        <w:fldChar w:fldCharType="begin"/>
      </w:r>
      <w:r>
        <w:instrText xml:space="preserve"> HYPERLINK \l "fn25"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[25]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42" w:name="fnref9_1"/>
      <w:bookmarkEnd w:id="42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63D7085">
      <w:pPr>
        <w:numPr>
          <w:ilvl w:val="0"/>
          <w:numId w:val="2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印度人寿保险公司</w:t>
      </w:r>
      <w:r>
        <w:rPr>
          <w:rFonts w:ascii="inter" w:hAnsi="inter" w:eastAsia="inter" w:cs="inter"/>
          <w:color w:val="000000"/>
          <w:sz w:val="21"/>
        </w:rPr>
        <w:t>：2024-25财年净利润增长18.38%，新业务价值增长4.47%。作为印度最大保险公司，受益于印度经济高速增长和保险渗透率提升，五年平均资产增速在6-7%。</w:t>
      </w:r>
      <w:bookmarkStart w:id="43" w:name="fnref20_1"/>
      <w:bookmarkEnd w:id="43"/>
      <w:r>
        <w:fldChar w:fldCharType="begin"/>
      </w:r>
      <w:r>
        <w:instrText xml:space="preserve"> HYPERLINK \l "fn20"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[20]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44" w:name="fnref21_1"/>
      <w:bookmarkEnd w:id="44"/>
      <w:r>
        <w:fldChar w:fldCharType="begin"/>
      </w:r>
      <w:r>
        <w:instrText xml:space="preserve"> HYPERLINK \l "fn21"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12E5CA7">
      <w:pPr>
        <w:numPr>
          <w:ilvl w:val="0"/>
          <w:numId w:val="2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安盛集团</w:t>
      </w:r>
      <w:r>
        <w:rPr>
          <w:rFonts w:ascii="inter" w:hAnsi="inter" w:eastAsia="inter" w:cs="inter"/>
          <w:color w:val="000000"/>
          <w:sz w:val="21"/>
        </w:rPr>
        <w:t>：2024年基础收益增长11%达81亿欧元，全年税后净收入同比增长10%。过去两年（2023-2024）资本收益率均维持9%左右，高于同业平均的6%水平。</w:t>
      </w:r>
      <w:bookmarkStart w:id="45" w:name="fnref26"/>
      <w:bookmarkEnd w:id="45"/>
      <w:r>
        <w:fldChar w:fldCharType="begin"/>
      </w:r>
      <w:r>
        <w:instrText xml:space="preserve"> HYPERLINK \l "fn26"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46" w:name="fnref17_1"/>
      <w:bookmarkEnd w:id="46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[17]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E0BA7EA">
      <w:pPr>
        <w:numPr>
          <w:ilvl w:val="0"/>
          <w:numId w:val="2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宏利金融</w:t>
      </w:r>
      <w:r>
        <w:rPr>
          <w:rFonts w:ascii="inter" w:hAnsi="inter" w:eastAsia="inter" w:cs="inter"/>
          <w:color w:val="000000"/>
          <w:sz w:val="21"/>
        </w:rPr>
        <w:t>：2024年全年净收入增长5%达54亿美元，亚洲地区核心收益增长27%。宏利在东南亚、日本、中国等高增长市场的扩张显著，新业务价值增长35%。</w:t>
      </w:r>
      <w:bookmarkStart w:id="47" w:name="fnref15_1"/>
      <w:bookmarkEnd w:id="47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48" w:name="fnref16_1"/>
      <w:bookmarkEnd w:id="48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074A80A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温和增长阵营</w:t>
      </w:r>
      <w:r>
        <w:rPr>
          <w:rFonts w:ascii="inter" w:hAnsi="inter" w:eastAsia="inter" w:cs="inter"/>
          <w:color w:val="000000"/>
        </w:rPr>
        <w:t>：</w:t>
      </w:r>
    </w:p>
    <w:p w14:paraId="06CB5B3C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普信金融、大都会人寿、英杰华集团</w:t>
      </w:r>
      <w:r>
        <w:rPr>
          <w:rFonts w:ascii="inter" w:hAnsi="inter" w:eastAsia="inter" w:cs="inter"/>
          <w:color w:val="000000"/>
          <w:sz w:val="21"/>
        </w:rPr>
        <w:t>等传统北美和欧洲保险集团，因基数庞大、市场成熟，五年平均增速在3-6%区间，但盈利能力和分红稳定性突出。</w:t>
      </w:r>
      <w:bookmarkStart w:id="49" w:name="fnref14_1"/>
      <w:bookmarkEnd w:id="49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50" w:name="fnref27"/>
      <w:bookmarkEnd w:id="50"/>
      <w:r>
        <w:fldChar w:fldCharType="begin"/>
      </w:r>
      <w:r>
        <w:instrText xml:space="preserve"> HYPERLINK \l "fn27"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[27]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51" w:name="fnref28"/>
      <w:bookmarkEnd w:id="51"/>
      <w:r>
        <w:fldChar w:fldCharType="begin"/>
      </w:r>
      <w:r>
        <w:instrText xml:space="preserve"> HYPERLINK \l "fn28"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F0BF979">
      <w:pPr>
        <w:spacing w:before="315" w:after="105" w:line="360" w:lineRule="auto"/>
        <w:ind w:left="-30"/>
        <w:jc w:val="left"/>
      </w:pPr>
      <w:bookmarkStart w:id="52" w:name="四_实际分红与股东回报"/>
      <w:r>
        <w:rPr>
          <w:rFonts w:ascii="inter" w:hAnsi="inter" w:eastAsia="inter" w:cs="inter"/>
          <w:b/>
          <w:color w:val="000000"/>
          <w:sz w:val="24"/>
        </w:rPr>
        <w:t>四、实际分红与股东回报</w:t>
      </w:r>
      <w:bookmarkEnd w:id="52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57"/>
        <w:gridCol w:w="3857"/>
        <w:gridCol w:w="2742"/>
        <w:gridCol w:w="1684"/>
      </w:tblGrid>
      <w:tr w14:paraId="5FA0B7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BA52B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公司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ADCE3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最新分红政策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9FCAF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分红收益率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CDEFF5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持续增长年数</w:t>
            </w:r>
          </w:p>
        </w:tc>
      </w:tr>
      <w:tr w14:paraId="05C3FF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139C0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伯克希尔·哈撒韦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32278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以股份回购为主，2024年未支付现金股息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F3CA6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~0.1%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9D77DA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长期回购计划</w:t>
            </w:r>
          </w:p>
        </w:tc>
      </w:tr>
      <w:tr w14:paraId="6C4614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A35A2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安联集团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F112C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最低75%分红比率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90F3B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4.2%（2024年€15.40/股）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51117E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连续20+年</w:t>
            </w:r>
          </w:p>
        </w:tc>
      </w:tr>
      <w:tr w14:paraId="4054A4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A97EE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中国人寿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9E260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37.9%分红比率（以经营利润计）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014EA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2.0%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B80797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逐年增长</w:t>
            </w:r>
          </w:p>
        </w:tc>
      </w:tr>
      <w:tr w14:paraId="59BF1D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5FA9F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平安保险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CE46F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37.9%分红比率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53482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1.8%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C19EDA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连续13年增长</w:t>
            </w:r>
          </w:p>
        </w:tc>
      </w:tr>
      <w:tr w14:paraId="3EABD5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28D5E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普信金融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A9AA9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逐年增长，2025年加息4%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01301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3.0%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260E17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连续17年增长</w:t>
            </w:r>
          </w:p>
        </w:tc>
      </w:tr>
      <w:tr w14:paraId="2B0B9C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BF083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英杰华集团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11704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稳定政策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95A49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3.5%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2D5568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长期稳定</w:t>
            </w:r>
          </w:p>
        </w:tc>
      </w:tr>
      <w:tr w14:paraId="1E2E1B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140DF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安盛集团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461ED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股息+回购，2024上半年已回购7.11亿美元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4CBC9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3.8%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D6A50B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持续增长</w:t>
            </w:r>
          </w:p>
        </w:tc>
      </w:tr>
      <w:tr w14:paraId="5B0F33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62254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宏利金融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49E58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稳定派息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5AB7E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2.5%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AEB015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历史悠久</w:t>
            </w:r>
          </w:p>
        </w:tc>
      </w:tr>
      <w:tr w14:paraId="72FD91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D7D90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大都会人寿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3B682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持续派息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79E7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2.8%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4B1CC9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历史悠久</w:t>
            </w:r>
          </w:p>
        </w:tc>
      </w:tr>
      <w:tr w14:paraId="4A5959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ED5C5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印度人寿保险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261AF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Rs.12/股（2024-25财年）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2B67C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1.4%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2161C0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新上市后快速增长</w:t>
            </w:r>
          </w:p>
        </w:tc>
      </w:tr>
    </w:tbl>
    <w:p w14:paraId="053E7369"/>
    <w:p w14:paraId="0F61D56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核心观察</w:t>
      </w:r>
      <w:r>
        <w:rPr>
          <w:rFonts w:ascii="inter" w:hAnsi="inter" w:eastAsia="inter" w:cs="inter"/>
          <w:color w:val="000000"/>
        </w:rPr>
        <w:t>：</w:t>
      </w:r>
      <w:bookmarkStart w:id="53" w:name="fnref7_1"/>
      <w:bookmarkEnd w:id="53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4" w:name="fnref12_3"/>
      <w:bookmarkEnd w:id="54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5" w:name="fnref29"/>
      <w:bookmarkEnd w:id="55"/>
      <w:r>
        <w:fldChar w:fldCharType="begin"/>
      </w:r>
      <w:r>
        <w:instrText xml:space="preserve"> HYPERLINK \l "fn29"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6" w:name="fnref30"/>
      <w:bookmarkEnd w:id="56"/>
      <w:r>
        <w:fldChar w:fldCharType="begin"/>
      </w:r>
      <w:r>
        <w:instrText xml:space="preserve"> HYPERLINK \l "fn30"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7" w:name="fnref22_1"/>
      <w:bookmarkEnd w:id="57"/>
      <w:r>
        <w:fldChar w:fldCharType="begin"/>
      </w:r>
      <w:r>
        <w:instrText xml:space="preserve"> HYPERLINK \l "fn22"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8" w:name="fnref27_1"/>
      <w:bookmarkEnd w:id="58"/>
      <w:r>
        <w:fldChar w:fldCharType="begin"/>
      </w:r>
      <w:r>
        <w:instrText xml:space="preserve"> HYPERLINK \l "fn27"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9" w:name="fnref28_1"/>
      <w:bookmarkEnd w:id="59"/>
      <w:r>
        <w:fldChar w:fldCharType="begin"/>
      </w:r>
      <w:r>
        <w:instrText xml:space="preserve"> HYPERLINK \l "fn28"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60" w:name="fnref20_2"/>
      <w:bookmarkEnd w:id="60"/>
      <w:r>
        <w:fldChar w:fldCharType="begin"/>
      </w:r>
      <w:r>
        <w:instrText xml:space="preserve"> HYPERLINK \l "fn20"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2E51471">
      <w:pPr>
        <w:spacing w:after="210" w:line="360" w:lineRule="auto"/>
      </w:pPr>
      <w:r>
        <w:rPr>
          <w:rFonts w:ascii="inter" w:hAnsi="inter" w:eastAsia="inter" w:cs="inter"/>
          <w:color w:val="000000"/>
        </w:rPr>
        <w:t>伯克希尔·哈撒韦虽不派发现金股息，但通过积极股份回购实现股东回报最大化，这一政策反映其优先用现金收购优质企业的战略取向。安联集团的75%强制分红比率是全球最慷慨的，每股€15.40的分红绝对金额也处业界领先。</w:t>
      </w:r>
    </w:p>
    <w:p w14:paraId="349BC408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中国人寿和平安的分红政策呈上升趋势——人寿2024年派息2.55元/股（+5% YoY），平安派息1.62元（最终）。两家公司均承诺在保证资本充足和业务发展的前提下持续提升分红，这对寻求稳定现金流的投资者颇具吸引力。</w:t>
      </w:r>
    </w:p>
    <w:p w14:paraId="7831EA1A">
      <w:pPr>
        <w:spacing w:after="210" w:line="360" w:lineRule="auto"/>
      </w:pPr>
      <w:r>
        <w:rPr>
          <w:rFonts w:ascii="inter" w:hAnsi="inter" w:eastAsia="inter" w:cs="inter"/>
          <w:color w:val="000000"/>
        </w:rPr>
        <w:t>普信金融以连续17年的分红增长（2025年再增4%）在北美保险业中独树一帜，彰显其卓越的盈利可持续性。</w:t>
      </w:r>
    </w:p>
    <w:p w14:paraId="3FCF0715">
      <w:pPr>
        <w:spacing w:before="315" w:after="105" w:line="360" w:lineRule="auto"/>
        <w:ind w:left="-30"/>
        <w:jc w:val="left"/>
      </w:pPr>
      <w:bookmarkStart w:id="61" w:name="五_中国市场发展潜力评估"/>
      <w:r>
        <w:rPr>
          <w:rFonts w:ascii="inter" w:hAnsi="inter" w:eastAsia="inter" w:cs="inter"/>
          <w:b/>
          <w:color w:val="000000"/>
          <w:sz w:val="24"/>
        </w:rPr>
        <w:t>五、中国市场发展潜力评估</w:t>
      </w:r>
      <w:bookmarkEnd w:id="61"/>
    </w:p>
    <w:p w14:paraId="304AA22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中国人寿集团</w:t>
      </w:r>
      <w:r>
        <w:rPr>
          <w:rFonts w:ascii="inter" w:hAnsi="inter" w:eastAsia="inter" w:cs="inter"/>
          <w:color w:val="000000"/>
        </w:rPr>
        <w:t>的潜力：</w:t>
      </w:r>
      <w:bookmarkStart w:id="62" w:name="fnref31"/>
      <w:bookmarkEnd w:id="62"/>
      <w:r>
        <w:fldChar w:fldCharType="begin"/>
      </w:r>
      <w:r>
        <w:instrText xml:space="preserve"> HYPERLINK \l "fn31"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63" w:name="fnref23_1"/>
      <w:bookmarkEnd w:id="63"/>
      <w:r>
        <w:fldChar w:fldCharType="begin"/>
      </w:r>
      <w:r>
        <w:instrText xml:space="preserve"> HYPERLINK \l "fn23"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64" w:name="fnref13_2"/>
      <w:bookmarkEnd w:id="64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3DAB5B6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国人寿是中国保险市场的绝对龙头，拥有最深的客户基础和销售渠道。2024年Q3单季净利润1,045亿元的记录性增长，反映了中国经济逐步复苏和保险需求释放的新动能。公司当前的长期正常保费占比从42%提升至46%，说明产品结构向高质量发展转变。</w:t>
      </w:r>
    </w:p>
    <w:p w14:paraId="0F6B4E11">
      <w:pPr>
        <w:spacing w:after="210" w:line="360" w:lineRule="auto"/>
      </w:pPr>
      <w:r>
        <w:rPr>
          <w:rFonts w:ascii="inter" w:hAnsi="inter" w:eastAsia="inter" w:cs="inter"/>
          <w:color w:val="000000"/>
        </w:rPr>
        <w:t>从市场潜力看，中国保险市场预计2025-2033年复合增长率为7.8%，市场规模从2025年的5.5万亿美元增至2033年的10万亿美元。中国人寿作为市场领导者，相比竞争对手更有条件捕获这一增长红利。特别是老龄化趋势推动的长期寿险和健康险需求，为公司的新产品线提供了广阔空间。</w:t>
      </w:r>
    </w:p>
    <w:p w14:paraId="58B0330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平安保险集团</w:t>
      </w:r>
      <w:r>
        <w:rPr>
          <w:rFonts w:ascii="inter" w:hAnsi="inter" w:eastAsia="inter" w:cs="inter"/>
          <w:color w:val="000000"/>
        </w:rPr>
        <w:t>的潜力：</w:t>
      </w:r>
      <w:bookmarkStart w:id="65" w:name="fnref32"/>
      <w:bookmarkEnd w:id="65"/>
      <w:r>
        <w:fldChar w:fldCharType="begin"/>
      </w:r>
      <w:r>
        <w:instrText xml:space="preserve"> HYPERLINK \l "fn32"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66" w:name="fnref12_4"/>
      <w:bookmarkEnd w:id="66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67" w:name="fnref11_3"/>
      <w:bookmarkEnd w:id="67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B92909A">
      <w:pPr>
        <w:spacing w:after="210" w:line="360" w:lineRule="auto"/>
      </w:pPr>
      <w:r>
        <w:rPr>
          <w:rFonts w:ascii="inter" w:hAnsi="inter" w:eastAsia="inter" w:cs="inter"/>
          <w:color w:val="000000"/>
        </w:rPr>
        <w:t>平安的"科技+保险+健康养老"双驱动战略已初见成效。2024年集团营运利润增长9.1%，净利润增长47.8%，远超同业。在粤港澳大湾区战略上，平安已为主力发展方向。新任联席首席执行官郭小涛明确表示，大湾区（含香港）是未来财富管理增长的核心区域。</w:t>
      </w:r>
    </w:p>
    <w:p w14:paraId="4B596722">
      <w:pPr>
        <w:spacing w:after="210" w:line="360" w:lineRule="auto"/>
      </w:pPr>
      <w:r>
        <w:rPr>
          <w:rFonts w:ascii="inter" w:hAnsi="inter" w:eastAsia="inter" w:cs="inter"/>
          <w:color w:val="000000"/>
        </w:rPr>
        <w:t>数据显示，COVID-19疫情后，内地访客购买香港保险产品的支出激增至590亿港元（76亿美元），占香港保险总销售额的33%。平安计划在香港引入人寿保险业务，预期这一动作将为集团开启千亿级新增收入口。加上平安在科技赋能、客户体验、产品创新方面的领先优势，其未来五年资产排名更新的概率最高。</w:t>
      </w:r>
    </w:p>
    <w:p w14:paraId="7DF694A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国际保险集团在华机遇</w:t>
      </w:r>
      <w:r>
        <w:rPr>
          <w:rFonts w:ascii="inter" w:hAnsi="inter" w:eastAsia="inter" w:cs="inter"/>
          <w:color w:val="000000"/>
        </w:rPr>
        <w:t>：</w:t>
      </w:r>
    </w:p>
    <w:p w14:paraId="6A95374E">
      <w:pPr>
        <w:spacing w:after="210" w:line="360" w:lineRule="auto"/>
      </w:pPr>
      <w:r>
        <w:rPr>
          <w:rFonts w:ascii="inter" w:hAnsi="inter" w:eastAsia="inter" w:cs="inter"/>
          <w:color w:val="000000"/>
        </w:rPr>
        <w:t>伯克希尔、安联、安盛等国际集团在华子公司业务规模相对有限，主要受制于外资股权比例限制（通常不超过50%）和监管壁垒。不过，随着中国金融开放加速，这些集团的再保险、资管、跨国企业保险等业务线仍有增长潜力。</w:t>
      </w:r>
    </w:p>
    <w:p w14:paraId="7DD0C7E5">
      <w:pPr>
        <w:spacing w:before="210" w:after="0" w:line="360" w:lineRule="auto"/>
      </w:pPr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44BFB13">
      <w:pPr>
        <w:spacing w:before="315" w:after="105" w:line="360" w:lineRule="auto"/>
        <w:ind w:left="-30"/>
        <w:jc w:val="left"/>
      </w:pPr>
      <w:bookmarkStart w:id="68" w:name="前景评估与投资建议"/>
      <w:r>
        <w:rPr>
          <w:rFonts w:ascii="inter" w:hAnsi="inter" w:eastAsia="inter" w:cs="inter"/>
          <w:b/>
          <w:color w:val="000000"/>
          <w:sz w:val="24"/>
        </w:rPr>
        <w:t>前景评估与投资建议</w:t>
      </w:r>
      <w:bookmarkEnd w:id="68"/>
    </w:p>
    <w:p w14:paraId="45E29A9A">
      <w:pPr>
        <w:spacing w:before="315" w:after="105" w:line="360" w:lineRule="auto"/>
        <w:ind w:left="-30"/>
        <w:jc w:val="left"/>
      </w:pPr>
      <w:bookmarkStart w:id="69" w:name="最有可能在未来资产排名靠前的2_3家公司"/>
      <w:r>
        <w:rPr>
          <w:rFonts w:ascii="inter" w:hAnsi="inter" w:eastAsia="inter" w:cs="inter"/>
          <w:b/>
          <w:color w:val="000000"/>
          <w:sz w:val="24"/>
        </w:rPr>
        <w:t>最有可能在未来资产排名靠前的2-3家公司</w:t>
      </w:r>
      <w:bookmarkEnd w:id="69"/>
    </w:p>
    <w:p w14:paraId="2CE7F1B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第一位：平安保险集团</w:t>
      </w:r>
      <w:r>
        <w:rPr>
          <w:rFonts w:ascii="inter" w:hAnsi="inter" w:eastAsia="inter" w:cs="inter"/>
          <w:color w:val="000000"/>
        </w:rPr>
        <w:t>（高度推荐）</w:t>
      </w:r>
    </w:p>
    <w:p w14:paraId="72C3AE8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理由</w:t>
      </w:r>
      <w:r>
        <w:rPr>
          <w:rFonts w:ascii="inter" w:hAnsi="inter" w:eastAsia="inter" w:cs="inter"/>
          <w:color w:val="000000"/>
        </w:rPr>
        <w:t>：</w:t>
      </w:r>
    </w:p>
    <w:p w14:paraId="18986FD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增长势头最凶猛</w:t>
      </w:r>
      <w:r>
        <w:rPr>
          <w:rFonts w:ascii="inter" w:hAnsi="inter" w:eastAsia="inter" w:cs="inter"/>
          <w:color w:val="000000"/>
          <w:sz w:val="21"/>
        </w:rPr>
        <w:t>：2024年净利润增长47.8%，资产增速19.9%，为前十公司中最高。</w:t>
      </w:r>
    </w:p>
    <w:p w14:paraId="1A7F4ADE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战略布局最清晰</w:t>
      </w:r>
      <w:r>
        <w:rPr>
          <w:rFonts w:ascii="inter" w:hAnsi="inter" w:eastAsia="inter" w:cs="inter"/>
          <w:color w:val="000000"/>
          <w:sz w:val="21"/>
        </w:rPr>
        <w:t>：确定香港和粤港澳大湾区为核心增长区域，这是全球财富聚集地，市场空间巨大。</w:t>
      </w:r>
    </w:p>
    <w:p w14:paraId="572991D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技术与商业模式创新最前沿</w:t>
      </w:r>
      <w:r>
        <w:rPr>
          <w:rFonts w:ascii="inter" w:hAnsi="inter" w:eastAsia="inter" w:cs="inter"/>
          <w:color w:val="000000"/>
          <w:sz w:val="21"/>
        </w:rPr>
        <w:t>：集团已实现保险+科技+健康养老的闭环生态，形成差异化竞争力。</w:t>
      </w:r>
    </w:p>
    <w:p w14:paraId="60A7CEB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估值吸引力</w:t>
      </w:r>
      <w:r>
        <w:rPr>
          <w:rFonts w:ascii="inter" w:hAnsi="inter" w:eastAsia="inter" w:cs="inter"/>
          <w:color w:val="000000"/>
          <w:sz w:val="21"/>
        </w:rPr>
        <w:t>：P/E仅4.86倍，相较净利润174%的增长率极为低估，留有巨大上升空间。</w:t>
      </w:r>
    </w:p>
    <w:p w14:paraId="3EFA083B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中国市场主场优势</w:t>
      </w:r>
      <w:r>
        <w:rPr>
          <w:rFonts w:ascii="inter" w:hAnsi="inter" w:eastAsia="inter" w:cs="inter"/>
          <w:color w:val="000000"/>
          <w:sz w:val="21"/>
        </w:rPr>
        <w:t>：作为中国本土龙头，完全受益于8-10年内中国保险市场5.5万亿→10万亿美元的扩容。</w:t>
      </w:r>
    </w:p>
    <w:p w14:paraId="2B3FE0B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潜在风险</w:t>
      </w:r>
      <w:r>
        <w:rPr>
          <w:rFonts w:ascii="inter" w:hAnsi="inter" w:eastAsia="inter" w:cs="inter"/>
          <w:color w:val="000000"/>
        </w:rPr>
        <w:t>：中国宏观经济增速放缓、政策监管变化、香港金融市场波动。</w:t>
      </w:r>
    </w:p>
    <w:p w14:paraId="2E9CAA7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第二位：中国人寿集团</w:t>
      </w:r>
      <w:r>
        <w:rPr>
          <w:rFonts w:ascii="inter" w:hAnsi="inter" w:eastAsia="inter" w:cs="inter"/>
          <w:color w:val="000000"/>
        </w:rPr>
        <w:t>（强力推荐）</w:t>
      </w:r>
    </w:p>
    <w:p w14:paraId="19E73E2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理由</w:t>
      </w:r>
      <w:r>
        <w:rPr>
          <w:rFonts w:ascii="inter" w:hAnsi="inter" w:eastAsia="inter" w:cs="inter"/>
          <w:color w:val="000000"/>
        </w:rPr>
        <w:t>：</w:t>
      </w:r>
    </w:p>
    <w:p w14:paraId="6920E0A5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绝对规模领先</w:t>
      </w:r>
      <w:r>
        <w:rPr>
          <w:rFonts w:ascii="inter" w:hAnsi="inter" w:eastAsia="inter" w:cs="inter"/>
          <w:color w:val="000000"/>
          <w:sz w:val="21"/>
        </w:rPr>
        <w:t>：总资产1.0245万亿美元，仅次于伯克希尔和安联，但增速（10.5%）远高于安联（6.2%）。</w:t>
      </w:r>
    </w:p>
    <w:p w14:paraId="379F1441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盈利能力突出</w:t>
      </w:r>
      <w:r>
        <w:rPr>
          <w:rFonts w:ascii="inter" w:hAnsi="inter" w:eastAsia="inter" w:cs="inter"/>
          <w:color w:val="000000"/>
          <w:sz w:val="21"/>
        </w:rPr>
        <w:t>：Q3单季净利润增长174%，销售队伍生产率提升17.7%，显示商业运营效率持续改善。</w:t>
      </w:r>
    </w:p>
    <w:p w14:paraId="075CD56F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新业务质量改善</w:t>
      </w:r>
      <w:r>
        <w:rPr>
          <w:rFonts w:ascii="inter" w:hAnsi="inter" w:eastAsia="inter" w:cs="inter"/>
          <w:color w:val="000000"/>
          <w:sz w:val="21"/>
        </w:rPr>
        <w:t>：长期正常保费占比提升至46%，为公司长期价值奠定基础。</w:t>
      </w:r>
    </w:p>
    <w:p w14:paraId="51B2D2F0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市场竞争地位</w:t>
      </w:r>
      <w:r>
        <w:rPr>
          <w:rFonts w:ascii="inter" w:hAnsi="inter" w:eastAsia="inter" w:cs="inter"/>
          <w:color w:val="000000"/>
          <w:sz w:val="21"/>
        </w:rPr>
        <w:t>：中国人寿在市场中的寿险占有率最高，品牌认可度最强。</w:t>
      </w:r>
    </w:p>
    <w:p w14:paraId="281D791F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产品创新潜力</w:t>
      </w:r>
      <w:r>
        <w:rPr>
          <w:rFonts w:ascii="inter" w:hAnsi="inter" w:eastAsia="inter" w:cs="inter"/>
          <w:color w:val="000000"/>
          <w:sz w:val="21"/>
        </w:rPr>
        <w:t>：新产品线销售超预期，特别是在养老保险和健康险领域仍有广阔开发空间。</w:t>
      </w:r>
    </w:p>
    <w:p w14:paraId="35A4735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潜在风险</w:t>
      </w:r>
      <w:r>
        <w:rPr>
          <w:rFonts w:ascii="inter" w:hAnsi="inter" w:eastAsia="inter" w:cs="inter"/>
          <w:color w:val="000000"/>
        </w:rPr>
        <w:t>：产品创新能否持续突破、竞争对手（平安）的抢占、投资收益的波动性。</w:t>
      </w:r>
    </w:p>
    <w:p w14:paraId="06577DF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第三位：伯克希尔·哈撒韦</w:t>
      </w:r>
      <w:r>
        <w:rPr>
          <w:rFonts w:ascii="inter" w:hAnsi="inter" w:eastAsia="inter" w:cs="inter"/>
          <w:color w:val="000000"/>
        </w:rPr>
        <w:t>（价值持稳）</w:t>
      </w:r>
    </w:p>
    <w:p w14:paraId="5131FBF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理由</w:t>
      </w:r>
      <w:r>
        <w:rPr>
          <w:rFonts w:ascii="inter" w:hAnsi="inter" w:eastAsia="inter" w:cs="inter"/>
          <w:color w:val="000000"/>
        </w:rPr>
        <w:t>：</w:t>
      </w:r>
    </w:p>
    <w:p w14:paraId="4E165398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财务强度无敌</w:t>
      </w:r>
      <w:r>
        <w:rPr>
          <w:rFonts w:ascii="inter" w:hAnsi="inter" w:eastAsia="inter" w:cs="inter"/>
          <w:color w:val="000000"/>
          <w:sz w:val="21"/>
        </w:rPr>
        <w:t>：$1.154万亿资产、$3,340亿现金储备、AA+评级，抗风险能力业界第一。</w:t>
      </w:r>
    </w:p>
    <w:p w14:paraId="5B9F59F5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保险业务焕发活力</w:t>
      </w:r>
      <w:r>
        <w:rPr>
          <w:rFonts w:ascii="inter" w:hAnsi="inter" w:eastAsia="inter" w:cs="inter"/>
          <w:color w:val="000000"/>
          <w:sz w:val="21"/>
        </w:rPr>
        <w:t>：2024年承保利润增长66%，投资收益增长43%，为多年来最强表现。</w:t>
      </w:r>
    </w:p>
    <w:p w14:paraId="41F30BB9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浮存金模式价值</w:t>
      </w:r>
      <w:r>
        <w:rPr>
          <w:rFonts w:ascii="inter" w:hAnsi="inter" w:eastAsia="inter" w:cs="inter"/>
          <w:color w:val="000000"/>
          <w:sz w:val="21"/>
        </w:rPr>
        <w:t>：$1,710亿浮存金为免息融资，是集团长期投资的动力源泉。</w:t>
      </w:r>
    </w:p>
    <w:p w14:paraId="58BEBD3F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管理层稳定性</w:t>
      </w:r>
      <w:r>
        <w:rPr>
          <w:rFonts w:ascii="inter" w:hAnsi="inter" w:eastAsia="inter" w:cs="inter"/>
          <w:color w:val="000000"/>
          <w:sz w:val="21"/>
        </w:rPr>
        <w:t>：尽管Warren Buffett年事已高，但Greg Abel接班人选已定，战略连贯性无虞。</w:t>
      </w:r>
    </w:p>
    <w:p w14:paraId="3933EF8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潜在风险</w:t>
      </w:r>
      <w:r>
        <w:rPr>
          <w:rFonts w:ascii="inter" w:hAnsi="inter" w:eastAsia="inter" w:cs="inter"/>
          <w:color w:val="000000"/>
        </w:rPr>
        <w:t>：美国保险市场竞争加剧、利率环境变化、股灾风险。</w:t>
      </w:r>
    </w:p>
    <w:p w14:paraId="796A2F0C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5ECD1DB">
      <w:pPr>
        <w:spacing w:before="315" w:after="105" w:line="360" w:lineRule="auto"/>
        <w:ind w:left="-30"/>
        <w:jc w:val="left"/>
      </w:pPr>
      <w:bookmarkStart w:id="70" w:name="总体结论"/>
      <w:r>
        <w:rPr>
          <w:rFonts w:ascii="inter" w:hAnsi="inter" w:eastAsia="inter" w:cs="inter"/>
          <w:b/>
          <w:color w:val="000000"/>
          <w:sz w:val="24"/>
        </w:rPr>
        <w:t>总体结论</w:t>
      </w:r>
      <w:bookmarkEnd w:id="70"/>
    </w:p>
    <w:p w14:paraId="56738598">
      <w:pPr>
        <w:spacing w:after="210" w:line="360" w:lineRule="auto"/>
      </w:pPr>
      <w:r>
        <w:rPr>
          <w:rFonts w:ascii="inter" w:hAnsi="inter" w:eastAsia="inter" w:cs="inter"/>
          <w:color w:val="000000"/>
        </w:rPr>
        <w:t>在全球保险业新一轮竞争中，</w:t>
      </w:r>
      <w:r>
        <w:rPr>
          <w:rFonts w:ascii="inter" w:hAnsi="inter" w:eastAsia="inter" w:cs="inter"/>
          <w:b/>
          <w:color w:val="000000"/>
        </w:rPr>
        <w:t>中国保险集团（平安、中国人寿）正在上演"弯道超车"</w:t>
      </w:r>
      <w:r>
        <w:rPr>
          <w:rFonts w:ascii="inter" w:hAnsi="inter" w:eastAsia="inter" w:cs="inter"/>
          <w:color w:val="000000"/>
        </w:rPr>
        <w:t>。平安保险以其激进的增长策略、科技创新和地缘扩展，有望在5-10年内冲击全球前三；中国人寿则凭借绝对的市场规模和质量改善，稳步向全球前二目标迈进。</w:t>
      </w:r>
    </w:p>
    <w:p w14:paraId="42AE268D">
      <w:pPr>
        <w:spacing w:after="210" w:line="360" w:lineRule="auto"/>
      </w:pPr>
      <w:r>
        <w:rPr>
          <w:rFonts w:ascii="inter" w:hAnsi="inter" w:eastAsia="inter" w:cs="inter"/>
          <w:color w:val="000000"/>
        </w:rPr>
        <w:t>相比之下，伯克希尔虽已重夺第一，但其增速（7.8%）仍低于平安（19.9%）和中国人寿（10.5%），长期排名易位的风险值得关注。安联等欧洲传统强势集团面临老龄化社会、低利率环保压力的制约，增长动能明显弱于新兴市场对手。</w:t>
      </w:r>
    </w:p>
    <w:p w14:paraId="482CD29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对中国投资者的建议</w:t>
      </w:r>
      <w:r>
        <w:rPr>
          <w:rFonts w:ascii="inter" w:hAnsi="inter" w:eastAsia="inter" w:cs="inter"/>
          <w:color w:val="000000"/>
        </w:rPr>
        <w:t>：</w:t>
      </w:r>
    </w:p>
    <w:p w14:paraId="0BEC7679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短期（1-3年）：关注平安和中国人寿的分红增长和股价重估机遇。</w:t>
      </w:r>
    </w:p>
    <w:p w14:paraId="0557A1C4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中期（3-7年）：平安突破香港/大湾区的实际成效，将是决定其排名上升的关键。</w:t>
      </w:r>
    </w:p>
    <w:p w14:paraId="11F83B14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长期（7-10年）：中国保险市场规模双倍扩容，平安和中国人寿任何一家都有机会进入全球前三甚至前二。</w:t>
      </w:r>
      <w:r>
        <w:rPr>
          <w:rFonts w:ascii="inter" w:hAnsi="inter" w:eastAsia="inter" w:cs="inter"/>
          <w:color w:val="000000"/>
          <w:sz w:val="21"/>
        </w:rPr>
        <w:br w:type="textWrapping"/>
      </w:r>
    </w:p>
    <w:p w14:paraId="43AA3826">
      <w:pPr>
        <w:spacing w:line="360" w:lineRule="auto"/>
      </w:pPr>
      <w:r>
        <w:rPr>
          <w:rFonts w:ascii="inter" w:hAnsi="inter" w:eastAsia="inter" w:cs="inter"/>
          <w:color w:val="000000"/>
        </w:rPr>
        <w:t>⁂</w:t>
      </w:r>
    </w:p>
    <w:p w14:paraId="67C5A5F5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2646430F">
      <w:pPr>
        <w:numPr>
          <w:ilvl w:val="0"/>
          <w:numId w:val="8"/>
        </w:numPr>
        <w:spacing w:after="210" w:line="360" w:lineRule="auto"/>
      </w:pPr>
      <w:bookmarkStart w:id="71" w:name="fn1"/>
      <w:bookmarkEnd w:id="71"/>
      <w:r>
        <w:fldChar w:fldCharType="begin"/>
      </w:r>
      <w:r>
        <w:instrText xml:space="preserve"> HYPERLINK "https://www.reinsurancene.ws/worlds-largest-insurance-companies/"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https://www.reinsurancene.ws/worlds-largest-insurance-companies/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8B43A39">
      <w:pPr>
        <w:numPr>
          <w:ilvl w:val="0"/>
          <w:numId w:val="8"/>
        </w:numPr>
        <w:spacing w:after="210" w:line="360" w:lineRule="auto"/>
      </w:pPr>
      <w:bookmarkStart w:id="72" w:name="fn2"/>
      <w:bookmarkEnd w:id="72"/>
      <w:r>
        <w:fldChar w:fldCharType="begin"/>
      </w:r>
      <w:r>
        <w:instrText xml:space="preserve"> HYPERLINK "https://finance.yahoo.com/news/berkshire-hathaway-jumps-top-spot-133000827.html"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https://finance.yahoo.com/news/berkshire-hathaway-jumps-top-spot-133000827.html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F3BEEB8">
      <w:pPr>
        <w:numPr>
          <w:ilvl w:val="0"/>
          <w:numId w:val="8"/>
        </w:numPr>
        <w:spacing w:after="210" w:line="360" w:lineRule="auto"/>
      </w:pPr>
      <w:bookmarkStart w:id="73" w:name="fn3"/>
      <w:bookmarkEnd w:id="73"/>
      <w:r>
        <w:fldChar w:fldCharType="begin"/>
      </w:r>
      <w:r>
        <w:instrText xml:space="preserve"> HYPERLINK "https://insuranceasia.com/insurance/news/berkshire-tops-allianz-largest-insurer-assets-am-best"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https://insuranceasia.com/insurance/news/berkshire-tops-allianz-largest-insurer-assets-am-best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EED7E6A">
      <w:pPr>
        <w:numPr>
          <w:ilvl w:val="0"/>
          <w:numId w:val="8"/>
        </w:numPr>
        <w:spacing w:after="210" w:line="360" w:lineRule="auto"/>
      </w:pPr>
      <w:bookmarkStart w:id="74" w:name="fn4"/>
      <w:bookmarkEnd w:id="74"/>
      <w:r>
        <w:fldChar w:fldCharType="begin"/>
      </w:r>
      <w:r>
        <w:instrText xml:space="preserve"> HYPERLINK "https://www.forbes.com/sites/bill_stone/2025/02/23/takeaways-from-berkshire-hathaways-2024-earnings-and-buffetts-letter/"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https://www.forbes.com/sites/bill_stone/2025/02/23/takeaways-from-berkshire-hathaways-2024-earnings-and-buffetts-letter/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59011875">
      <w:pPr>
        <w:numPr>
          <w:ilvl w:val="0"/>
          <w:numId w:val="8"/>
        </w:numPr>
        <w:spacing w:after="210" w:line="360" w:lineRule="auto"/>
      </w:pPr>
      <w:bookmarkStart w:id="75" w:name="fn5"/>
      <w:bookmarkEnd w:id="75"/>
      <w:r>
        <w:fldChar w:fldCharType="begin"/>
      </w:r>
      <w:r>
        <w:instrText xml:space="preserve"> HYPERLINK "https://www.hampden.co.uk/article/berkshire-hathaways-2024-results"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https://www.hampden.co.uk/article/berkshire-hathaways-2024-results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4336700A">
      <w:pPr>
        <w:numPr>
          <w:ilvl w:val="0"/>
          <w:numId w:val="8"/>
        </w:numPr>
        <w:spacing w:after="210" w:line="360" w:lineRule="auto"/>
      </w:pPr>
      <w:bookmarkStart w:id="76" w:name="fn6"/>
      <w:bookmarkEnd w:id="76"/>
      <w:r>
        <w:fldChar w:fldCharType="begin"/>
      </w:r>
      <w:r>
        <w:instrText xml:space="preserve"> HYPERLINK "https://www.linkedin.com/news/story/berkshires-operating-profit-soars-6329340/"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https://www.linkedin.com/news/story/berkshires-operating-profit-soars-6329340/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954A0F1">
      <w:pPr>
        <w:numPr>
          <w:ilvl w:val="0"/>
          <w:numId w:val="8"/>
        </w:numPr>
        <w:spacing w:after="210" w:line="360" w:lineRule="auto"/>
      </w:pPr>
      <w:bookmarkStart w:id="77" w:name="fn7"/>
      <w:bookmarkEnd w:id="77"/>
      <w:r>
        <w:fldChar w:fldCharType="begin"/>
      </w:r>
      <w:r>
        <w:instrText xml:space="preserve"> HYPERLINK "https://www.dbs.com/content/article/pdf/EU_clover/Allianz.pdf"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https://www.dbs.com/content/article/pdf/EU_clover/Allianz.pdf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1DBAE323">
      <w:pPr>
        <w:numPr>
          <w:ilvl w:val="0"/>
          <w:numId w:val="8"/>
        </w:numPr>
        <w:spacing w:after="210" w:line="360" w:lineRule="auto"/>
      </w:pPr>
      <w:bookmarkStart w:id="78" w:name="fn8"/>
      <w:bookmarkEnd w:id="78"/>
      <w:r>
        <w:fldChar w:fldCharType="begin"/>
      </w:r>
      <w:r>
        <w:instrText xml:space="preserve"> HYPERLINK "https://www.allianz.com/content/dam/onemarketing/azcom/Allianz_com/investor-relations/en/bonds/rating/25-09-02-Moodys-Allianz-Rating.pdf"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https://www.allianz.com/content/dam/onemarketing/azcom/Allianz_com/investor-relations/en/bonds/rating/25-09-02-Moodys-Allianz-Rating.pdf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650FBC64">
      <w:pPr>
        <w:numPr>
          <w:ilvl w:val="0"/>
          <w:numId w:val="8"/>
        </w:numPr>
        <w:spacing w:after="210" w:line="360" w:lineRule="auto"/>
      </w:pPr>
      <w:bookmarkStart w:id="79" w:name="fn9"/>
      <w:bookmarkEnd w:id="79"/>
      <w:r>
        <w:fldChar w:fldCharType="begin"/>
      </w:r>
      <w:r>
        <w:instrText xml:space="preserve"> HYPERLINK "https://www.allianz.com/content/dam/onemarketing/azcom/Allianz_com/investor-relations/en/bonds/rating/2025-04-11-SP-Allianz.PDF"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https://www.allianz.com/content/dam/onemarketing/azcom/Allianz_com/investor-relations/en/bonds/rating/2025-04-11-SP-Allianz.PDF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6917027D">
      <w:pPr>
        <w:numPr>
          <w:ilvl w:val="0"/>
          <w:numId w:val="8"/>
        </w:numPr>
        <w:spacing w:after="210" w:line="360" w:lineRule="auto"/>
      </w:pPr>
      <w:bookmarkStart w:id="80" w:name="fn10"/>
      <w:bookmarkEnd w:id="80"/>
      <w:r>
        <w:fldChar w:fldCharType="begin"/>
      </w:r>
      <w:r>
        <w:instrText xml:space="preserve"> HYPERLINK "https://www.allianz.com/en/investor_relations/bonds/rating.html"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https://www.allianz.com/en/investor_relations/bonds/rating.html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5230E448">
      <w:pPr>
        <w:numPr>
          <w:ilvl w:val="0"/>
          <w:numId w:val="8"/>
        </w:numPr>
        <w:spacing w:after="210" w:line="360" w:lineRule="auto"/>
      </w:pPr>
      <w:bookmarkStart w:id="81" w:name="fn11"/>
      <w:bookmarkEnd w:id="81"/>
      <w:r>
        <w:fldChar w:fldCharType="begin"/>
      </w:r>
      <w:r>
        <w:instrText xml:space="preserve"> HYPERLINK "https://www.reuters.com/business/finance/chinas-ping-an-insurance-posts-48-rise-2024-profit-2025-03-19/"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https://www.reuters.com/business/finance/chinas-ping-an-insurance-posts-48-rise-2024-profit-2025-03-19/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</w:t>
      </w:r>
    </w:p>
    <w:p w14:paraId="40980040">
      <w:pPr>
        <w:numPr>
          <w:ilvl w:val="0"/>
          <w:numId w:val="8"/>
        </w:numPr>
        <w:spacing w:after="210" w:line="360" w:lineRule="auto"/>
      </w:pPr>
      <w:bookmarkStart w:id="82" w:name="fn12"/>
      <w:bookmarkEnd w:id="82"/>
      <w:r>
        <w:fldChar w:fldCharType="begin"/>
      </w:r>
      <w:r>
        <w:instrText xml:space="preserve"> HYPERLINK "https://group.pingan.com/media/news/2025/pingan-ar24-press-release.html"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https://group.pingan.com/media/news/2025/pingan-ar24-press-release.html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</w:t>
      </w:r>
    </w:p>
    <w:p w14:paraId="278838FE">
      <w:pPr>
        <w:numPr>
          <w:ilvl w:val="0"/>
          <w:numId w:val="8"/>
        </w:numPr>
        <w:spacing w:after="210" w:line="360" w:lineRule="auto"/>
      </w:pPr>
      <w:bookmarkStart w:id="83" w:name="fn13"/>
      <w:bookmarkEnd w:id="83"/>
      <w:r>
        <w:fldChar w:fldCharType="begin"/>
      </w:r>
      <w:r>
        <w:instrText xml:space="preserve"> HYPERLINK "https://www.investing.com/news/stock-market-news/earnings-call-china-life-reports-substantial-growth-in-q3-2024-93CH-3698784"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https://www.investing.com/news/stock-market-news/earnings-call-china-life-reports-substantial-growth-in-q3-2024-93CH-3698784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53626F07">
      <w:pPr>
        <w:numPr>
          <w:ilvl w:val="0"/>
          <w:numId w:val="8"/>
        </w:numPr>
        <w:spacing w:after="210" w:line="360" w:lineRule="auto"/>
      </w:pPr>
      <w:bookmarkStart w:id="84" w:name="fn14"/>
      <w:bookmarkEnd w:id="84"/>
      <w:r>
        <w:fldChar w:fldCharType="begin"/>
      </w:r>
      <w:r>
        <w:instrText xml:space="preserve"> HYPERLINK "https://investor.metlife.com/news/news-details/2025/MetLife-Announces-Full-Year-and-Fourth-Quarter-2024-Results/default.aspx"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https://investor.metlife.com/news/news-details/2025/MetLife-Announces-Full-Year-and-Fourth-Quarter-2024-Results/default.aspx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7DD0A8EC">
      <w:pPr>
        <w:numPr>
          <w:ilvl w:val="0"/>
          <w:numId w:val="8"/>
        </w:numPr>
        <w:spacing w:after="210" w:line="360" w:lineRule="auto"/>
      </w:pPr>
      <w:bookmarkStart w:id="85" w:name="fn15"/>
      <w:bookmarkEnd w:id="85"/>
      <w:r>
        <w:fldChar w:fldCharType="begin"/>
      </w:r>
      <w:r>
        <w:instrText xml:space="preserve"> HYPERLINK "https://www.finews.asia/finance/42815-manulife-phil-witherington-insurance-financial-results-2024-asia"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https://www.finews.asia/finance/42815-manulife-phil-witherington-insurance-financial-results-2024-asia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5D4E3BE3">
      <w:pPr>
        <w:numPr>
          <w:ilvl w:val="0"/>
          <w:numId w:val="8"/>
        </w:numPr>
        <w:spacing w:after="210" w:line="360" w:lineRule="auto"/>
      </w:pPr>
      <w:bookmarkStart w:id="86" w:name="fn16"/>
      <w:bookmarkEnd w:id="86"/>
      <w:r>
        <w:fldChar w:fldCharType="begin"/>
      </w:r>
      <w:r>
        <w:instrText xml:space="preserve"> HYPERLINK "https://insuranceasia.com/insurance/news/manulife-asia-unit-net-income-leaps-2b-in-fy-2024"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https://insuranceasia.com/insurance/news/manulife-asia-unit-net-income-leaps-2b-in-fy-2024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60171D36">
      <w:pPr>
        <w:numPr>
          <w:ilvl w:val="0"/>
          <w:numId w:val="8"/>
        </w:numPr>
        <w:spacing w:after="210" w:line="360" w:lineRule="auto"/>
      </w:pPr>
      <w:bookmarkStart w:id="87" w:name="fn17"/>
      <w:bookmarkEnd w:id="87"/>
      <w:r>
        <w:fldChar w:fldCharType="begin"/>
      </w:r>
      <w:r>
        <w:instrText xml:space="preserve"> HYPERLINK "https://www.reinsurancene.ws/moodys-raises-axas-insurance-financial-strength-rating-to-aa2-with-stable-outlook/"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https://www.reinsurancene.ws/moodys-raises-axas-insurance-financial-strength-rating-to-aa2-with-stable-outlook/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71E1153C">
      <w:pPr>
        <w:numPr>
          <w:ilvl w:val="0"/>
          <w:numId w:val="8"/>
        </w:numPr>
        <w:spacing w:after="210" w:line="360" w:lineRule="auto"/>
      </w:pPr>
      <w:bookmarkStart w:id="88" w:name="fn18"/>
      <w:bookmarkEnd w:id="88"/>
      <w:r>
        <w:fldChar w:fldCharType="begin"/>
      </w:r>
      <w:r>
        <w:instrText xml:space="preserve"> HYPERLINK "https://finance.yahoo.com/news/am-best-upgrades-issuer-credit-165200173.html"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https://finance.yahoo.com/news/am-best-upgrades-issuer-credit-165200173.html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C7817BF">
      <w:pPr>
        <w:numPr>
          <w:ilvl w:val="0"/>
          <w:numId w:val="8"/>
        </w:numPr>
        <w:spacing w:after="210" w:line="360" w:lineRule="auto"/>
      </w:pPr>
      <w:bookmarkStart w:id="89" w:name="fn19"/>
      <w:bookmarkEnd w:id="89"/>
      <w:r>
        <w:fldChar w:fldCharType="begin"/>
      </w:r>
      <w:r>
        <w:instrText xml:space="preserve"> HYPERLINK "https://brandfinance.com/press-releases/ping-an-insurance-is-the-worlds-most-valuable-insurance-brand-for-ninth-consecutive-year"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https://brandfinance.com/press-releases/ping-an-insurance-is-the-worlds-most-valuable-insurance-brand-for-ninth-consecutive-year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3E33875">
      <w:pPr>
        <w:numPr>
          <w:ilvl w:val="0"/>
          <w:numId w:val="8"/>
        </w:numPr>
        <w:spacing w:after="210" w:line="360" w:lineRule="auto"/>
      </w:pPr>
      <w:bookmarkStart w:id="90" w:name="fn20"/>
      <w:bookmarkEnd w:id="90"/>
      <w:r>
        <w:fldChar w:fldCharType="begin"/>
      </w:r>
      <w:r>
        <w:instrText xml:space="preserve"> HYPERLINK "https://licindia.in/documents/d/guest/press-release-dtd-27052025-final"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https://licindia.in/documents/d/guest/press-release-dtd-27052025-final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492448BD">
      <w:pPr>
        <w:numPr>
          <w:ilvl w:val="0"/>
          <w:numId w:val="8"/>
        </w:numPr>
        <w:spacing w:after="210" w:line="360" w:lineRule="auto"/>
      </w:pPr>
      <w:bookmarkStart w:id="91" w:name="fn21"/>
      <w:bookmarkEnd w:id="91"/>
      <w:r>
        <w:fldChar w:fldCharType="begin"/>
      </w:r>
      <w:r>
        <w:instrText xml:space="preserve"> HYPERLINK "https://licindia.in/documents/d/guest/final-press-release-dtd-27-05-24-final-6-35-pm"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https://licindia.in/documents/d/guest/final-press-release-dtd-27-05-24-final-6-35-pm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40F35C67">
      <w:pPr>
        <w:numPr>
          <w:ilvl w:val="0"/>
          <w:numId w:val="8"/>
        </w:numPr>
        <w:spacing w:after="210" w:line="360" w:lineRule="auto"/>
      </w:pPr>
      <w:bookmarkStart w:id="92" w:name="fn22"/>
      <w:bookmarkEnd w:id="92"/>
      <w:r>
        <w:fldChar w:fldCharType="begin"/>
      </w:r>
      <w:r>
        <w:instrText xml:space="preserve"> HYPERLINK "https://www.indmoney.com/stocks/dividend/life-insurance-corporation-of-india-dividend"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https://www.indmoney.com/stocks/dividend/life-insurance-corporation-of-india-dividend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0634B2BE">
      <w:pPr>
        <w:numPr>
          <w:ilvl w:val="0"/>
          <w:numId w:val="8"/>
        </w:numPr>
        <w:spacing w:after="210" w:line="360" w:lineRule="auto"/>
      </w:pPr>
      <w:bookmarkStart w:id="93" w:name="fn23"/>
      <w:bookmarkEnd w:id="93"/>
      <w:r>
        <w:fldChar w:fldCharType="begin"/>
      </w:r>
      <w:r>
        <w:instrText xml:space="preserve"> HYPERLINK "https://finance.yahoo.com/news/china-life-insurance-sehk-2628-010949162.html"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https://finance.yahoo.com/news/china-life-insurance-sehk-2628-010949162.html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18BC1EFB">
      <w:pPr>
        <w:numPr>
          <w:ilvl w:val="0"/>
          <w:numId w:val="8"/>
        </w:numPr>
        <w:spacing w:after="210" w:line="360" w:lineRule="auto"/>
      </w:pPr>
      <w:bookmarkStart w:id="94" w:name="fn24"/>
      <w:bookmarkEnd w:id="94"/>
      <w:r>
        <w:fldChar w:fldCharType="begin"/>
      </w:r>
      <w:r>
        <w:instrText xml:space="preserve"> HYPERLINK "https://www.berkshirehathaway.com/2024ar/2024ar.pdf"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https://www.berkshirehathaway.com/2024ar/2024ar.pdf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E6870B4">
      <w:pPr>
        <w:numPr>
          <w:ilvl w:val="0"/>
          <w:numId w:val="8"/>
        </w:numPr>
        <w:spacing w:after="210" w:line="360" w:lineRule="auto"/>
      </w:pPr>
      <w:bookmarkStart w:id="95" w:name="fn25"/>
      <w:bookmarkEnd w:id="95"/>
      <w:r>
        <w:fldChar w:fldCharType="begin"/>
      </w:r>
      <w:r>
        <w:instrText xml:space="preserve"> HYPERLINK "https://www.allianz.com/content/dam/onemarketing/azcom/Allianz_com/investor-relations/en/results-reports/annual-report/ar-2024/en-allianz-group-annual-report-2024.pdf"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https://www.allianz.com/content/dam/onemarketing/azcom/Allianz_com/investor-relations/en/results-reports/annual-report/ar-2024/en-allianz-group-annual-report-2024.pdf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7F377BF">
      <w:pPr>
        <w:numPr>
          <w:ilvl w:val="0"/>
          <w:numId w:val="8"/>
        </w:numPr>
        <w:spacing w:after="210" w:line="360" w:lineRule="auto"/>
      </w:pPr>
      <w:bookmarkStart w:id="96" w:name="fn26"/>
      <w:bookmarkEnd w:id="96"/>
      <w:r>
        <w:fldChar w:fldCharType="begin"/>
      </w:r>
      <w:r>
        <w:instrText xml:space="preserve"> HYPERLINK "https://www.axa.com/press/press-releases/2024-full-year-earnings"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https://www.axa.com/press/press-releases/2024-full-year-earnings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0099D4C">
      <w:pPr>
        <w:numPr>
          <w:ilvl w:val="0"/>
          <w:numId w:val="8"/>
        </w:numPr>
        <w:spacing w:after="210" w:line="360" w:lineRule="auto"/>
      </w:pPr>
      <w:bookmarkStart w:id="97" w:name="fn27"/>
      <w:bookmarkEnd w:id="97"/>
      <w:r>
        <w:fldChar w:fldCharType="begin"/>
      </w:r>
      <w:r>
        <w:instrText xml:space="preserve"> HYPERLINK "https://s203.q4cdn.com/245412310/files/doc_financials/2024/ar/Prudential-AR2024.pdf"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https://s203.q4cdn.com/245412310/files/doc_financials/2024/ar/Prudential-AR2024.pdf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0EA7FB77">
      <w:pPr>
        <w:numPr>
          <w:ilvl w:val="0"/>
          <w:numId w:val="8"/>
        </w:numPr>
        <w:spacing w:after="210" w:line="360" w:lineRule="auto"/>
      </w:pPr>
      <w:bookmarkStart w:id="98" w:name="fn28"/>
      <w:bookmarkEnd w:id="98"/>
      <w:r>
        <w:fldChar w:fldCharType="begin"/>
      </w:r>
      <w:r>
        <w:instrText xml:space="preserve"> HYPERLINK "https://www.prudentialplc.com/en/newsroom/company-news/2025/prudential-plc-2024-full-year-results"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https://www.prudentialplc.com/en/newsroom/company-news/2025/prudential-plc-2024-full-year-results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4E54CEB7">
      <w:pPr>
        <w:numPr>
          <w:ilvl w:val="0"/>
          <w:numId w:val="8"/>
        </w:numPr>
        <w:spacing w:after="210" w:line="360" w:lineRule="auto"/>
      </w:pPr>
      <w:bookmarkStart w:id="99" w:name="fn29"/>
      <w:bookmarkEnd w:id="99"/>
      <w:r>
        <w:fldChar w:fldCharType="begin"/>
      </w:r>
      <w:r>
        <w:instrText xml:space="preserve"> HYPERLINK "https://www.prudential.com.sg/about/newsroom/press-release/2025/prudential-plc-full-year-2024-results"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https://www.prudential.com.sg/about/newsroom/press-release/2025/prudential-plc-full-year-2024-results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6E3B620">
      <w:pPr>
        <w:numPr>
          <w:ilvl w:val="0"/>
          <w:numId w:val="8"/>
        </w:numPr>
        <w:spacing w:after="210" w:line="360" w:lineRule="auto"/>
      </w:pPr>
      <w:bookmarkStart w:id="100" w:name="fn30"/>
      <w:bookmarkEnd w:id="100"/>
      <w:r>
        <w:fldChar w:fldCharType="begin"/>
      </w:r>
      <w:r>
        <w:instrText xml:space="preserve"> HYPERLINK "https://www.allianz.com/en/investor_relations/share/dividend.html"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https://www.allianz.com/en/investor_relations/share/dividend.html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5698269">
      <w:pPr>
        <w:numPr>
          <w:ilvl w:val="0"/>
          <w:numId w:val="8"/>
        </w:numPr>
        <w:spacing w:after="210" w:line="360" w:lineRule="auto"/>
      </w:pPr>
      <w:bookmarkStart w:id="101" w:name="fn31"/>
      <w:bookmarkEnd w:id="101"/>
      <w:r>
        <w:fldChar w:fldCharType="begin"/>
      </w:r>
      <w:r>
        <w:instrText xml:space="preserve"> HYPERLINK "https://www.linkedin.com/pulse/china-life-non-insurance-market-outlook-strategic-growth-roadmap-edebf"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https://www.linkedin.com/pulse/china-life-non-insurance-market-outlook-strategic-growth-roadmap-edebf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25E8AE2">
      <w:pPr>
        <w:numPr>
          <w:ilvl w:val="0"/>
          <w:numId w:val="8"/>
        </w:numPr>
        <w:spacing w:after="210" w:line="360" w:lineRule="auto"/>
      </w:pPr>
      <w:bookmarkStart w:id="102" w:name="fn32"/>
      <w:bookmarkEnd w:id="102"/>
      <w:r>
        <w:fldChar w:fldCharType="begin"/>
      </w:r>
      <w:r>
        <w:instrText xml:space="preserve"> HYPERLINK "https://www.insurancebusinessmag.com/asia/news/breaking-news/ping-an-sets-sights-on-expansion-in-hong-kong-and-greater-bay-area--report-482616.aspx"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https://www.insurancebusinessmag.com/asia/news/breaking-news/ping-an-sets-sights-on-expansion-in-hong-kong-and-greater-bay-area--report-482616.aspx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EC0E30E">
      <w:pPr>
        <w:numPr>
          <w:ilvl w:val="0"/>
          <w:numId w:val="8"/>
        </w:numPr>
        <w:spacing w:after="210" w:line="360" w:lineRule="auto"/>
      </w:pPr>
      <w:bookmarkStart w:id="103" w:name="fn33"/>
      <w:bookmarkEnd w:id="103"/>
      <w:r>
        <w:fldChar w:fldCharType="begin"/>
      </w:r>
      <w:r>
        <w:instrText xml:space="preserve"> HYPERLINK "https://en.wikipedia.org/wiki/List_of_largest_insurance_companies"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https://en.wikipedia.org/wiki/List_of_largest_insurance_companies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CC09C5A">
      <w:pPr>
        <w:numPr>
          <w:ilvl w:val="0"/>
          <w:numId w:val="8"/>
        </w:numPr>
        <w:spacing w:after="210" w:line="360" w:lineRule="auto"/>
      </w:pPr>
      <w:bookmarkStart w:id="104" w:name="fn34"/>
      <w:bookmarkEnd w:id="104"/>
      <w:r>
        <w:fldChar w:fldCharType="begin"/>
      </w:r>
      <w:r>
        <w:instrText xml:space="preserve"> HYPERLINK "https://beinsure.com/ranking/top-25-insurance-companies-worldwide-assets/"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https://beinsure.com/ranking/top-25-insurance-companies-worldwide-assets/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160ACDA">
      <w:pPr>
        <w:numPr>
          <w:ilvl w:val="0"/>
          <w:numId w:val="8"/>
        </w:numPr>
        <w:spacing w:after="210" w:line="360" w:lineRule="auto"/>
      </w:pPr>
      <w:bookmarkStart w:id="105" w:name="fn35"/>
      <w:bookmarkEnd w:id="105"/>
      <w:r>
        <w:fldChar w:fldCharType="begin"/>
      </w:r>
      <w:r>
        <w:instrText xml:space="preserve"> HYPERLINK "https://bestsreview.ambest.com/edition/2025/January/-Bests-Rankings-and-Worlds-Largest-Insurance-Companies.html"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https://bestsreview.ambest.com/edition/2025/January/-Bests-Rankings-and-Worlds-Largest-Insurance-Companies.html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B2F933E">
      <w:pPr>
        <w:numPr>
          <w:ilvl w:val="0"/>
          <w:numId w:val="8"/>
        </w:numPr>
        <w:spacing w:after="210" w:line="360" w:lineRule="auto"/>
      </w:pPr>
      <w:bookmarkStart w:id="106" w:name="fn36"/>
      <w:bookmarkEnd w:id="106"/>
      <w:r>
        <w:fldChar w:fldCharType="begin"/>
      </w:r>
      <w:r>
        <w:instrText xml:space="preserve"> HYPERLINK "https://www.clickclaims.com/2026/01/06/berkshire-hathaway-overtakes-allianz-as-worlds-largest-insurer-by-assets/"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https://www.clickclaims.com/2026/01/06/berkshire-hathaway-overtakes-allianz-as-worlds-largest-insurer-by-assets/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DD184C9">
      <w:pPr>
        <w:numPr>
          <w:ilvl w:val="0"/>
          <w:numId w:val="8"/>
        </w:numPr>
        <w:spacing w:after="210" w:line="360" w:lineRule="auto"/>
      </w:pPr>
      <w:bookmarkStart w:id="107" w:name="fn37"/>
      <w:bookmarkEnd w:id="107"/>
      <w:r>
        <w:fldChar w:fldCharType="begin"/>
      </w:r>
      <w:r>
        <w:instrText xml:space="preserve"> HYPERLINK "https://www.spglobal.com/market-intelligence/en/news-insights/articles/2025/10/the-world-s-largest-life-insurers-2025-92777109"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https://www.spglobal.com/market-intelligence/en/news-insights/articles/2025/10/the-world-s-largest-life-insurers-2025-92777109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4A9279E">
      <w:pPr>
        <w:numPr>
          <w:ilvl w:val="0"/>
          <w:numId w:val="8"/>
        </w:numPr>
        <w:spacing w:after="210" w:line="360" w:lineRule="auto"/>
      </w:pPr>
      <w:bookmarkStart w:id="108" w:name="fn38"/>
      <w:bookmarkEnd w:id="108"/>
      <w:r>
        <w:fldChar w:fldCharType="begin"/>
      </w:r>
      <w:r>
        <w:instrText xml:space="preserve"> HYPERLINK "https://members.mdrt.org/about-MDRT/for-companies/top-100-companies-global/"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https://members.mdrt.org/about-MDRT/for-companies/top-100-companies-global/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3088BEB">
      <w:pPr>
        <w:numPr>
          <w:ilvl w:val="0"/>
          <w:numId w:val="8"/>
        </w:numPr>
        <w:spacing w:after="210" w:line="360" w:lineRule="auto"/>
      </w:pPr>
      <w:bookmarkStart w:id="109" w:name="fn39"/>
      <w:bookmarkEnd w:id="109"/>
      <w:r>
        <w:fldChar w:fldCharType="begin"/>
      </w:r>
      <w:r>
        <w:instrText xml:space="preserve"> HYPERLINK "https://www.insurancebusinessmag.com/asia/news/breaking-news/berkshire-tops-global-insurers-by-assets-as-scale-race-accelerates-561087.aspx"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https://www.insurancebusinessmag.com/asia/news/breaking-news/berkshire-tops-global-insurers-by-assets-as-scale-race-accelerates-561087.aspx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8620CBA">
      <w:pPr>
        <w:numPr>
          <w:ilvl w:val="0"/>
          <w:numId w:val="8"/>
        </w:numPr>
        <w:spacing w:after="210" w:line="360" w:lineRule="auto"/>
      </w:pPr>
      <w:bookmarkStart w:id="110" w:name="fn40"/>
      <w:bookmarkEnd w:id="110"/>
      <w:r>
        <w:fldChar w:fldCharType="begin"/>
      </w:r>
      <w:r>
        <w:instrText xml:space="preserve"> HYPERLINK "https://www.spglobal.com/market-intelligence/en/news-insights/articles/2025/10/the-world-s-largest-property-and-casualty-insurers-2025-93316415"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https://www.spglobal.com/market-intelligence/en/news-insights/articles/2025/10/the-world-s-largest-property-and-casualty-insurers-2025-93316415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D3B7A1C">
      <w:pPr>
        <w:numPr>
          <w:ilvl w:val="0"/>
          <w:numId w:val="8"/>
        </w:numPr>
        <w:spacing w:after="210" w:line="360" w:lineRule="auto"/>
      </w:pPr>
      <w:bookmarkStart w:id="111" w:name="fn41"/>
      <w:bookmarkEnd w:id="111"/>
      <w:r>
        <w:fldChar w:fldCharType="begin"/>
      </w:r>
      <w:r>
        <w:instrText xml:space="preserve"> HYPERLINK "https://www.commercialriskonline.com/berkshire-hathaway-worlds-largest-insurer-by-non-banking-assets/"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https://www.commercialriskonline.com/berkshire-hathaway-worlds-largest-insurer-by-non-banking-assets/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F5CCB70">
      <w:pPr>
        <w:numPr>
          <w:ilvl w:val="0"/>
          <w:numId w:val="8"/>
        </w:numPr>
        <w:spacing w:after="210" w:line="360" w:lineRule="auto"/>
      </w:pPr>
      <w:bookmarkStart w:id="112" w:name="fn42"/>
      <w:bookmarkEnd w:id="112"/>
      <w:r>
        <w:fldChar w:fldCharType="begin"/>
      </w:r>
      <w:r>
        <w:instrText xml:space="preserve"> HYPERLINK "https://news.ambest.com/articlecontent.aspx?altsrc=43"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https://news.ambest.com/articlecontent.aspx?altsrc=43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D97129F">
      <w:pPr>
        <w:numPr>
          <w:ilvl w:val="0"/>
          <w:numId w:val="8"/>
        </w:numPr>
        <w:spacing w:after="210" w:line="360" w:lineRule="auto"/>
      </w:pPr>
      <w:bookmarkStart w:id="113" w:name="fn43"/>
      <w:bookmarkEnd w:id="113"/>
      <w:r>
        <w:fldChar w:fldCharType="begin"/>
      </w:r>
      <w:r>
        <w:instrText xml:space="preserve"> HYPERLINK "https://www.reinsurancene.ws/top-50-reinsurance-groups/"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https://www.reinsurancene.ws/top-50-reinsurance-groups/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D169B65">
      <w:pPr>
        <w:numPr>
          <w:ilvl w:val="0"/>
          <w:numId w:val="8"/>
        </w:numPr>
        <w:spacing w:after="210" w:line="360" w:lineRule="auto"/>
      </w:pPr>
      <w:bookmarkStart w:id="114" w:name="fn44"/>
      <w:bookmarkEnd w:id="114"/>
      <w:r>
        <w:fldChar w:fldCharType="begin"/>
      </w:r>
      <w:r>
        <w:instrText xml:space="preserve"> HYPERLINK "https://www.forbes.com/sites/rachelpeachman/2025/06/10/meet-the-worlds-best-insurance-companies-2025/"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https://www.forbes.com/sites/rachelpeachman/2025/06/10/meet-the-worlds-best-insurance-companies-2025/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C4C9CA9">
      <w:pPr>
        <w:numPr>
          <w:ilvl w:val="0"/>
          <w:numId w:val="8"/>
        </w:numPr>
        <w:spacing w:after="210" w:line="360" w:lineRule="auto"/>
      </w:pPr>
      <w:bookmarkStart w:id="115" w:name="fn45"/>
      <w:bookmarkEnd w:id="115"/>
      <w:r>
        <w:fldChar w:fldCharType="begin"/>
      </w:r>
      <w:r>
        <w:instrText xml:space="preserve"> HYPERLINK "https://www.fitchratings.com/research/insurance/fitch-upgrades-prudential-plc-to-a-outlook-positive-assigns-ifs-of-aa-to-core-subsidiaries-02-10-2025"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https://www.fitchratings.com/research/insurance/fitch-upgrades-prudential-plc-to-a-outlook-positive-assigns-ifs-of-aa-to-core-subsidiaries-02-10-2025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3DB06D1">
      <w:pPr>
        <w:numPr>
          <w:ilvl w:val="0"/>
          <w:numId w:val="8"/>
        </w:numPr>
        <w:spacing w:after="210" w:line="360" w:lineRule="auto"/>
      </w:pPr>
      <w:bookmarkStart w:id="116" w:name="fn46"/>
      <w:bookmarkEnd w:id="116"/>
      <w:r>
        <w:fldChar w:fldCharType="begin"/>
      </w:r>
      <w:r>
        <w:instrText xml:space="preserve"> HYPERLINK "https://www.businesswire.com/news/home/20260105520725/en/Berkshire-Hathaway-Jumps-Into-Top-Spot-on-AM-Bests-Largest-Insurer-Ranking-by-Nonbanking-Assets-UnitedHealth-Group-Retains-Lead-Position-by-Net-Premiums-Written"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https://www.businesswire.com/news/home/20260105520725/en/Berkshire-Hathaway-Jumps-Into-Top-Spot-on-AM-Bests-Largest-Insurer-Ranking-by-Nonbanking-Assets-UnitedHealth-Group-Retains-Lead-Position-by-Net-Premiums-Written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88FA309">
      <w:pPr>
        <w:numPr>
          <w:ilvl w:val="0"/>
          <w:numId w:val="8"/>
        </w:numPr>
        <w:spacing w:after="210" w:line="360" w:lineRule="auto"/>
      </w:pPr>
      <w:bookmarkStart w:id="117" w:name="fn47"/>
      <w:bookmarkEnd w:id="117"/>
      <w:r>
        <w:fldChar w:fldCharType="begin"/>
      </w:r>
      <w:r>
        <w:instrText xml:space="preserve"> HYPERLINK "https://sg.finance.yahoo.com/news/chinese-financials-earnings-growth-set-145055431.html"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https://sg.finance.yahoo.com/news/chinese-financials-earnings-growth-set-145055431.html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B060A76">
      <w:pPr>
        <w:numPr>
          <w:ilvl w:val="0"/>
          <w:numId w:val="8"/>
        </w:numPr>
        <w:spacing w:after="210" w:line="360" w:lineRule="auto"/>
      </w:pPr>
      <w:bookmarkStart w:id="118" w:name="fn48"/>
      <w:bookmarkEnd w:id="118"/>
      <w:r>
        <w:fldChar w:fldCharType="begin"/>
      </w:r>
      <w:r>
        <w:instrText xml:space="preserve"> HYPERLINK "https://www.nber.org/system/files/working_papers/w31292/revisions/w31292.rev0.pdf"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https://www.nber.org/system/files/working_papers/w31292/revisions/w31292.rev0.pdf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BFA5428">
      <w:pPr>
        <w:numPr>
          <w:ilvl w:val="0"/>
          <w:numId w:val="8"/>
        </w:numPr>
        <w:spacing w:after="210" w:line="360" w:lineRule="auto"/>
      </w:pPr>
      <w:bookmarkStart w:id="119" w:name="fn49"/>
      <w:bookmarkEnd w:id="119"/>
      <w:r>
        <w:fldChar w:fldCharType="begin"/>
      </w:r>
      <w:r>
        <w:instrText xml:space="preserve"> HYPERLINK "https://www.statista.com/markets/414/topic/461/insurance/"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https://www.statista.com/markets/414/topic/461/insurance/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37AE855">
      <w:pPr>
        <w:numPr>
          <w:ilvl w:val="0"/>
          <w:numId w:val="8"/>
        </w:numPr>
        <w:spacing w:after="210" w:line="360" w:lineRule="auto"/>
      </w:pPr>
      <w:bookmarkStart w:id="120" w:name="fn50"/>
      <w:bookmarkEnd w:id="120"/>
      <w:r>
        <w:fldChar w:fldCharType="begin"/>
      </w:r>
      <w:r>
        <w:instrText xml:space="preserve"> HYPERLINK "https://www.allianz.com/content/dam/onemarketing/azcom/Allianz_com/press/document/results/2025-3q/3q-2025-earnings-release-allianz.pdf"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https://www.allianz.com/content/dam/onemarketing/azcom/Allianz_com/press/document/results/2025-3q/3q-2025-earnings-release-allianz.pdf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BA8BF36">
      <w:pPr>
        <w:numPr>
          <w:ilvl w:val="0"/>
          <w:numId w:val="8"/>
        </w:numPr>
        <w:spacing w:after="210" w:line="360" w:lineRule="auto"/>
      </w:pPr>
      <w:bookmarkStart w:id="121" w:name="fn51"/>
      <w:bookmarkEnd w:id="121"/>
      <w:r>
        <w:fldChar w:fldCharType="begin"/>
      </w:r>
      <w:r>
        <w:instrText xml:space="preserve"> HYPERLINK "https://www.reinsurancene.ws/berkshire-hathaways-re-insurance-underwriting-earnings-strong-despite-higher-losses-in-h125/"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https://www.reinsurancene.ws/berkshire-hathaways-re-insurance-underwriting-earnings-strong-despite-higher-losses-in-h125/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F2688F5">
      <w:pPr>
        <w:numPr>
          <w:ilvl w:val="0"/>
          <w:numId w:val="8"/>
        </w:numPr>
        <w:spacing w:after="210" w:line="360" w:lineRule="auto"/>
      </w:pPr>
      <w:bookmarkStart w:id="122" w:name="fn52"/>
      <w:bookmarkEnd w:id="122"/>
      <w:r>
        <w:fldChar w:fldCharType="begin"/>
      </w:r>
      <w:r>
        <w:instrText xml:space="preserve"> HYPERLINK "https://www.manulifeim.com.sg/content/dam/wam/sg/funds/annual-report/MGF-annual-report.pdf"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https://www.manulifeim.com.sg/content/dam/wam/sg/funds/annual-report/MGF-annual-report.pdf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B8C9412">
      <w:pPr>
        <w:numPr>
          <w:ilvl w:val="0"/>
          <w:numId w:val="8"/>
        </w:numPr>
        <w:spacing w:after="210" w:line="360" w:lineRule="auto"/>
      </w:pPr>
      <w:bookmarkStart w:id="123" w:name="fn53"/>
      <w:bookmarkEnd w:id="123"/>
      <w:r>
        <w:fldChar w:fldCharType="begin"/>
      </w:r>
      <w:r>
        <w:instrText xml:space="preserve"> HYPERLINK "https://www.allianzlife.com/about/financial-ratings"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https://www.allianzlife.com/about/financial-ratings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798FE7D">
      <w:pPr>
        <w:numPr>
          <w:ilvl w:val="0"/>
          <w:numId w:val="8"/>
        </w:numPr>
        <w:spacing w:after="210" w:line="360" w:lineRule="auto"/>
      </w:pPr>
      <w:bookmarkStart w:id="124" w:name="fn54"/>
      <w:bookmarkEnd w:id="124"/>
      <w:r>
        <w:fldChar w:fldCharType="begin"/>
      </w:r>
      <w:r>
        <w:instrText xml:space="preserve"> HYPERLINK "https://insuranceasia.com/insurance/news/china-life-insurance-outlook-lifted-cgs-raises-forecasts"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https://insuranceasia.com/insurance/news/china-life-insurance-outlook-lifted-cgs-raises-forecasts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4634ED5">
      <w:pPr>
        <w:numPr>
          <w:ilvl w:val="0"/>
          <w:numId w:val="8"/>
        </w:numPr>
        <w:spacing w:after="210" w:line="360" w:lineRule="auto"/>
      </w:pPr>
      <w:bookmarkStart w:id="125" w:name="fn55"/>
      <w:bookmarkEnd w:id="125"/>
      <w:r>
        <w:fldChar w:fldCharType="begin"/>
      </w:r>
      <w:r>
        <w:instrText xml:space="preserve"> HYPERLINK "https://www.axa.com/en/investor/financial-strength-ratings"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https://www.axa.com/en/investor/financial-strength-ratings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77478E9">
      <w:pPr>
        <w:numPr>
          <w:ilvl w:val="0"/>
          <w:numId w:val="8"/>
        </w:numPr>
        <w:spacing w:after="210" w:line="360" w:lineRule="auto"/>
      </w:pPr>
      <w:bookmarkStart w:id="126" w:name="fn56"/>
      <w:bookmarkEnd w:id="126"/>
      <w:r>
        <w:fldChar w:fldCharType="begin"/>
      </w:r>
      <w:r>
        <w:instrText xml:space="preserve"> HYPERLINK "https://www1.hkexnews.hk/listedco/listconews/sehk/2025/1019/2025101900003.pdf"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https://www1.hkexnews.hk/listedco/listconews/sehk/2025/1019/2025101900003.pdf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B80DF38">
      <w:pPr>
        <w:numPr>
          <w:ilvl w:val="0"/>
          <w:numId w:val="8"/>
        </w:numPr>
        <w:spacing w:after="210" w:line="360" w:lineRule="auto"/>
      </w:pPr>
      <w:bookmarkStart w:id="127" w:name="fn57"/>
      <w:bookmarkEnd w:id="127"/>
      <w:r>
        <w:fldChar w:fldCharType="begin"/>
      </w:r>
      <w:r>
        <w:instrText xml:space="preserve"> HYPERLINK "http://www.aumcap.com/Admin/researchreports/243_AUM%20%E2%80%93%20Life%20Insurance%20Corporation%20Of%20India%20Feb24.pdf"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http://www.aumcap.com/Admin/researchreports/243_AUM – Life Insurance Corporation Of India Feb24.pdf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66C3F8F">
      <w:pPr>
        <w:numPr>
          <w:ilvl w:val="0"/>
          <w:numId w:val="8"/>
        </w:numPr>
        <w:spacing w:after="210" w:line="360" w:lineRule="auto"/>
      </w:pPr>
      <w:bookmarkStart w:id="128" w:name="fn58"/>
      <w:bookmarkEnd w:id="128"/>
      <w:r>
        <w:fldChar w:fldCharType="begin"/>
      </w:r>
      <w:r>
        <w:instrText xml:space="preserve"> HYPERLINK "https://www.axa-im.com/investment-institute/asset-class/us-high-yield-outlook-2025-0"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https://www.axa-im.com/investment-institute/asset-class/us-high-yield-outlook-2025-0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76B8C7E">
      <w:pPr>
        <w:numPr>
          <w:ilvl w:val="0"/>
          <w:numId w:val="8"/>
        </w:numPr>
        <w:spacing w:after="210" w:line="360" w:lineRule="auto"/>
      </w:pPr>
      <w:bookmarkStart w:id="129" w:name="fn59"/>
      <w:bookmarkEnd w:id="129"/>
      <w:r>
        <w:fldChar w:fldCharType="begin"/>
      </w:r>
      <w:r>
        <w:instrText xml:space="preserve"> HYPERLINK "https://www.moomoo.com/news/post/48641501/a-major-reveal-of-a-share-performance-in-2024-china"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https://www.moomoo.com/news/post/48641501/a-major-reveal-of-a-share-performance-in-2024-china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7353515">
      <w:pPr>
        <w:numPr>
          <w:ilvl w:val="0"/>
          <w:numId w:val="8"/>
        </w:numPr>
        <w:spacing w:after="210" w:line="360" w:lineRule="auto"/>
      </w:pPr>
      <w:bookmarkStart w:id="130" w:name="fn60"/>
      <w:bookmarkEnd w:id="130"/>
      <w:r>
        <w:fldChar w:fldCharType="begin"/>
      </w:r>
      <w:r>
        <w:instrText xml:space="preserve"> HYPERLINK "https://www.screener.in/company/LICI/consolidated/"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https://www.screener.in/company/LICI/consolidated/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DC3241C">
      <w:pPr>
        <w:numPr>
          <w:ilvl w:val="0"/>
          <w:numId w:val="8"/>
        </w:numPr>
        <w:spacing w:after="210" w:line="360" w:lineRule="auto"/>
      </w:pPr>
      <w:bookmarkStart w:id="131" w:name="fn61"/>
      <w:bookmarkEnd w:id="131"/>
      <w:r>
        <w:fldChar w:fldCharType="begin"/>
      </w:r>
      <w:r>
        <w:instrText xml:space="preserve"> HYPERLINK "https://www.spglobal.com/ratings/en/regulatory/article/-/view/sourceId/13030641"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https://www.spglobal.com/ratings/en/regulatory/article/-/view/sourceId/13030641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5BE5FA8">
      <w:pPr>
        <w:numPr>
          <w:ilvl w:val="0"/>
          <w:numId w:val="8"/>
        </w:numPr>
        <w:spacing w:after="210" w:line="360" w:lineRule="auto"/>
      </w:pPr>
      <w:bookmarkStart w:id="132" w:name="fn62"/>
      <w:bookmarkEnd w:id="132"/>
      <w:r>
        <w:fldChar w:fldCharType="begin"/>
      </w:r>
      <w:r>
        <w:instrText xml:space="preserve"> HYPERLINK "https://www.zurich.com/media/news-releases/2025/2025-0429-01"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https://www.zurich.com/media/news-releases/2025/2025-0429-01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55C09A6">
      <w:pPr>
        <w:numPr>
          <w:ilvl w:val="0"/>
          <w:numId w:val="8"/>
        </w:numPr>
        <w:spacing w:after="210" w:line="360" w:lineRule="auto"/>
      </w:pPr>
      <w:bookmarkStart w:id="133" w:name="fn63"/>
      <w:bookmarkEnd w:id="133"/>
      <w:r>
        <w:fldChar w:fldCharType="begin"/>
      </w:r>
      <w:r>
        <w:instrText xml:space="preserve"> HYPERLINK "https://www.statista.com/statistics/270998/worlds-largest-insurance-companies-by-total-assets/"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https://www.statista.com/statistics/270998/worlds-largest-insurance-companies-by-total-assets/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33D9B92">
      <w:pPr>
        <w:numPr>
          <w:ilvl w:val="0"/>
          <w:numId w:val="8"/>
        </w:numPr>
        <w:spacing w:after="210" w:line="360" w:lineRule="auto"/>
      </w:pPr>
      <w:bookmarkStart w:id="134" w:name="fn64"/>
      <w:bookmarkEnd w:id="134"/>
      <w:r>
        <w:fldChar w:fldCharType="begin"/>
      </w:r>
      <w:r>
        <w:instrText xml:space="preserve"> HYPERLINK "https://www.aig.com/home/newsroom/stories/aig-achieves-financial-strength-rating-upgrades-from-s-and-p-global-and-moody-s"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https://www.aig.com/home/newsroom/stories/aig-achieves-financial-strength-rating-upgrades-from-s-and-p-global-and-moody-s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59FF889">
      <w:pPr>
        <w:numPr>
          <w:ilvl w:val="0"/>
          <w:numId w:val="8"/>
        </w:numPr>
        <w:spacing w:after="210" w:line="360" w:lineRule="auto"/>
      </w:pPr>
      <w:bookmarkStart w:id="135" w:name="fn65"/>
      <w:bookmarkEnd w:id="135"/>
      <w:r>
        <w:fldChar w:fldCharType="begin"/>
      </w:r>
      <w:r>
        <w:instrText xml:space="preserve"> HYPERLINK "https://www.iais.org/uploads/2024/12/Global-Insurance-Market-Report-2024.pdf"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https://www.iais.org/uploads/2024/12/Global-Insurance-Market-Report-2024.pdf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ED9440E">
      <w:pPr>
        <w:numPr>
          <w:ilvl w:val="0"/>
          <w:numId w:val="8"/>
        </w:numPr>
        <w:spacing w:after="210" w:line="360" w:lineRule="auto"/>
      </w:pPr>
      <w:bookmarkStart w:id="136" w:name="fn66"/>
      <w:bookmarkEnd w:id="136"/>
      <w:r>
        <w:fldChar w:fldCharType="begin"/>
      </w:r>
      <w:r>
        <w:instrText xml:space="preserve"> HYPERLINK "https://investor.prudential.com/news/news-details/2025/Prudential-Financial-Inc.-Announces-2024-Results/default.aspx"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https://investor.prudential.com/news/news-details/2025/Prudential-Financial-Inc.-Announces-2024-Results/default.aspx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C6CB868">
      <w:pPr>
        <w:numPr>
          <w:ilvl w:val="0"/>
          <w:numId w:val="8"/>
        </w:numPr>
        <w:spacing w:after="210" w:line="360" w:lineRule="auto"/>
      </w:pPr>
      <w:bookmarkStart w:id="137" w:name="fn67"/>
      <w:bookmarkEnd w:id="137"/>
      <w:r>
        <w:fldChar w:fldCharType="begin"/>
      </w:r>
      <w:r>
        <w:instrText xml:space="preserve"> HYPERLINK "https://apps.asiainsurancereview.com/RDA/files/RDA2025-AMBest.pdf"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https://apps.asiainsurancereview.com/RDA/files/RDA2025-AMBest.pdf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6C897ED">
      <w:pPr>
        <w:numPr>
          <w:ilvl w:val="0"/>
          <w:numId w:val="8"/>
        </w:numPr>
        <w:spacing w:after="210" w:line="360" w:lineRule="auto"/>
      </w:pPr>
      <w:bookmarkStart w:id="138" w:name="fn68"/>
      <w:bookmarkEnd w:id="138"/>
      <w:r>
        <w:fldChar w:fldCharType="begin"/>
      </w:r>
      <w:r>
        <w:instrText xml:space="preserve"> HYPERLINK "https://www.prudential.com.sg/about/newsroom/press-release/2025/prudential-plc-2025-half-year-results"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https://www.prudential.com.sg/about/newsroom/press-release/2025/prudential-plc-2025-half-year-results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015E94B">
      <w:pPr>
        <w:numPr>
          <w:ilvl w:val="0"/>
          <w:numId w:val="8"/>
        </w:numPr>
        <w:spacing w:after="210" w:line="360" w:lineRule="auto"/>
      </w:pPr>
      <w:bookmarkStart w:id="139" w:name="fn69"/>
      <w:bookmarkEnd w:id="139"/>
      <w:r>
        <w:fldChar w:fldCharType="begin"/>
      </w:r>
      <w:r>
        <w:instrText xml:space="preserve"> HYPERLINK "https://web.ambest.com/docs/default-source/events/am-best's-credit-ratings-monitor---emea-(june-2024).pdf?sfvrsn=18596656_7"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https://web.ambest.com/docs/default-source/events/am-best's-credit-ratings-monitor---emea-(june-2024).pdf?sfvrsn=18596656_7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BE78436">
      <w:pPr>
        <w:numPr>
          <w:ilvl w:val="0"/>
          <w:numId w:val="8"/>
        </w:numPr>
        <w:spacing w:after="210" w:line="360" w:lineRule="auto"/>
      </w:pPr>
      <w:bookmarkStart w:id="140" w:name="fn70"/>
      <w:bookmarkEnd w:id="140"/>
      <w:r>
        <w:fldChar w:fldCharType="begin"/>
      </w:r>
      <w:r>
        <w:instrText xml:space="preserve"> HYPERLINK "https://web.ambest.com/docs/default-source/events/credit_rating_monitor_9-24_global_a4.pdf?sfvrsn=dec56082_4"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https://web.ambest.com/docs/default-source/events/credit_rating_monitor_9-24_global_a4.pdf?sfvrsn=dec56082_4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5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24F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2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589</Words>
  <Characters>801</Characters>
  <TotalTime>0</TotalTime>
  <ScaleCrop>false</ScaleCrop>
  <LinksUpToDate>false</LinksUpToDate>
  <CharactersWithSpaces>816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2026-01-11T10:50:00Z</dcterms:created>
  <dc:creator>html-to-docx</dc:creator>
  <cp:keywords>html-to-docx</cp:keywords>
  <cp:lastModifiedBy>dyx</cp:lastModifiedBy>
  <dcterms:modified xsi:type="dcterms:W3CDTF">2026-01-17T18:04:32Z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eyJoZGlkIjoiMzEwNTM5NzYwMDRjMzkwZTVkZjY2ODkwMGIxNGU0OTUiLCJ1c2VySWQiOiIxMzIzODQxOTU2In0=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C8896DB02DD346348435E671FD63C7C4_12</vt:lpwstr>
  </property>
</Properties>
</file>