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6"/>
        <w:spacing w:before="90" w:line="222" w:lineRule="auto"/>
        <w:outlineLvl w:val="0"/>
        <w:rPr>
          <w:rFonts w:ascii="SimHei" w:hAnsi="SimHei" w:eastAsia="SimHei" w:cs="SimHei"/>
          <w:sz w:val="45"/>
          <w:szCs w:val="45"/>
        </w:rPr>
      </w:pPr>
      <w:r>
        <w:rPr>
          <w:rFonts w:ascii="SimHei" w:hAnsi="SimHei" w:eastAsia="SimHei" w:cs="SimHei"/>
          <w:sz w:val="45"/>
          <w:szCs w:val="45"/>
          <w:b/>
          <w:bCs/>
          <w:spacing w:val="-7"/>
        </w:rPr>
        <w:t>国际综合实力前十保险公司详细比较与评估报告</w:t>
      </w:r>
    </w:p>
    <w:p>
      <w:pPr>
        <w:pStyle w:val="BodyText"/>
        <w:spacing w:line="420" w:lineRule="auto"/>
        <w:rPr>
          <w:sz w:val="21"/>
        </w:rPr>
      </w:pPr>
      <w:r/>
    </w:p>
    <w:p>
      <w:pPr>
        <w:ind w:left="5"/>
        <w:spacing w:before="114" w:line="222" w:lineRule="auto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b/>
          <w:bCs/>
          <w:spacing w:val="-5"/>
        </w:rPr>
        <w:t>引言与研究对象</w:t>
      </w:r>
    </w:p>
    <w:p>
      <w:pPr>
        <w:ind w:left="4"/>
        <w:spacing w:before="187" w:line="221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3"/>
        </w:rPr>
        <w:t>选取标准与依据</w:t>
      </w:r>
    </w:p>
    <w:p>
      <w:pPr>
        <w:pStyle w:val="BodyText"/>
        <w:ind w:right="25"/>
        <w:spacing w:before="244" w:line="325" w:lineRule="auto"/>
        <w:rPr/>
      </w:pPr>
      <w:r>
        <w:rPr>
          <w:rFonts w:ascii="SimHei" w:hAnsi="SimHei" w:eastAsia="SimHei" w:cs="SimHei"/>
          <w:spacing w:val="17"/>
        </w:rPr>
        <w:t>保险公司的“综合实力”通常通过多维度指标加权评估，包括总资产(核心指标，反映规模与投资</w:t>
      </w:r>
      <w:r>
        <w:rPr>
          <w:rFonts w:ascii="SimHei" w:hAnsi="SimHei" w:eastAsia="SimHei" w:cs="SimHei"/>
          <w:spacing w:val="7"/>
        </w:rPr>
        <w:t xml:space="preserve"> </w:t>
      </w:r>
      <w:r>
        <w:rPr>
          <w:rFonts w:ascii="SimHei" w:hAnsi="SimHei" w:eastAsia="SimHei" w:cs="SimHei"/>
          <w:spacing w:val="18"/>
        </w:rPr>
        <w:t>能力)、保费收入、净利润、市值、资本充足率等。本报告优先采用</w:t>
      </w:r>
      <w:r>
        <w:rPr>
          <w:rFonts w:ascii="SimHei" w:hAnsi="SimHei" w:eastAsia="SimHei" w:cs="SimHei"/>
          <w:spacing w:val="17"/>
        </w:rPr>
        <w:t>净非银行资产</w:t>
      </w:r>
      <w:r>
        <w:rPr>
          <w:rFonts w:ascii="SimHei" w:hAnsi="SimHei" w:eastAsia="SimHei" w:cs="SimHei"/>
          <w:spacing w:val="17"/>
        </w:rPr>
        <w:t xml:space="preserve"> </w:t>
      </w:r>
      <w:r>
        <w:rPr>
          <w:spacing w:val="17"/>
        </w:rPr>
        <w:t>(</w:t>
      </w:r>
      <w:r>
        <w:rPr/>
        <w:t>net</w:t>
      </w:r>
      <w:r>
        <w:rPr>
          <w:spacing w:val="17"/>
        </w:rPr>
        <w:t xml:space="preserve">    </w:t>
      </w:r>
      <w:r>
        <w:rPr/>
        <w:t>non</w:t>
      </w:r>
      <w:r>
        <w:rPr>
          <w:spacing w:val="17"/>
        </w:rPr>
        <w:t>-</w:t>
      </w:r>
    </w:p>
    <w:p>
      <w:pPr>
        <w:ind w:right="23"/>
        <w:spacing w:before="44" w:line="35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banking</w:t>
      </w:r>
      <w:r>
        <w:rPr>
          <w:rFonts w:ascii="SimSun" w:hAnsi="SimSun" w:eastAsia="SimSun" w:cs="SimSun"/>
          <w:sz w:val="22"/>
          <w:szCs w:val="22"/>
          <w:spacing w:val="48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assets</w:t>
      </w:r>
      <w:r>
        <w:rPr>
          <w:rFonts w:ascii="SimSun" w:hAnsi="SimSun" w:eastAsia="SimSun" w:cs="SimSun"/>
          <w:sz w:val="22"/>
          <w:szCs w:val="22"/>
          <w:spacing w:val="19"/>
        </w:rPr>
        <w:t>)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19"/>
        </w:rPr>
        <w:t>作为主要排名依据，该指标由权威评级机构</w:t>
      </w:r>
      <w:r>
        <w:rPr>
          <w:rFonts w:ascii="SimSun" w:hAnsi="SimSun" w:eastAsia="SimSun" w:cs="SimSun"/>
          <w:sz w:val="22"/>
          <w:szCs w:val="22"/>
        </w:rPr>
        <w:t>AM</w:t>
      </w:r>
      <w:r>
        <w:rPr>
          <w:rFonts w:ascii="SimSun" w:hAnsi="SimSun" w:eastAsia="SimSun" w:cs="SimSun"/>
          <w:sz w:val="22"/>
          <w:szCs w:val="22"/>
          <w:spacing w:val="41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Best</w:t>
      </w:r>
      <w:r>
        <w:rPr>
          <w:rFonts w:ascii="SimHei" w:hAnsi="SimHei" w:eastAsia="SimHei" w:cs="SimHei"/>
          <w:sz w:val="22"/>
          <w:szCs w:val="22"/>
          <w:spacing w:val="19"/>
        </w:rPr>
        <w:t>采用，能公平排除银行子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26"/>
        </w:rPr>
        <w:t>公司影响(如平安集团的银行业务),更准确反映纯保险运营实力。</w:t>
      </w:r>
    </w:p>
    <w:p>
      <w:pPr>
        <w:spacing w:before="126" w:line="351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22"/>
        </w:rPr>
        <w:t>数据来源主要基于</w:t>
      </w:r>
      <w:r>
        <w:rPr>
          <w:rFonts w:ascii="Times New Roman" w:hAnsi="Times New Roman" w:eastAsia="Times New Roman" w:cs="Times New Roman"/>
          <w:sz w:val="22"/>
          <w:szCs w:val="22"/>
        </w:rPr>
        <w:t>AM</w:t>
      </w:r>
      <w:r>
        <w:rPr>
          <w:rFonts w:ascii="Times New Roman" w:hAnsi="Times New Roman" w:eastAsia="Times New Roman" w:cs="Times New Roman"/>
          <w:sz w:val="22"/>
          <w:szCs w:val="22"/>
          <w:spacing w:val="22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</w:rPr>
        <w:t>Best</w:t>
      </w:r>
      <w:r>
        <w:rPr>
          <w:rFonts w:ascii="Times New Roman" w:hAnsi="Times New Roman" w:eastAsia="Times New Roman" w:cs="Times New Roman"/>
          <w:sz w:val="22"/>
          <w:szCs w:val="22"/>
          <w:spacing w:val="22"/>
        </w:rPr>
        <w:t xml:space="preserve">    2026</w:t>
      </w:r>
      <w:r>
        <w:rPr>
          <w:rFonts w:ascii="SimHei" w:hAnsi="SimHei" w:eastAsia="SimHei" w:cs="SimHei"/>
          <w:sz w:val="22"/>
          <w:szCs w:val="22"/>
          <w:spacing w:val="22"/>
        </w:rPr>
        <w:t>年报告(通过</w:t>
      </w:r>
      <w:r>
        <w:rPr>
          <w:rFonts w:ascii="Times New Roman" w:hAnsi="Times New Roman" w:eastAsia="Times New Roman" w:cs="Times New Roman"/>
          <w:sz w:val="22"/>
          <w:szCs w:val="22"/>
        </w:rPr>
        <w:t>Beinsure</w:t>
      </w:r>
      <w:r>
        <w:rPr>
          <w:rFonts w:ascii="Times New Roman" w:hAnsi="Times New Roman" w:eastAsia="Times New Roman" w:cs="Times New Roman"/>
          <w:sz w:val="22"/>
          <w:szCs w:val="22"/>
          <w:spacing w:val="21"/>
        </w:rPr>
        <w:t xml:space="preserve">      </w:t>
      </w:r>
      <w:r>
        <w:rPr>
          <w:rFonts w:ascii="Times New Roman" w:hAnsi="Times New Roman" w:eastAsia="Times New Roman" w:cs="Times New Roman"/>
          <w:sz w:val="22"/>
          <w:szCs w:val="22"/>
        </w:rPr>
        <w:t>Media</w:t>
      </w:r>
      <w:r>
        <w:rPr>
          <w:rFonts w:ascii="SimHei" w:hAnsi="SimHei" w:eastAsia="SimHei" w:cs="SimHei"/>
          <w:sz w:val="22"/>
          <w:szCs w:val="22"/>
          <w:spacing w:val="21"/>
        </w:rPr>
        <w:t>汇总，数据截至2025年底),结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21"/>
        </w:rPr>
        <w:t>合</w:t>
      </w:r>
      <w:r>
        <w:rPr>
          <w:rFonts w:ascii="SimSun" w:hAnsi="SimSun" w:eastAsia="SimSun" w:cs="SimSun"/>
          <w:sz w:val="22"/>
          <w:szCs w:val="22"/>
          <w:spacing w:val="21"/>
        </w:rPr>
        <w:t>S&amp;</w:t>
      </w:r>
      <w:r>
        <w:rPr>
          <w:rFonts w:ascii="SimSun" w:hAnsi="SimSun" w:eastAsia="SimSun" w:cs="SimSun"/>
          <w:sz w:val="22"/>
          <w:szCs w:val="22"/>
        </w:rPr>
        <w:t>P</w:t>
      </w:r>
      <w:r>
        <w:rPr>
          <w:rFonts w:ascii="SimSun" w:hAnsi="SimSun" w:eastAsia="SimSun" w:cs="SimSun"/>
          <w:sz w:val="22"/>
          <w:szCs w:val="22"/>
          <w:spacing w:val="61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Global</w:t>
      </w:r>
      <w:r>
        <w:rPr>
          <w:rFonts w:ascii="SimSun" w:hAnsi="SimSun" w:eastAsia="SimSun" w:cs="SimSun"/>
          <w:sz w:val="22"/>
          <w:szCs w:val="22"/>
          <w:spacing w:val="21"/>
        </w:rPr>
        <w:t>、</w:t>
      </w:r>
      <w:r>
        <w:rPr>
          <w:rFonts w:ascii="SimHei" w:hAnsi="SimHei" w:eastAsia="SimHei" w:cs="SimHei"/>
          <w:sz w:val="22"/>
          <w:szCs w:val="22"/>
          <w:spacing w:val="21"/>
        </w:rPr>
        <w:t>公司年报及最新新闻验证。2025年全球保险资产总额约40万亿美元，受股市下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21"/>
        </w:rPr>
        <w:t>跌及信用利差扩大影响，整体下降5.5%。部分新闻显示</w:t>
      </w:r>
      <w:r>
        <w:rPr>
          <w:rFonts w:ascii="SimSun" w:hAnsi="SimSun" w:eastAsia="SimSun" w:cs="SimSun"/>
          <w:sz w:val="22"/>
          <w:szCs w:val="22"/>
        </w:rPr>
        <w:t>Berkshire</w:t>
      </w:r>
      <w:r>
        <w:rPr>
          <w:rFonts w:ascii="SimSun" w:hAnsi="SimSun" w:eastAsia="SimSun" w:cs="SimSun"/>
          <w:sz w:val="22"/>
          <w:szCs w:val="22"/>
          <w:spacing w:val="21"/>
        </w:rPr>
        <w:t xml:space="preserve">   </w:t>
      </w:r>
      <w:r>
        <w:rPr>
          <w:rFonts w:ascii="SimSun" w:hAnsi="SimSun" w:eastAsia="SimSun" w:cs="SimSun"/>
          <w:sz w:val="22"/>
          <w:szCs w:val="22"/>
        </w:rPr>
        <w:t>Hathaway</w:t>
      </w:r>
      <w:r>
        <w:rPr>
          <w:rFonts w:ascii="SimHei" w:hAnsi="SimHei" w:eastAsia="SimHei" w:cs="SimHei"/>
          <w:sz w:val="22"/>
          <w:szCs w:val="22"/>
          <w:spacing w:val="21"/>
        </w:rPr>
        <w:t>近期资产增长强</w:t>
      </w:r>
    </w:p>
    <w:p>
      <w:pPr>
        <w:spacing w:before="7" w:line="21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18"/>
        </w:rPr>
        <w:t>劲，可能短暂超越</w:t>
      </w:r>
      <w:r>
        <w:rPr>
          <w:rFonts w:ascii="SimSun" w:hAnsi="SimSun" w:eastAsia="SimSun" w:cs="SimSun"/>
          <w:sz w:val="22"/>
          <w:szCs w:val="22"/>
        </w:rPr>
        <w:t>Allianz</w:t>
      </w:r>
      <w:r>
        <w:rPr>
          <w:rFonts w:ascii="SimSun" w:hAnsi="SimSun" w:eastAsia="SimSun" w:cs="SimSun"/>
          <w:sz w:val="22"/>
          <w:szCs w:val="22"/>
          <w:spacing w:val="18"/>
        </w:rPr>
        <w:t>,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18"/>
        </w:rPr>
        <w:t>但本报告采用</w:t>
      </w:r>
      <w:r>
        <w:rPr>
          <w:rFonts w:ascii="SimSun" w:hAnsi="SimSun" w:eastAsia="SimSun" w:cs="SimSun"/>
          <w:sz w:val="22"/>
          <w:szCs w:val="22"/>
        </w:rPr>
        <w:t>AM</w:t>
      </w:r>
      <w:r>
        <w:rPr>
          <w:rFonts w:ascii="SimSun" w:hAnsi="SimSun" w:eastAsia="SimSun" w:cs="SimSun"/>
          <w:sz w:val="22"/>
          <w:szCs w:val="22"/>
          <w:spacing w:val="50"/>
        </w:rPr>
        <w:t xml:space="preserve">  </w:t>
      </w:r>
      <w:r>
        <w:rPr>
          <w:rFonts w:ascii="SimSun" w:hAnsi="SimSun" w:eastAsia="SimSun" w:cs="SimSun"/>
          <w:sz w:val="22"/>
          <w:szCs w:val="22"/>
        </w:rPr>
        <w:t>Best</w:t>
      </w:r>
      <w:r>
        <w:rPr>
          <w:rFonts w:ascii="SimHei" w:hAnsi="SimHei" w:eastAsia="SimHei" w:cs="SimHei"/>
          <w:sz w:val="22"/>
          <w:szCs w:val="22"/>
          <w:spacing w:val="18"/>
        </w:rPr>
        <w:t>正式排名列表作为</w:t>
      </w:r>
      <w:r>
        <w:rPr>
          <w:rFonts w:ascii="SimHei" w:hAnsi="SimHei" w:eastAsia="SimHei" w:cs="SimHei"/>
          <w:sz w:val="22"/>
          <w:szCs w:val="22"/>
          <w:spacing w:val="17"/>
        </w:rPr>
        <w:t>基准。</w:t>
      </w:r>
    </w:p>
    <w:p>
      <w:pPr>
        <w:pStyle w:val="BodyText"/>
        <w:spacing w:line="414" w:lineRule="auto"/>
        <w:rPr>
          <w:sz w:val="21"/>
        </w:rPr>
      </w:pPr>
      <w:r/>
    </w:p>
    <w:p>
      <w:pPr>
        <w:ind w:left="4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11"/>
        </w:rPr>
        <w:t>前十保险公司名单(2025年底净非银行资产排名)</w:t>
      </w:r>
    </w:p>
    <w:p>
      <w:pPr>
        <w:ind w:left="3"/>
        <w:spacing w:before="299" w:line="228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b/>
          <w:bCs/>
          <w:spacing w:val="-2"/>
          <w:position w:val="1"/>
        </w:rPr>
        <w:t>排名</w:t>
      </w:r>
      <w:r>
        <w:rPr>
          <w:rFonts w:ascii="SimHei" w:hAnsi="SimHei" w:eastAsia="SimHei" w:cs="SimHei"/>
          <w:sz w:val="22"/>
          <w:szCs w:val="22"/>
          <w:spacing w:val="-2"/>
          <w:position w:val="1"/>
        </w:rPr>
        <w:t xml:space="preserve">  </w:t>
      </w:r>
      <w:r>
        <w:rPr>
          <w:rFonts w:ascii="SimHei" w:hAnsi="SimHei" w:eastAsia="SimHei" w:cs="SimHei"/>
          <w:sz w:val="22"/>
          <w:szCs w:val="22"/>
          <w:b/>
          <w:bCs/>
          <w:spacing w:val="-2"/>
          <w:position w:val="1"/>
        </w:rPr>
        <w:t>公司名称</w:t>
      </w:r>
      <w:r>
        <w:rPr>
          <w:rFonts w:ascii="SimHei" w:hAnsi="SimHei" w:eastAsia="SimHei" w:cs="SimHei"/>
          <w:sz w:val="22"/>
          <w:szCs w:val="22"/>
          <w:spacing w:val="4"/>
          <w:position w:val="1"/>
        </w:rPr>
        <w:t xml:space="preserve">              </w:t>
      </w:r>
      <w:r>
        <w:rPr>
          <w:rFonts w:ascii="SimHei" w:hAnsi="SimHei" w:eastAsia="SimHei" w:cs="SimHei"/>
          <w:sz w:val="22"/>
          <w:szCs w:val="22"/>
          <w:b/>
          <w:bCs/>
          <w:spacing w:val="-2"/>
        </w:rPr>
        <w:t>国家/地区</w:t>
      </w:r>
      <w:r>
        <w:rPr>
          <w:rFonts w:ascii="SimHei" w:hAnsi="SimHei" w:eastAsia="SimHei" w:cs="SimHei"/>
          <w:sz w:val="22"/>
          <w:szCs w:val="22"/>
          <w:spacing w:val="-2"/>
        </w:rPr>
        <w:t xml:space="preserve">  </w:t>
      </w:r>
      <w:r>
        <w:rPr>
          <w:rFonts w:ascii="SimHei" w:hAnsi="SimHei" w:eastAsia="SimHei" w:cs="SimHei"/>
          <w:sz w:val="22"/>
          <w:szCs w:val="22"/>
          <w:b/>
          <w:bCs/>
          <w:spacing w:val="-2"/>
        </w:rPr>
        <w:t>总资产(亿美元)</w:t>
      </w:r>
      <w:r>
        <w:rPr>
          <w:rFonts w:ascii="SimHei" w:hAnsi="SimHei" w:eastAsia="SimHei" w:cs="SimHei"/>
          <w:sz w:val="22"/>
          <w:szCs w:val="22"/>
          <w:spacing w:val="48"/>
        </w:rPr>
        <w:t xml:space="preserve">  </w:t>
      </w:r>
      <w:r>
        <w:rPr>
          <w:rFonts w:ascii="SimHei" w:hAnsi="SimHei" w:eastAsia="SimHei" w:cs="SimHei"/>
          <w:sz w:val="22"/>
          <w:szCs w:val="22"/>
          <w:b/>
          <w:bCs/>
          <w:spacing w:val="-2"/>
        </w:rPr>
        <w:t>年变动率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spacing w:before="71" w:line="218" w:lineRule="auto"/>
        <w:rPr>
          <w:rFonts w:ascii="SimSun" w:hAnsi="SimSun" w:eastAsia="SimSun" w:cs="SimSun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1"/>
        </w:rPr>
        <w:t>1</w:t>
      </w:r>
      <w:r>
        <w:rPr>
          <w:sz w:val="16"/>
          <w:szCs w:val="16"/>
          <w:u w:val="single" w:color="auto"/>
          <w:spacing w:val="-2"/>
          <w:position w:val="1"/>
        </w:rPr>
        <w:t xml:space="preserve">              Allianz</w:t>
      </w:r>
      <w:r>
        <w:rPr>
          <w:sz w:val="16"/>
          <w:szCs w:val="16"/>
          <w:u w:val="single" w:color="auto"/>
          <w:spacing w:val="4"/>
          <w:position w:val="1"/>
        </w:rPr>
        <w:t xml:space="preserve">      </w:t>
      </w:r>
      <w:r>
        <w:rPr>
          <w:sz w:val="16"/>
          <w:szCs w:val="16"/>
          <w:u w:val="single" w:color="auto"/>
          <w:spacing w:val="-2"/>
          <w:position w:val="1"/>
        </w:rPr>
        <w:t>SE                                  </w:t>
      </w:r>
      <w:r>
        <w:rPr>
          <w:rFonts w:ascii="SimHei" w:hAnsi="SimHei" w:eastAsia="SimHei" w:cs="SimHei"/>
          <w:u w:val="single" w:color="auto"/>
          <w:spacing w:val="-2"/>
          <w:position w:val="1"/>
        </w:rPr>
        <w:t>德国</w:t>
      </w:r>
      <w:r>
        <w:rPr>
          <w:rFonts w:ascii="SimHei" w:hAnsi="SimHei" w:eastAsia="SimHei" w:cs="SimHei"/>
          <w:u w:val="single" w:color="auto"/>
          <w:spacing w:val="-2"/>
          <w:position w:val="1"/>
        </w:rPr>
        <w:t xml:space="preserve">       </w:t>
      </w:r>
      <w:r>
        <w:rPr>
          <w:rFonts w:ascii="Times New Roman" w:hAnsi="Times New Roman" w:eastAsia="Times New Roman" w:cs="Times New Roman"/>
          <w:u w:val="single" w:color="auto"/>
          <w:spacing w:val="-2"/>
          <w:position w:val="1"/>
        </w:rPr>
        <w:t>10,507                  </w:t>
      </w:r>
      <w:r>
        <w:rPr>
          <w:rFonts w:ascii="Times New Roman" w:hAnsi="Times New Roman" w:eastAsia="Times New Roman" w:cs="Times New Roman"/>
          <w:u w:val="single" w:color="auto"/>
          <w:spacing w:val="-3"/>
          <w:position w:val="1"/>
        </w:rPr>
        <w:t xml:space="preserve">       </w:t>
      </w:r>
      <w:r>
        <w:rPr>
          <w:rFonts w:ascii="SimSun" w:hAnsi="SimSun" w:eastAsia="SimSun" w:cs="SimSun"/>
          <w:u w:val="single" w:color="auto"/>
          <w:spacing w:val="-3"/>
        </w:rPr>
        <w:t>-10.6%       </w:t>
      </w:r>
    </w:p>
    <w:p>
      <w:pPr>
        <w:pStyle w:val="BodyText"/>
        <w:spacing w:before="298" w:line="266" w:lineRule="auto"/>
        <w:rPr>
          <w:rFonts w:ascii="SimSun" w:hAnsi="SimSun" w:eastAsia="SimSun" w:cs="SimSun"/>
        </w:rPr>
      </w:pPr>
      <w:r>
        <w:rPr>
          <w:u w:val="single" w:color="auto"/>
          <w:spacing w:val="-2"/>
        </w:rPr>
        <w:t>2         Ping An</w:t>
      </w:r>
      <w:r>
        <w:rPr>
          <w:u w:val="single" w:color="auto"/>
          <w:spacing w:val="20"/>
        </w:rPr>
        <w:t xml:space="preserve"> </w:t>
      </w:r>
      <w:r>
        <w:rPr>
          <w:u w:val="single" w:color="auto"/>
          <w:spacing w:val="-2"/>
        </w:rPr>
        <w:t>Insurance</w:t>
      </w:r>
      <w:r>
        <w:rPr>
          <w:u w:val="single" w:color="auto"/>
          <w:spacing w:val="5"/>
        </w:rPr>
        <w:t xml:space="preserve">          </w:t>
      </w:r>
      <w:r>
        <w:rPr>
          <w:rFonts w:ascii="SimHei" w:hAnsi="SimHei" w:eastAsia="SimHei" w:cs="SimHei"/>
          <w:u w:val="single" w:color="auto"/>
          <w:spacing w:val="-2"/>
        </w:rPr>
        <w:t>中国</w:t>
      </w:r>
      <w:r>
        <w:rPr>
          <w:rFonts w:ascii="SimHei" w:hAnsi="SimHei" w:eastAsia="SimHei" w:cs="SimHei"/>
          <w:u w:val="single" w:color="auto"/>
          <w:spacing w:val="19"/>
        </w:rPr>
        <w:t xml:space="preserve">      </w:t>
      </w:r>
      <w:r>
        <w:rPr>
          <w:rFonts w:ascii="Times New Roman" w:hAnsi="Times New Roman" w:eastAsia="Times New Roman" w:cs="Times New Roman"/>
          <w:u w:val="single" w:color="auto"/>
          <w:spacing w:val="-2"/>
        </w:rPr>
        <w:t>9,6</w:t>
      </w:r>
      <w:r>
        <w:rPr>
          <w:rFonts w:ascii="Times New Roman" w:hAnsi="Times New Roman" w:eastAsia="Times New Roman" w:cs="Times New Roman"/>
          <w:u w:val="single" w:color="auto"/>
          <w:spacing w:val="-3"/>
        </w:rPr>
        <w:t>07                           </w:t>
      </w:r>
      <w:r>
        <w:rPr>
          <w:rFonts w:ascii="SimSun" w:hAnsi="SimSun" w:eastAsia="SimSun" w:cs="SimSun"/>
          <w:u w:val="single" w:color="auto"/>
          <w:spacing w:val="-3"/>
        </w:rPr>
        <w:t>+11.4%       </w:t>
      </w:r>
    </w:p>
    <w:p>
      <w:pPr>
        <w:pStyle w:val="BodyText"/>
        <w:spacing w:before="302" w:line="250" w:lineRule="auto"/>
        <w:rPr>
          <w:rFonts w:ascii="SimSun" w:hAnsi="SimSun" w:eastAsia="SimSun" w:cs="SimSun"/>
          <w:sz w:val="16"/>
          <w:szCs w:val="16"/>
        </w:rPr>
      </w:pPr>
      <w:r>
        <w:rPr>
          <w:spacing w:val="-2"/>
        </w:rPr>
        <w:t>3</w:t>
      </w:r>
      <w:r>
        <w:rPr>
          <w:u w:val="single" w:color="auto"/>
          <w:spacing w:val="-2"/>
        </w:rPr>
        <w:t xml:space="preserve">         Berkshire</w:t>
      </w:r>
      <w:r>
        <w:rPr>
          <w:u w:val="single" w:color="auto"/>
          <w:spacing w:val="30"/>
        </w:rPr>
        <w:t xml:space="preserve"> </w:t>
      </w:r>
      <w:r>
        <w:rPr>
          <w:u w:val="single" w:color="auto"/>
          <w:spacing w:val="-2"/>
        </w:rPr>
        <w:t>Hathaway</w:t>
      </w:r>
      <w:r>
        <w:rPr>
          <w:u w:val="single" w:color="auto"/>
          <w:spacing w:val="2"/>
        </w:rPr>
        <w:t xml:space="preserve">        </w:t>
      </w:r>
      <w:r>
        <w:rPr>
          <w:rFonts w:ascii="SimHei" w:hAnsi="SimHei" w:eastAsia="SimHei" w:cs="SimHei"/>
          <w:u w:val="single" w:color="auto"/>
          <w:spacing w:val="-2"/>
          <w:position w:val="2"/>
        </w:rPr>
        <w:t>美国</w:t>
      </w:r>
      <w:r>
        <w:rPr>
          <w:rFonts w:ascii="SimHei" w:hAnsi="SimHei" w:eastAsia="SimHei" w:cs="SimHei"/>
          <w:u w:val="single" w:color="auto"/>
          <w:spacing w:val="-2"/>
          <w:position w:val="2"/>
        </w:rPr>
        <w:t xml:space="preserve">       </w:t>
      </w:r>
      <w:r>
        <w:rPr>
          <w:rFonts w:ascii="Times New Roman" w:hAnsi="Times New Roman" w:eastAsia="Times New Roman" w:cs="Times New Roman"/>
          <w:u w:val="single" w:color="auto"/>
          <w:spacing w:val="-2"/>
          <w:position w:val="2"/>
        </w:rPr>
        <w:t>9,485                           </w:t>
      </w:r>
      <w:r>
        <w:rPr>
          <w:rFonts w:ascii="SimSun" w:hAnsi="SimSun" w:eastAsia="SimSun" w:cs="SimSun"/>
          <w:sz w:val="16"/>
          <w:szCs w:val="16"/>
          <w:u w:val="single" w:color="auto"/>
          <w:spacing w:val="-2"/>
          <w:position w:val="2"/>
        </w:rPr>
        <w:t>-1.1%</w:t>
      </w:r>
      <w:r>
        <w:rPr>
          <w:rFonts w:ascii="SimSun" w:hAnsi="SimSun" w:eastAsia="SimSun" w:cs="SimSun"/>
          <w:sz w:val="16"/>
          <w:szCs w:val="16"/>
          <w:u w:val="single" w:color="auto"/>
          <w:position w:val="2"/>
        </w:rPr>
        <w:t xml:space="preserve">            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1"/>
        </w:rPr>
        <w:t>4</w:t>
      </w:r>
      <w:r>
        <w:rPr>
          <w:rFonts w:ascii="Times New Roman" w:hAnsi="Times New Roman" w:eastAsia="Times New Roman" w:cs="Times New Roman"/>
          <w:sz w:val="22"/>
          <w:szCs w:val="22"/>
          <w:u w:val="single" w:color="auto"/>
          <w:spacing w:val="3"/>
          <w:position w:val="1"/>
        </w:rPr>
        <w:t xml:space="preserve">           </w:t>
      </w:r>
      <w:r>
        <w:rPr>
          <w:rFonts w:ascii="Times New Roman" w:hAnsi="Times New Roman" w:eastAsia="Times New Roman" w:cs="Times New Roman"/>
          <w:sz w:val="22"/>
          <w:szCs w:val="22"/>
          <w:u w:val="single" w:color="auto"/>
          <w:spacing w:val="-2"/>
          <w:position w:val="1"/>
        </w:rPr>
        <w:t>China  Life</w:t>
      </w:r>
      <w:r>
        <w:rPr>
          <w:rFonts w:ascii="Times New Roman" w:hAnsi="Times New Roman" w:eastAsia="Times New Roman" w:cs="Times New Roman"/>
          <w:sz w:val="22"/>
          <w:szCs w:val="22"/>
          <w:u w:val="single" w:color="auto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u w:val="single" w:color="auto"/>
          <w:spacing w:val="-2"/>
          <w:position w:val="1"/>
        </w:rPr>
        <w:t>Insurance        </w:t>
      </w:r>
      <w:r>
        <w:rPr>
          <w:rFonts w:ascii="SimHei" w:hAnsi="SimHei" w:eastAsia="SimHei" w:cs="SimHei"/>
          <w:sz w:val="22"/>
          <w:szCs w:val="22"/>
          <w:u w:val="single" w:color="auto"/>
          <w:spacing w:val="-2"/>
          <w:position w:val="1"/>
        </w:rPr>
        <w:t>中国</w:t>
      </w:r>
      <w:r>
        <w:rPr>
          <w:rFonts w:ascii="SimHei" w:hAnsi="SimHei" w:eastAsia="SimHei" w:cs="SimHei"/>
          <w:sz w:val="22"/>
          <w:szCs w:val="22"/>
          <w:u w:val="single" w:color="auto"/>
          <w:spacing w:val="-2"/>
          <w:position w:val="1"/>
        </w:rPr>
        <w:t xml:space="preserve">       </w:t>
      </w:r>
      <w:r>
        <w:rPr>
          <w:rFonts w:ascii="Times New Roman" w:hAnsi="Times New Roman" w:eastAsia="Times New Roman" w:cs="Times New Roman"/>
          <w:sz w:val="22"/>
          <w:szCs w:val="22"/>
          <w:u w:val="single" w:color="auto"/>
          <w:spacing w:val="-2"/>
          <w:position w:val="1"/>
        </w:rPr>
        <w:t>8,850          </w:t>
      </w:r>
      <w:r>
        <w:rPr>
          <w:rFonts w:ascii="Times New Roman" w:hAnsi="Times New Roman" w:eastAsia="Times New Roman" w:cs="Times New Roman"/>
          <w:sz w:val="22"/>
          <w:szCs w:val="22"/>
          <w:u w:val="single" w:color="auto"/>
          <w:spacing w:val="-3"/>
          <w:position w:val="1"/>
        </w:rPr>
        <w:t xml:space="preserve">                 </w:t>
      </w:r>
      <w:r>
        <w:rPr>
          <w:rFonts w:ascii="SimSun" w:hAnsi="SimSun" w:eastAsia="SimSun" w:cs="SimSun"/>
          <w:sz w:val="22"/>
          <w:szCs w:val="22"/>
          <w:u w:val="single" w:color="auto"/>
          <w:spacing w:val="-3"/>
        </w:rPr>
        <w:t>+6.8%        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before="72" w:line="221" w:lineRule="auto"/>
        <w:rPr>
          <w:rFonts w:ascii="SimSun" w:hAnsi="SimSun" w:eastAsia="SimSun" w:cs="SimSun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1"/>
        </w:rPr>
        <w:t>5</w:t>
      </w:r>
      <w:r>
        <w:rPr>
          <w:u w:val="single" w:color="auto"/>
          <w:spacing w:val="5"/>
          <w:position w:val="1"/>
        </w:rPr>
        <w:t xml:space="preserve">         </w:t>
      </w:r>
      <w:r>
        <w:rPr>
          <w:u w:val="single" w:color="auto"/>
          <w:spacing w:val="-1"/>
          <w:position w:val="1"/>
        </w:rPr>
        <w:t>AXA                                 </w:t>
      </w:r>
      <w:r>
        <w:rPr>
          <w:rFonts w:ascii="SimHei" w:hAnsi="SimHei" w:eastAsia="SimHei" w:cs="SimHei"/>
          <w:u w:val="single" w:color="auto"/>
          <w:spacing w:val="-1"/>
          <w:position w:val="1"/>
        </w:rPr>
        <w:t>法国</w:t>
      </w:r>
      <w:r>
        <w:rPr>
          <w:rFonts w:ascii="SimHei" w:hAnsi="SimHei" w:eastAsia="SimHei" w:cs="SimHei"/>
          <w:u w:val="single" w:color="auto"/>
          <w:spacing w:val="11"/>
          <w:position w:val="1"/>
        </w:rPr>
        <w:t xml:space="preserve">      </w:t>
      </w:r>
      <w:r>
        <w:rPr>
          <w:rFonts w:ascii="Times New Roman" w:hAnsi="Times New Roman" w:eastAsia="Times New Roman" w:cs="Times New Roman"/>
          <w:u w:val="single" w:color="auto"/>
          <w:spacing w:val="-1"/>
          <w:position w:val="1"/>
        </w:rPr>
        <w:t>7,136                          </w:t>
      </w:r>
      <w:r>
        <w:rPr>
          <w:rFonts w:ascii="SimSun" w:hAnsi="SimSun" w:eastAsia="SimSun" w:cs="SimSun"/>
          <w:u w:val="single" w:color="auto"/>
          <w:spacing w:val="-1"/>
        </w:rPr>
        <w:t>-10.5%</w:t>
      </w:r>
      <w:r>
        <w:rPr>
          <w:rFonts w:ascii="SimSun" w:hAnsi="SimSun" w:eastAsia="SimSun" w:cs="SimSun"/>
          <w:u w:val="single" w:color="auto"/>
          <w:spacing w:val="-2"/>
        </w:rPr>
        <w:t xml:space="preserve">       </w:t>
      </w:r>
    </w:p>
    <w:p>
      <w:pPr>
        <w:pStyle w:val="BodyText"/>
        <w:spacing w:line="263" w:lineRule="auto"/>
        <w:rPr>
          <w:sz w:val="21"/>
        </w:rPr>
      </w:pPr>
      <w:r/>
    </w:p>
    <w:p>
      <w:pPr>
        <w:pStyle w:val="BodyText"/>
        <w:spacing w:before="72" w:line="221" w:lineRule="auto"/>
        <w:rPr>
          <w:rFonts w:ascii="SimSun" w:hAnsi="SimSun" w:eastAsia="SimSun" w:cs="SimSun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1"/>
        </w:rPr>
        <w:t>6</w:t>
      </w:r>
      <w:r>
        <w:rPr>
          <w:u w:val="single" w:color="auto"/>
          <w:spacing w:val="5"/>
          <w:position w:val="1"/>
        </w:rPr>
        <w:t xml:space="preserve">         </w:t>
      </w:r>
      <w:r>
        <w:rPr>
          <w:u w:val="single" w:color="auto"/>
          <w:spacing w:val="-2"/>
          <w:position w:val="1"/>
        </w:rPr>
        <w:t>Prudential</w:t>
      </w:r>
      <w:r>
        <w:rPr>
          <w:u w:val="single" w:color="auto"/>
          <w:spacing w:val="19"/>
          <w:position w:val="1"/>
        </w:rPr>
        <w:t xml:space="preserve"> </w:t>
      </w:r>
      <w:r>
        <w:rPr>
          <w:u w:val="single" w:color="auto"/>
          <w:spacing w:val="-2"/>
          <w:position w:val="1"/>
        </w:rPr>
        <w:t>Financial         </w:t>
      </w:r>
      <w:r>
        <w:rPr>
          <w:rFonts w:ascii="SimHei" w:hAnsi="SimHei" w:eastAsia="SimHei" w:cs="SimHei"/>
          <w:u w:val="single" w:color="auto"/>
          <w:spacing w:val="-2"/>
          <w:position w:val="1"/>
        </w:rPr>
        <w:t>美国</w:t>
      </w:r>
      <w:r>
        <w:rPr>
          <w:rFonts w:ascii="SimHei" w:hAnsi="SimHei" w:eastAsia="SimHei" w:cs="SimHei"/>
          <w:u w:val="single" w:color="auto"/>
          <w:spacing w:val="-2"/>
          <w:position w:val="1"/>
        </w:rPr>
        <w:t xml:space="preserve">       </w:t>
      </w:r>
      <w:r>
        <w:rPr>
          <w:rFonts w:ascii="Times New Roman" w:hAnsi="Times New Roman" w:eastAsia="Times New Roman" w:cs="Times New Roman"/>
          <w:u w:val="single" w:color="auto"/>
          <w:spacing w:val="-2"/>
          <w:position w:val="1"/>
        </w:rPr>
        <w:t>6,899                          </w:t>
      </w:r>
      <w:r>
        <w:rPr>
          <w:rFonts w:ascii="SimSun" w:hAnsi="SimSun" w:eastAsia="SimSun" w:cs="SimSun"/>
          <w:u w:val="single" w:color="auto"/>
          <w:spacing w:val="-2"/>
        </w:rPr>
        <w:t>-26.</w:t>
      </w:r>
      <w:r>
        <w:rPr>
          <w:rFonts w:ascii="SimSun" w:hAnsi="SimSun" w:eastAsia="SimSun" w:cs="SimSun"/>
          <w:u w:val="single" w:color="auto"/>
          <w:spacing w:val="-3"/>
        </w:rPr>
        <w:t>4%       </w:t>
      </w:r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before="72" w:line="212" w:lineRule="auto"/>
        <w:rPr>
          <w:rFonts w:ascii="SimSun" w:hAnsi="SimSun" w:eastAsia="SimSun" w:cs="SimSun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7</w:t>
      </w:r>
      <w:r>
        <w:rPr>
          <w:sz w:val="16"/>
          <w:szCs w:val="16"/>
          <w:u w:val="single" w:color="auto"/>
          <w:spacing w:val="2"/>
        </w:rPr>
        <w:t xml:space="preserve">             </w:t>
      </w:r>
      <w:r>
        <w:rPr>
          <w:sz w:val="16"/>
          <w:szCs w:val="16"/>
          <w:u w:val="single" w:color="auto"/>
          <w:spacing w:val="-3"/>
        </w:rPr>
        <w:t>MetLife</w:t>
      </w:r>
      <w:r>
        <w:rPr>
          <w:sz w:val="16"/>
          <w:szCs w:val="16"/>
          <w:u w:val="single" w:color="auto"/>
          <w:spacing w:val="1"/>
        </w:rPr>
        <w:t xml:space="preserve">                                           </w:t>
      </w:r>
      <w:r>
        <w:rPr>
          <w:rFonts w:ascii="SimHei" w:hAnsi="SimHei" w:eastAsia="SimHei" w:cs="SimHei"/>
          <w:u w:val="single" w:color="auto"/>
          <w:spacing w:val="-3"/>
        </w:rPr>
        <w:t>美国</w:t>
      </w:r>
      <w:r>
        <w:rPr>
          <w:rFonts w:ascii="SimHei" w:hAnsi="SimHei" w:eastAsia="SimHei" w:cs="SimHei"/>
          <w:u w:val="single" w:color="auto"/>
          <w:spacing w:val="-3"/>
        </w:rPr>
        <w:t xml:space="preserve">       </w:t>
      </w:r>
      <w:r>
        <w:rPr>
          <w:rFonts w:ascii="Times New Roman" w:hAnsi="Times New Roman" w:eastAsia="Times New Roman" w:cs="Times New Roman"/>
          <w:u w:val="single" w:color="auto"/>
          <w:spacing w:val="-3"/>
        </w:rPr>
        <w:t>6,666</w:t>
      </w:r>
      <w:r>
        <w:rPr>
          <w:rFonts w:ascii="Times New Roman" w:hAnsi="Times New Roman" w:eastAsia="Times New Roman" w:cs="Times New Roman"/>
          <w:u w:val="single" w:color="auto"/>
        </w:rPr>
        <w:t xml:space="preserve">                          </w:t>
      </w:r>
      <w:r>
        <w:rPr>
          <w:rFonts w:ascii="SimSun" w:hAnsi="SimSun" w:eastAsia="SimSun" w:cs="SimSun"/>
          <w:u w:val="single" w:color="auto"/>
          <w:spacing w:val="-3"/>
        </w:rPr>
        <w:t>-12.3%</w:t>
      </w:r>
      <w:r>
        <w:rPr>
          <w:rFonts w:ascii="SimSun" w:hAnsi="SimSun" w:eastAsia="SimSun" w:cs="SimSun"/>
          <w:u w:val="single" w:color="auto"/>
          <w:spacing w:val="1"/>
        </w:rPr>
        <w:t xml:space="preserve">       </w:t>
      </w:r>
    </w:p>
    <w:p>
      <w:pPr>
        <w:pStyle w:val="BodyText"/>
        <w:spacing w:line="277" w:lineRule="auto"/>
        <w:rPr>
          <w:sz w:val="21"/>
        </w:rPr>
      </w:pPr>
      <w:r/>
    </w:p>
    <w:p>
      <w:pPr>
        <w:pStyle w:val="BodyText"/>
        <w:spacing w:before="71" w:line="252" w:lineRule="auto"/>
        <w:rPr>
          <w:rFonts w:ascii="SimSun" w:hAnsi="SimSun" w:eastAsia="SimSun" w:cs="SimSun"/>
        </w:rPr>
      </w:pPr>
      <w:r>
        <w:rPr>
          <w:b/>
          <w:bCs/>
          <w:spacing w:val="-3"/>
        </w:rPr>
        <w:t>8</w:t>
      </w:r>
      <w:r>
        <w:rPr>
          <w:b/>
          <w:bCs/>
          <w:u w:val="single" w:color="auto"/>
          <w:spacing w:val="-3"/>
        </w:rPr>
        <w:t xml:space="preserve">         </w:t>
      </w:r>
      <w:r>
        <w:rPr>
          <w:u w:val="single" w:color="auto"/>
          <w:spacing w:val="-3"/>
        </w:rPr>
        <w:t>Nippon</w:t>
      </w:r>
      <w:r>
        <w:rPr>
          <w:u w:val="single" w:color="auto"/>
          <w:spacing w:val="30"/>
        </w:rPr>
        <w:t xml:space="preserve"> </w:t>
      </w:r>
      <w:r>
        <w:rPr>
          <w:u w:val="single" w:color="auto"/>
          <w:spacing w:val="-3"/>
        </w:rPr>
        <w:t>Life</w:t>
      </w:r>
      <w:r>
        <w:rPr>
          <w:u w:val="single" w:color="auto"/>
          <w:spacing w:val="33"/>
          <w:w w:val="101"/>
        </w:rPr>
        <w:t xml:space="preserve"> </w:t>
      </w:r>
      <w:r>
        <w:rPr>
          <w:u w:val="single" w:color="auto"/>
          <w:spacing w:val="-3"/>
        </w:rPr>
        <w:t>Insurance</w:t>
      </w:r>
      <w:r>
        <w:rPr>
          <w:u w:val="single" w:color="auto"/>
          <w:spacing w:val="1"/>
        </w:rPr>
        <w:t xml:space="preserve">     </w:t>
      </w:r>
      <w:r>
        <w:rPr>
          <w:rFonts w:ascii="SimHei" w:hAnsi="SimHei" w:eastAsia="SimHei" w:cs="SimHei"/>
          <w:u w:val="single" w:color="auto"/>
          <w:spacing w:val="-3"/>
          <w:position w:val="2"/>
        </w:rPr>
        <w:t>日本</w:t>
      </w:r>
      <w:r>
        <w:rPr>
          <w:rFonts w:ascii="SimHei" w:hAnsi="SimHei" w:eastAsia="SimHei" w:cs="SimHei"/>
          <w:u w:val="single" w:color="auto"/>
          <w:spacing w:val="1"/>
          <w:position w:val="2"/>
        </w:rPr>
        <w:t xml:space="preserve">       </w:t>
      </w:r>
      <w:r>
        <w:rPr>
          <w:rFonts w:ascii="Times New Roman" w:hAnsi="Times New Roman" w:eastAsia="Times New Roman" w:cs="Times New Roman"/>
          <w:u w:val="single" w:color="auto"/>
          <w:spacing w:val="-3"/>
          <w:position w:val="2"/>
        </w:rPr>
        <w:t>6,605     </w:t>
      </w:r>
      <w:r>
        <w:rPr>
          <w:rFonts w:ascii="Times New Roman" w:hAnsi="Times New Roman" w:eastAsia="Times New Roman" w:cs="Times New Roman"/>
          <w:u w:val="single" w:color="auto"/>
          <w:spacing w:val="-4"/>
          <w:position w:val="2"/>
        </w:rPr>
        <w:t xml:space="preserve">                      </w:t>
      </w:r>
      <w:r>
        <w:rPr>
          <w:rFonts w:ascii="SimSun" w:hAnsi="SimSun" w:eastAsia="SimSun" w:cs="SimSun"/>
          <w:b/>
          <w:bCs/>
          <w:u w:val="single" w:color="auto"/>
          <w:spacing w:val="-4"/>
          <w:position w:val="2"/>
        </w:rPr>
        <w:t>-0.9%</w:t>
      </w:r>
      <w:r>
        <w:rPr>
          <w:rFonts w:ascii="SimSun" w:hAnsi="SimSun" w:eastAsia="SimSun" w:cs="SimSun"/>
          <w:u w:val="single" w:color="auto"/>
          <w:spacing w:val="-4"/>
          <w:position w:val="2"/>
        </w:rPr>
        <w:t xml:space="preserve">        </w:t>
      </w:r>
    </w:p>
    <w:p>
      <w:pPr>
        <w:pStyle w:val="BodyText"/>
        <w:spacing w:line="251" w:lineRule="auto"/>
        <w:rPr>
          <w:sz w:val="21"/>
        </w:rPr>
      </w:pPr>
      <w:r/>
    </w:p>
    <w:p>
      <w:pPr>
        <w:pStyle w:val="BodyText"/>
        <w:spacing w:before="72" w:line="212" w:lineRule="auto"/>
        <w:rPr>
          <w:rFonts w:ascii="SimSun" w:hAnsi="SimSun" w:eastAsia="SimSun" w:cs="SimSun"/>
        </w:rPr>
      </w:pPr>
      <w:r>
        <w:rPr>
          <w:b/>
          <w:bCs/>
          <w:spacing w:val="-2"/>
        </w:rPr>
        <w:t>9</w:t>
      </w:r>
      <w:r>
        <w:rPr>
          <w:b/>
          <w:bCs/>
          <w:u w:val="single" w:color="auto"/>
          <w:spacing w:val="-2"/>
        </w:rPr>
        <w:t xml:space="preserve">         </w:t>
      </w:r>
      <w:r>
        <w:rPr>
          <w:u w:val="single" w:color="auto"/>
          <w:spacing w:val="-2"/>
        </w:rPr>
        <w:t>Manulife</w:t>
      </w:r>
      <w:r>
        <w:rPr>
          <w:u w:val="single" w:color="auto"/>
          <w:spacing w:val="18"/>
          <w:w w:val="101"/>
        </w:rPr>
        <w:t xml:space="preserve"> </w:t>
      </w:r>
      <w:r>
        <w:rPr>
          <w:u w:val="single" w:color="auto"/>
          <w:spacing w:val="-2"/>
        </w:rPr>
        <w:t>Financial</w:t>
      </w:r>
      <w:r>
        <w:rPr>
          <w:u w:val="single" w:color="auto"/>
          <w:spacing w:val="2"/>
        </w:rPr>
        <w:t xml:space="preserve">           </w:t>
      </w:r>
      <w:r>
        <w:rPr>
          <w:rFonts w:ascii="SimHei" w:hAnsi="SimHei" w:eastAsia="SimHei" w:cs="SimHei"/>
          <w:u w:val="single" w:color="auto"/>
          <w:spacing w:val="-2"/>
        </w:rPr>
        <w:t>加拿大</w:t>
      </w:r>
      <w:r>
        <w:rPr>
          <w:rFonts w:ascii="SimHei" w:hAnsi="SimHei" w:eastAsia="SimHei" w:cs="SimHei"/>
          <w:u w:val="single" w:color="auto"/>
          <w:spacing w:val="-2"/>
        </w:rPr>
        <w:t xml:space="preserve">     </w:t>
      </w:r>
      <w:r>
        <w:rPr>
          <w:rFonts w:ascii="Times New Roman" w:hAnsi="Times New Roman" w:eastAsia="Times New Roman" w:cs="Times New Roman"/>
          <w:u w:val="single" w:color="auto"/>
          <w:spacing w:val="-2"/>
        </w:rPr>
        <w:t>6,268                     </w:t>
      </w:r>
      <w:r>
        <w:rPr>
          <w:rFonts w:ascii="Times New Roman" w:hAnsi="Times New Roman" w:eastAsia="Times New Roman" w:cs="Times New Roman"/>
          <w:u w:val="single" w:color="auto"/>
          <w:spacing w:val="-3"/>
        </w:rPr>
        <w:t xml:space="preserve">     </w:t>
      </w:r>
      <w:r>
        <w:rPr>
          <w:rFonts w:ascii="SimSun" w:hAnsi="SimSun" w:eastAsia="SimSun" w:cs="SimSun"/>
          <w:b/>
          <w:bCs/>
          <w:u w:val="single" w:color="auto"/>
          <w:spacing w:val="-3"/>
        </w:rPr>
        <w:t>-7.5%</w:t>
      </w:r>
      <w:r>
        <w:rPr>
          <w:rFonts w:ascii="SimSun" w:hAnsi="SimSun" w:eastAsia="SimSun" w:cs="SimSun"/>
          <w:u w:val="single" w:color="auto"/>
          <w:spacing w:val="-3"/>
        </w:rPr>
        <w:t xml:space="preserve">        </w:t>
      </w:r>
    </w:p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spacing w:before="72" w:line="212" w:lineRule="auto"/>
        <w:rPr>
          <w:rFonts w:ascii="SimSun" w:hAnsi="SimSun" w:eastAsia="SimSun" w:cs="SimSun"/>
        </w:rPr>
      </w:pPr>
      <w:r>
        <w:rPr>
          <w:b/>
          <w:bCs/>
          <w:spacing w:val="-2"/>
        </w:rPr>
        <w:t>10       </w:t>
      </w:r>
      <w:r>
        <w:rPr>
          <w:spacing w:val="-2"/>
        </w:rPr>
        <w:t>Legal</w:t>
      </w:r>
      <w:r>
        <w:rPr>
          <w:spacing w:val="34"/>
          <w:w w:val="101"/>
        </w:rPr>
        <w:t xml:space="preserve"> </w:t>
      </w:r>
      <w:r>
        <w:rPr>
          <w:spacing w:val="-2"/>
        </w:rPr>
        <w:t>&amp;General</w:t>
      </w:r>
      <w:r>
        <w:rPr>
          <w:spacing w:val="29"/>
        </w:rPr>
        <w:t xml:space="preserve"> </w:t>
      </w:r>
      <w:r>
        <w:rPr>
          <w:spacing w:val="-2"/>
        </w:rPr>
        <w:t>Group    </w:t>
      </w:r>
      <w:r>
        <w:rPr>
          <w:rFonts w:ascii="SimHei" w:hAnsi="SimHei" w:eastAsia="SimHei" w:cs="SimHei"/>
          <w:spacing w:val="-2"/>
        </w:rPr>
        <w:t>英国</w:t>
      </w:r>
      <w:r>
        <w:rPr>
          <w:rFonts w:ascii="SimHei" w:hAnsi="SimHei" w:eastAsia="SimHei" w:cs="SimHei"/>
          <w:spacing w:val="-2"/>
        </w:rPr>
        <w:t xml:space="preserve">       </w:t>
      </w:r>
      <w:r>
        <w:rPr>
          <w:rFonts w:ascii="Times New Roman" w:hAnsi="Times New Roman" w:eastAsia="Times New Roman" w:cs="Times New Roman"/>
          <w:b/>
          <w:bCs/>
          <w:spacing w:val="-2"/>
          <w:position w:val="1"/>
        </w:rPr>
        <w:t>6,191                           </w:t>
      </w:r>
      <w:r>
        <w:rPr>
          <w:rFonts w:ascii="SimSun" w:hAnsi="SimSun" w:eastAsia="SimSun" w:cs="SimSun"/>
          <w:b/>
          <w:bCs/>
          <w:spacing w:val="-2"/>
        </w:rPr>
        <w:t>-11.9%</w:t>
      </w:r>
    </w:p>
    <w:p>
      <w:pPr>
        <w:spacing w:line="212" w:lineRule="auto"/>
        <w:sectPr>
          <w:pgSz w:w="12240" w:h="15840"/>
          <w:pgMar w:top="1138" w:right="1145" w:bottom="0" w:left="980" w:header="0" w:footer="0" w:gutter="0"/>
        </w:sectPr>
        <w:rPr>
          <w:rFonts w:ascii="SimSun" w:hAnsi="SimSun" w:eastAsia="SimSun" w:cs="SimSun"/>
        </w:rPr>
      </w:pPr>
    </w:p>
    <w:p>
      <w:pPr>
        <w:ind w:left="20"/>
        <w:spacing w:before="143" w:line="222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13"/>
        </w:rPr>
        <w:t>核心比较分析(横向对比)</w:t>
      </w:r>
    </w:p>
    <w:p>
      <w:pPr>
        <w:ind w:left="19"/>
        <w:spacing w:before="193" w:line="222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7"/>
        </w:rPr>
        <w:t>1.</w:t>
      </w:r>
      <w:r>
        <w:rPr>
          <w:rFonts w:ascii="SimHei" w:hAnsi="SimHei" w:eastAsia="SimHei" w:cs="SimHei"/>
          <w:sz w:val="30"/>
          <w:szCs w:val="30"/>
          <w:b/>
          <w:bCs/>
          <w:spacing w:val="-7"/>
        </w:rPr>
        <w:t>融资情况</w:t>
      </w:r>
    </w:p>
    <w:p>
      <w:pPr>
        <w:ind w:left="15"/>
        <w:spacing w:before="250" w:line="21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31"/>
        </w:rPr>
        <w:t>保险公司融资主要通过发行债券、次级债、</w:t>
      </w:r>
      <w:r>
        <w:rPr>
          <w:rFonts w:ascii="SimHei" w:hAnsi="SimHei" w:eastAsia="SimHei" w:cs="SimHei"/>
          <w:sz w:val="21"/>
          <w:szCs w:val="21"/>
          <w:spacing w:val="30"/>
        </w:rPr>
        <w:t>股票增发及内部留存收益，关键指标包括资本充足率</w:t>
      </w:r>
    </w:p>
    <w:p>
      <w:pPr>
        <w:pStyle w:val="BodyText"/>
        <w:ind w:left="15" w:firstLine="159"/>
        <w:spacing w:before="154" w:line="36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7"/>
        </w:rPr>
        <w:t>(</w:t>
      </w:r>
      <w:r>
        <w:rPr>
          <w:rFonts w:ascii="SimHei" w:hAnsi="SimHei" w:eastAsia="SimHei" w:cs="SimHei"/>
          <w:sz w:val="21"/>
          <w:szCs w:val="21"/>
          <w:spacing w:val="-3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7"/>
        </w:rPr>
        <w:t>欧</w:t>
      </w:r>
      <w:r>
        <w:rPr>
          <w:rFonts w:ascii="SimHei" w:hAnsi="SimHei" w:eastAsia="SimHei" w:cs="SimHei"/>
          <w:sz w:val="21"/>
          <w:szCs w:val="21"/>
          <w:spacing w:val="-4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7"/>
        </w:rPr>
        <w:t>洲</w:t>
      </w:r>
      <w:r>
        <w:rPr>
          <w:sz w:val="21"/>
          <w:szCs w:val="21"/>
          <w:spacing w:val="-7"/>
        </w:rPr>
        <w:t>Solvency     II</w:t>
      </w:r>
      <w:r>
        <w:rPr>
          <w:rFonts w:ascii="SimSun" w:hAnsi="SimSun" w:eastAsia="SimSun" w:cs="SimSun"/>
          <w:sz w:val="21"/>
          <w:szCs w:val="21"/>
          <w:spacing w:val="-7"/>
        </w:rPr>
        <w:t>、</w:t>
      </w:r>
      <w:r>
        <w:rPr>
          <w:rFonts w:ascii="SimHei" w:hAnsi="SimHei" w:eastAsia="SimHei" w:cs="SimHei"/>
          <w:sz w:val="21"/>
          <w:szCs w:val="21"/>
          <w:spacing w:val="-7"/>
        </w:rPr>
        <w:t>美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7"/>
        </w:rPr>
        <w:t>国</w:t>
      </w:r>
      <w:r>
        <w:rPr>
          <w:sz w:val="21"/>
          <w:szCs w:val="21"/>
          <w:spacing w:val="-7"/>
        </w:rPr>
        <w:t>RBC</w:t>
      </w:r>
      <w:r>
        <w:rPr>
          <w:rFonts w:ascii="SimSun" w:hAnsi="SimSun" w:eastAsia="SimSun" w:cs="SimSun"/>
          <w:sz w:val="21"/>
          <w:szCs w:val="21"/>
          <w:spacing w:val="-8"/>
        </w:rPr>
        <w:t>、 </w:t>
      </w:r>
      <w:r>
        <w:rPr>
          <w:rFonts w:ascii="SimHei" w:hAnsi="SimHei" w:eastAsia="SimHei" w:cs="SimHei"/>
          <w:sz w:val="21"/>
          <w:szCs w:val="21"/>
          <w:spacing w:val="-8"/>
        </w:rPr>
        <w:t>中</w:t>
      </w:r>
      <w:r>
        <w:rPr>
          <w:rFonts w:ascii="SimHei" w:hAnsi="SimHei" w:eastAsia="SimHei" w:cs="SimHei"/>
          <w:sz w:val="21"/>
          <w:szCs w:val="21"/>
          <w:spacing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8"/>
        </w:rPr>
        <w:t>国</w:t>
      </w:r>
      <w:r>
        <w:rPr>
          <w:sz w:val="21"/>
          <w:szCs w:val="21"/>
          <w:spacing w:val="-8"/>
        </w:rPr>
        <w:t>C-ROSS)</w:t>
      </w:r>
      <w:r>
        <w:rPr>
          <w:sz w:val="21"/>
          <w:szCs w:val="21"/>
          <w:spacing w:val="2"/>
        </w:rPr>
        <w:t xml:space="preserve">     </w:t>
      </w:r>
      <w:r>
        <w:rPr>
          <w:rFonts w:ascii="SimHei" w:hAnsi="SimHei" w:eastAsia="SimHei" w:cs="SimHei"/>
          <w:sz w:val="21"/>
          <w:szCs w:val="21"/>
          <w:spacing w:val="42"/>
        </w:rPr>
        <w:t>和杠杆率(资产负债率，通常90%以上为行业常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6"/>
        </w:rPr>
        <w:t>态，但高资本缓冲降低风险)。</w:t>
      </w:r>
    </w:p>
    <w:p>
      <w:pPr>
        <w:ind w:left="4408"/>
        <w:spacing w:before="118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杠杆率/资产负</w:t>
      </w:r>
    </w:p>
    <w:p>
      <w:pPr>
        <w:ind w:left="18"/>
        <w:spacing w:before="98" w:line="23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4"/>
        </w:rPr>
        <w:t>公司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   </w:t>
      </w:r>
      <w:r>
        <w:rPr>
          <w:rFonts w:ascii="SimHei" w:hAnsi="SimHei" w:eastAsia="SimHei" w:cs="SimHei"/>
          <w:sz w:val="21"/>
          <w:szCs w:val="21"/>
          <w:b/>
          <w:bCs/>
          <w:spacing w:val="4"/>
        </w:rPr>
        <w:t>资本充足率(最新)</w:t>
      </w:r>
      <w:r>
        <w:rPr>
          <w:rFonts w:ascii="SimHei" w:hAnsi="SimHei" w:eastAsia="SimHei" w:cs="SimHei"/>
          <w:sz w:val="21"/>
          <w:szCs w:val="21"/>
          <w:spacing w:val="2"/>
        </w:rPr>
        <w:t xml:space="preserve">         </w:t>
      </w:r>
      <w:r>
        <w:rPr>
          <w:rFonts w:ascii="SimHei" w:hAnsi="SimHei" w:eastAsia="SimHei" w:cs="SimHei"/>
          <w:sz w:val="21"/>
          <w:szCs w:val="21"/>
          <w:b/>
          <w:bCs/>
          <w:spacing w:val="4"/>
        </w:rPr>
        <w:t>债率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         </w:t>
      </w:r>
      <w:r>
        <w:rPr>
          <w:rFonts w:ascii="SimHei" w:hAnsi="SimHei" w:eastAsia="SimHei" w:cs="SimHei"/>
          <w:sz w:val="21"/>
          <w:szCs w:val="21"/>
          <w:b/>
          <w:bCs/>
          <w:spacing w:val="4"/>
        </w:rPr>
        <w:t>近期融资特点</w:t>
      </w:r>
      <w:r>
        <w:rPr>
          <w:rFonts w:ascii="SimHei" w:hAnsi="SimHei" w:eastAsia="SimHei" w:cs="SimHei"/>
          <w:sz w:val="21"/>
          <w:szCs w:val="21"/>
          <w:spacing w:val="3"/>
        </w:rPr>
        <w:t xml:space="preserve">         </w:t>
      </w:r>
      <w:r>
        <w:rPr>
          <w:rFonts w:ascii="SimHei" w:hAnsi="SimHei" w:eastAsia="SimHei" w:cs="SimHei"/>
          <w:sz w:val="21"/>
          <w:szCs w:val="21"/>
          <w:b/>
          <w:bCs/>
          <w:spacing w:val="4"/>
        </w:rPr>
        <w:t>对比洞察</w:t>
      </w:r>
    </w:p>
    <w:p>
      <w:pPr>
        <w:spacing w:before="12"/>
        <w:rPr/>
      </w:pPr>
      <w:r/>
    </w:p>
    <w:p>
      <w:pPr>
        <w:sectPr>
          <w:pgSz w:w="12240" w:h="15840"/>
          <w:pgMar w:top="1346" w:right="1074" w:bottom="0" w:left="964" w:header="0" w:footer="0" w:gutter="0"/>
          <w:cols w:equalWidth="0" w:num="1">
            <w:col w:w="10201" w:space="0"/>
          </w:cols>
        </w:sectPr>
        <w:rPr/>
      </w:pPr>
    </w:p>
    <w:p>
      <w:pPr>
        <w:pStyle w:val="BodyText"/>
        <w:ind w:left="15"/>
        <w:spacing w:before="124" w:line="19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Allianz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495"/>
        <w:spacing w:before="56" w:line="286" w:lineRule="exact"/>
        <w:rPr>
          <w:sz w:val="21"/>
          <w:szCs w:val="21"/>
        </w:rPr>
      </w:pPr>
      <w:r>
        <w:rPr>
          <w:sz w:val="21"/>
          <w:szCs w:val="21"/>
          <w:spacing w:val="-2"/>
          <w:position w:val="3"/>
        </w:rPr>
        <w:t>Solvency</w:t>
      </w:r>
      <w:r>
        <w:rPr>
          <w:sz w:val="21"/>
          <w:szCs w:val="21"/>
          <w:spacing w:val="5"/>
          <w:position w:val="3"/>
        </w:rPr>
        <w:t xml:space="preserve">     </w:t>
      </w:r>
      <w:r>
        <w:rPr>
          <w:sz w:val="21"/>
          <w:szCs w:val="21"/>
          <w:spacing w:val="-2"/>
          <w:position w:val="3"/>
        </w:rPr>
        <w:t>I≈220%+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04"/>
        <w:spacing w:before="86" w:line="22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5"/>
        </w:rPr>
        <w:t>高(典型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      </w:t>
      </w:r>
      <w:r>
        <w:rPr>
          <w:rFonts w:ascii="SimHei" w:hAnsi="SimHei" w:eastAsia="SimHei" w:cs="SimHei"/>
          <w:sz w:val="21"/>
          <w:szCs w:val="21"/>
          <w:spacing w:val="5"/>
        </w:rPr>
        <w:t>发行绿色债券，支持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  </w:t>
      </w:r>
      <w:r>
        <w:rPr>
          <w:rFonts w:ascii="SimHei" w:hAnsi="SimHei" w:eastAsia="SimHei" w:cs="SimHei"/>
          <w:sz w:val="21"/>
          <w:szCs w:val="21"/>
          <w:spacing w:val="5"/>
        </w:rPr>
        <w:t>最强资本缓冲，低</w:t>
      </w:r>
    </w:p>
    <w:p>
      <w:pPr>
        <w:ind w:left="507"/>
        <w:spacing w:before="126" w:line="187" w:lineRule="auto"/>
        <w:rPr>
          <w:rFonts w:ascii="SimHei" w:hAnsi="SimHei" w:eastAsia="SimHei" w:cs="SimHe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  <w:position w:val="1"/>
        </w:rPr>
        <w:t>95%)</w:t>
      </w:r>
      <w:r>
        <w:rPr>
          <w:rFonts w:ascii="Times New Roman" w:hAnsi="Times New Roman" w:eastAsia="Times New Roman" w:cs="Times New Roman"/>
          <w:sz w:val="20"/>
          <w:szCs w:val="20"/>
          <w:spacing w:val="1"/>
          <w:position w:val="1"/>
        </w:rPr>
        <w:t xml:space="preserve">               </w:t>
      </w:r>
      <w:r>
        <w:rPr>
          <w:rFonts w:ascii="SimHei" w:hAnsi="SimHei" w:eastAsia="SimHei" w:cs="SimHei"/>
          <w:sz w:val="20"/>
          <w:szCs w:val="20"/>
          <w:spacing w:val="-4"/>
        </w:rPr>
        <w:t>可</w:t>
      </w:r>
      <w:r>
        <w:rPr>
          <w:rFonts w:ascii="SimHei" w:hAnsi="SimHei" w:eastAsia="SimHei" w:cs="SimHei"/>
          <w:sz w:val="20"/>
          <w:szCs w:val="20"/>
          <w:spacing w:val="-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持</w:t>
      </w:r>
      <w:r>
        <w:rPr>
          <w:rFonts w:ascii="SimHei" w:hAnsi="SimHei" w:eastAsia="SimHei" w:cs="SimHei"/>
          <w:sz w:val="20"/>
          <w:szCs w:val="20"/>
          <w:spacing w:val="-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续</w:t>
      </w:r>
      <w:r>
        <w:rPr>
          <w:rFonts w:ascii="SimHei" w:hAnsi="SimHei" w:eastAsia="SimHei" w:cs="SimHei"/>
          <w:sz w:val="20"/>
          <w:szCs w:val="20"/>
          <w:spacing w:val="-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投</w:t>
      </w:r>
      <w:r>
        <w:rPr>
          <w:rFonts w:ascii="SimHei" w:hAnsi="SimHei" w:eastAsia="SimHei" w:cs="SimHei"/>
          <w:sz w:val="20"/>
          <w:szCs w:val="20"/>
          <w:spacing w:val="-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资</w:t>
      </w:r>
      <w:r>
        <w:rPr>
          <w:rFonts w:ascii="SimHei" w:hAnsi="SimHei" w:eastAsia="SimHei" w:cs="SimHei"/>
          <w:sz w:val="20"/>
          <w:szCs w:val="20"/>
          <w:spacing w:val="-4"/>
        </w:rPr>
        <w:t xml:space="preserve">           </w:t>
      </w:r>
      <w:r>
        <w:rPr>
          <w:rFonts w:ascii="SimHei" w:hAnsi="SimHei" w:eastAsia="SimHei" w:cs="SimHei"/>
          <w:sz w:val="20"/>
          <w:szCs w:val="20"/>
          <w:spacing w:val="-4"/>
        </w:rPr>
        <w:t>融</w:t>
      </w:r>
      <w:r>
        <w:rPr>
          <w:rFonts w:ascii="SimHei" w:hAnsi="SimHei" w:eastAsia="SimHei" w:cs="SimHei"/>
          <w:sz w:val="20"/>
          <w:szCs w:val="20"/>
          <w:spacing w:val="29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资</w:t>
      </w:r>
      <w:r>
        <w:rPr>
          <w:rFonts w:ascii="SimHei" w:hAnsi="SimHei" w:eastAsia="SimHei" w:cs="SimHei"/>
          <w:sz w:val="20"/>
          <w:szCs w:val="20"/>
          <w:spacing w:val="-4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成</w:t>
      </w:r>
      <w:r>
        <w:rPr>
          <w:rFonts w:ascii="SimHei" w:hAnsi="SimHei" w:eastAsia="SimHei" w:cs="SimHei"/>
          <w:sz w:val="20"/>
          <w:szCs w:val="20"/>
          <w:spacing w:val="20"/>
        </w:rPr>
        <w:t xml:space="preserve"> </w:t>
      </w:r>
      <w:r>
        <w:rPr>
          <w:rFonts w:ascii="SimHei" w:hAnsi="SimHei" w:eastAsia="SimHei" w:cs="SimHei"/>
          <w:sz w:val="20"/>
          <w:szCs w:val="20"/>
          <w:spacing w:val="-4"/>
        </w:rPr>
        <w:t>本</w:t>
      </w:r>
    </w:p>
    <w:p>
      <w:pPr>
        <w:spacing w:line="187" w:lineRule="auto"/>
        <w:sectPr>
          <w:type w:val="continuous"/>
          <w:pgSz w:w="12240" w:h="15840"/>
          <w:pgMar w:top="1346" w:right="1074" w:bottom="0" w:left="964" w:header="0" w:footer="0" w:gutter="0"/>
          <w:cols w:equalWidth="0" w:num="3">
            <w:col w:w="1130" w:space="0"/>
            <w:col w:w="2872" w:space="0"/>
            <w:col w:w="6200" w:space="0"/>
          </w:cols>
        </w:sectPr>
        <w:rPr>
          <w:rFonts w:ascii="SimHei" w:hAnsi="SimHei" w:eastAsia="SimHei" w:cs="SimHei"/>
          <w:sz w:val="20"/>
          <w:szCs w:val="20"/>
        </w:rPr>
      </w:pPr>
    </w:p>
    <w:tbl>
      <w:tblPr>
        <w:tblStyle w:val="TableNormal"/>
        <w:tblW w:w="10105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042"/>
        <w:gridCol w:w="3944"/>
        <w:gridCol w:w="2119"/>
      </w:tblGrid>
      <w:tr>
        <w:trPr>
          <w:trHeight w:val="969" w:hRule="atLeast"/>
        </w:trPr>
        <w:tc>
          <w:tcPr>
            <w:tcW w:w="7986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9" w:line="227" w:lineRule="auto"/>
              <w:rPr/>
            </w:pPr>
            <w:r>
              <w:rPr>
                <w:rFonts w:ascii="Arial" w:hAnsi="Arial" w:eastAsia="Arial" w:cs="Arial"/>
              </w:rPr>
              <w:t>Ping</w:t>
            </w:r>
            <w:r>
              <w:rPr>
                <w:rFonts w:ascii="Arial" w:hAnsi="Arial" w:eastAsia="Arial" w:cs="Arial"/>
                <w:spacing w:val="45"/>
                <w:w w:val="101"/>
              </w:rPr>
              <w:t xml:space="preserve"> </w:t>
            </w:r>
            <w:r>
              <w:rPr>
                <w:rFonts w:ascii="Arial" w:hAnsi="Arial" w:eastAsia="Arial" w:cs="Arial"/>
              </w:rPr>
              <w:t>An</w:t>
            </w:r>
            <w:r>
              <w:rPr>
                <w:rFonts w:ascii="Arial" w:hAnsi="Arial" w:eastAsia="Arial" w:cs="Arial"/>
                <w:spacing w:val="7"/>
              </w:rPr>
              <w:t xml:space="preserve">             </w:t>
            </w:r>
            <w:r>
              <w:rPr>
                <w:spacing w:val="7"/>
              </w:rPr>
              <w:t>核心189.8%、综合225.2%</w:t>
            </w:r>
            <w:r>
              <w:rPr>
                <w:spacing w:val="26"/>
              </w:rPr>
              <w:t xml:space="preserve">  </w:t>
            </w:r>
            <w:r>
              <w:rPr>
                <w:spacing w:val="7"/>
              </w:rPr>
              <w:t>中高</w:t>
            </w:r>
            <w:r>
              <w:rPr>
                <w:spacing w:val="7"/>
              </w:rPr>
              <w:t xml:space="preserve"> </w:t>
            </w:r>
            <w:r>
              <w:rPr>
                <w:spacing w:val="6"/>
              </w:rPr>
              <w:t xml:space="preserve">          </w:t>
            </w:r>
            <w:r>
              <w:rPr>
                <w:spacing w:val="6"/>
              </w:rPr>
              <w:t>内部留存+债券</w:t>
            </w:r>
          </w:p>
          <w:p>
            <w:pPr>
              <w:ind w:left="1731"/>
              <w:spacing w:before="132" w:line="184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(2025H1)</w:t>
            </w:r>
          </w:p>
        </w:tc>
        <w:tc>
          <w:tcPr>
            <w:tcW w:w="21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 w:right="186" w:hanging="9"/>
              <w:spacing w:before="68" w:line="262" w:lineRule="auto"/>
              <w:rPr>
                <w:sz w:val="19"/>
                <w:szCs w:val="19"/>
              </w:rPr>
            </w:pPr>
            <w:r>
              <w:rPr>
                <w:spacing w:val="-1"/>
              </w:rPr>
              <w:t>增长型融资，充足</w:t>
            </w:r>
            <w:r>
              <w:rPr/>
              <w:t xml:space="preserve"> </w:t>
            </w:r>
            <w:r>
              <w:rPr>
                <w:sz w:val="19"/>
                <w:szCs w:val="19"/>
                <w:spacing w:val="-5"/>
              </w:rPr>
              <w:t>率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稳</w:t>
            </w:r>
            <w:r>
              <w:rPr>
                <w:sz w:val="19"/>
                <w:szCs w:val="19"/>
                <w:spacing w:val="28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健</w:t>
            </w:r>
          </w:p>
        </w:tc>
      </w:tr>
      <w:tr>
        <w:trPr>
          <w:trHeight w:val="963" w:hRule="atLeast"/>
        </w:trPr>
        <w:tc>
          <w:tcPr>
            <w:tcW w:w="7986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8" w:line="221" w:lineRule="auto"/>
              <w:rPr/>
            </w:pPr>
            <w:r>
              <w:rPr>
                <w:rFonts w:ascii="Arial" w:hAnsi="Arial" w:eastAsia="Arial" w:cs="Arial"/>
                <w:b/>
                <w:bCs/>
              </w:rPr>
              <w:t>Berkshire</w:t>
            </w:r>
            <w:r>
              <w:rPr>
                <w:rFonts w:ascii="Arial" w:hAnsi="Arial" w:eastAsia="Arial" w:cs="Arial"/>
                <w:b/>
                <w:bCs/>
                <w:spacing w:val="3"/>
              </w:rPr>
              <w:t xml:space="preserve">           </w:t>
            </w:r>
            <w:r>
              <w:rPr>
                <w:rFonts w:ascii="SimSun" w:hAnsi="SimSun" w:eastAsia="SimSun" w:cs="SimSun"/>
              </w:rPr>
              <w:t>RBC</w:t>
            </w:r>
            <w:r>
              <w:rPr>
                <w:rFonts w:ascii="SimSun" w:hAnsi="SimSun" w:eastAsia="SimSun" w:cs="SimSun"/>
                <w:spacing w:val="3"/>
              </w:rPr>
              <w:t xml:space="preserve"> </w:t>
            </w:r>
            <w:r>
              <w:rPr>
                <w:spacing w:val="3"/>
              </w:rPr>
              <w:t>极高(浮存金优势)</w:t>
            </w:r>
            <w:r>
              <w:rPr>
                <w:spacing w:val="5"/>
              </w:rPr>
              <w:t xml:space="preserve">     </w:t>
            </w:r>
            <w:r>
              <w:rPr>
                <w:spacing w:val="3"/>
              </w:rPr>
              <w:t>中</w:t>
            </w:r>
            <w:r>
              <w:rPr>
                <w:spacing w:val="4"/>
              </w:rPr>
              <w:t xml:space="preserve">             </w:t>
            </w:r>
            <w:r>
              <w:rPr>
                <w:spacing w:val="3"/>
              </w:rPr>
              <w:t>几乎无外部融资，依</w:t>
            </w:r>
          </w:p>
          <w:p>
            <w:pPr>
              <w:pStyle w:val="TableText"/>
              <w:ind w:left="5816"/>
              <w:spacing w:before="115" w:line="17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赖</w:t>
            </w:r>
            <w:r>
              <w:rPr>
                <w:sz w:val="19"/>
                <w:szCs w:val="19"/>
                <w:spacing w:val="24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承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保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利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润</w:t>
            </w:r>
          </w:p>
        </w:tc>
        <w:tc>
          <w:tcPr>
            <w:tcW w:w="21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9"/>
              <w:spacing w:before="68" w:line="221" w:lineRule="auto"/>
              <w:rPr/>
            </w:pPr>
            <w:r>
              <w:rPr>
                <w:spacing w:val="-2"/>
              </w:rPr>
              <w:t>最低杠杆风险</w:t>
            </w:r>
          </w:p>
        </w:tc>
      </w:tr>
      <w:tr>
        <w:trPr>
          <w:trHeight w:val="720" w:hRule="atLeast"/>
        </w:trPr>
        <w:tc>
          <w:tcPr>
            <w:tcW w:w="7986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9" w:line="222" w:lineRule="auto"/>
              <w:rPr/>
            </w:pPr>
            <w:r>
              <w:rPr>
                <w:rFonts w:ascii="Arial" w:hAnsi="Arial" w:eastAsia="Arial" w:cs="Arial"/>
                <w:b/>
                <w:bCs/>
              </w:rPr>
              <w:t>China Life           C-ROSS&gt;200%              </w:t>
            </w:r>
            <w:r>
              <w:rPr>
                <w:rFonts w:ascii="Arial" w:hAnsi="Arial" w:eastAsia="Arial" w:cs="Arial"/>
                <w:b/>
                <w:bCs/>
                <w:spacing w:val="-1"/>
              </w:rPr>
              <w:t xml:space="preserve">         </w:t>
            </w:r>
            <w:r>
              <w:rPr>
                <w:spacing w:val="-1"/>
              </w:rPr>
              <w:t>高</w:t>
            </w:r>
            <w:r>
              <w:rPr>
                <w:spacing w:val="-1"/>
              </w:rPr>
              <w:t xml:space="preserve">             </w:t>
            </w:r>
            <w:r>
              <w:rPr>
                <w:spacing w:val="-1"/>
              </w:rPr>
              <w:t>国家支持+债券</w:t>
            </w:r>
          </w:p>
        </w:tc>
        <w:tc>
          <w:tcPr>
            <w:tcW w:w="21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9"/>
              <w:spacing w:before="68" w:line="221" w:lineRule="auto"/>
              <w:rPr/>
            </w:pPr>
            <w:r>
              <w:rPr>
                <w:spacing w:val="-1"/>
              </w:rPr>
              <w:t>稳定但依赖政策</w:t>
            </w:r>
          </w:p>
        </w:tc>
      </w:tr>
      <w:tr>
        <w:trPr>
          <w:trHeight w:val="857" w:hRule="atLeast"/>
        </w:trPr>
        <w:tc>
          <w:tcPr>
            <w:tcW w:w="7986" w:type="dxa"/>
            <w:vAlign w:val="top"/>
            <w:gridSpan w:val="2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67" w:right="282" w:hanging="1552"/>
              <w:spacing w:before="275" w:line="27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  <w:position w:val="-1"/>
              </w:rPr>
              <w:t>AXA                    </w:t>
            </w:r>
            <w:r>
              <w:rPr>
                <w:rFonts w:ascii="Arial" w:hAnsi="Arial" w:eastAsia="Arial" w:cs="Arial"/>
                <w:b/>
                <w:bCs/>
                <w:spacing w:val="-1"/>
              </w:rPr>
              <w:t>Solvency II 221%                    </w:t>
            </w:r>
            <w:r>
              <w:rPr>
                <w:spacing w:val="-2"/>
              </w:rPr>
              <w:t>高</w:t>
            </w:r>
            <w:r>
              <w:rPr>
                <w:spacing w:val="3"/>
              </w:rPr>
              <w:t xml:space="preserve">             </w:t>
            </w:r>
            <w:r>
              <w:rPr>
                <w:spacing w:val="-2"/>
              </w:rPr>
              <w:t>混合资本工具置换</w:t>
            </w:r>
            <w:r>
              <w:rPr/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b/>
                <w:bCs/>
                <w:spacing w:val="-2"/>
              </w:rPr>
              <w:t>(2024Q3)</w:t>
            </w:r>
          </w:p>
        </w:tc>
        <w:tc>
          <w:tcPr>
            <w:tcW w:w="21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59"/>
              <w:spacing w:before="286" w:line="212" w:lineRule="auto"/>
              <w:rPr/>
            </w:pPr>
            <w:r>
              <w:rPr>
                <w:spacing w:val="-1"/>
              </w:rPr>
              <w:t>优秀，融资灵活</w:t>
            </w:r>
          </w:p>
        </w:tc>
      </w:tr>
      <w:tr>
        <w:trPr>
          <w:trHeight w:val="604" w:hRule="atLeast"/>
        </w:trPr>
        <w:tc>
          <w:tcPr>
            <w:tcW w:w="7986" w:type="dxa"/>
            <w:vAlign w:val="top"/>
            <w:gridSpan w:val="2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84" w:line="165" w:lineRule="auto"/>
              <w:rPr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bCs/>
              </w:rPr>
              <w:t>Prudential</w:t>
            </w:r>
            <w:r>
              <w:rPr>
                <w:rFonts w:ascii="Arial" w:hAnsi="Arial" w:eastAsia="Arial" w:cs="Arial"/>
                <w:b/>
                <w:bCs/>
                <w:spacing w:val="5"/>
              </w:rPr>
              <w:t xml:space="preserve">      </w:t>
            </w:r>
            <w:r>
              <w:rPr>
                <w:sz w:val="26"/>
                <w:szCs w:val="26"/>
                <w:b/>
                <w:bCs/>
              </w:rPr>
              <w:t>RBC</w:t>
            </w:r>
            <w:r>
              <w:rPr>
                <w:sz w:val="26"/>
                <w:szCs w:val="26"/>
                <w:b/>
                <w:bCs/>
                <w:spacing w:val="11"/>
              </w:rPr>
              <w:t>高(&gt;400%)</w:t>
            </w:r>
            <w:r>
              <w:rPr>
                <w:sz w:val="26"/>
                <w:szCs w:val="26"/>
                <w:spacing w:val="3"/>
              </w:rPr>
              <w:t xml:space="preserve">        </w:t>
            </w:r>
            <w:r>
              <w:rPr>
                <w:spacing w:val="11"/>
              </w:rPr>
              <w:t>中</w:t>
            </w:r>
            <w:r>
              <w:rPr>
                <w:spacing w:val="11"/>
              </w:rPr>
              <w:t xml:space="preserve"> </w:t>
            </w:r>
            <w:r>
              <w:rPr>
                <w:spacing w:val="11"/>
              </w:rPr>
              <w:t>高</w:t>
            </w:r>
            <w:r>
              <w:rPr>
                <w:spacing w:val="2"/>
              </w:rPr>
              <w:t xml:space="preserve">        </w:t>
            </w:r>
            <w:r>
              <w:rPr>
                <w:sz w:val="22"/>
                <w:szCs w:val="22"/>
                <w:spacing w:val="11"/>
              </w:rPr>
              <w:t>债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11"/>
              </w:rPr>
              <w:t>券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11"/>
              </w:rPr>
              <w:t>发</w:t>
            </w:r>
            <w:r>
              <w:rPr>
                <w:sz w:val="22"/>
                <w:szCs w:val="22"/>
                <w:spacing w:val="11"/>
              </w:rPr>
              <w:t xml:space="preserve"> </w:t>
            </w:r>
            <w:r>
              <w:rPr>
                <w:sz w:val="22"/>
                <w:szCs w:val="22"/>
                <w:spacing w:val="11"/>
              </w:rPr>
              <w:t>行</w:t>
            </w:r>
          </w:p>
        </w:tc>
        <w:tc>
          <w:tcPr>
            <w:tcW w:w="211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9"/>
              <w:spacing w:before="68" w:line="186" w:lineRule="auto"/>
              <w:rPr/>
            </w:pPr>
            <w:r>
              <w:rPr>
                <w:spacing w:val="-3"/>
              </w:rPr>
              <w:t>稳</w:t>
            </w:r>
            <w:r>
              <w:rPr>
                <w:spacing w:val="40"/>
              </w:rPr>
              <w:t xml:space="preserve"> </w:t>
            </w:r>
            <w:r>
              <w:rPr>
                <w:spacing w:val="-3"/>
              </w:rPr>
              <w:t>健</w:t>
            </w:r>
          </w:p>
        </w:tc>
      </w:tr>
      <w:tr>
        <w:trPr>
          <w:trHeight w:val="580" w:hRule="atLeast"/>
        </w:trPr>
        <w:tc>
          <w:tcPr>
            <w:tcW w:w="7986" w:type="dxa"/>
            <w:vAlign w:val="top"/>
            <w:gridSpan w:val="2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1" w:line="166" w:lineRule="auto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b/>
                <w:bCs/>
                <w:spacing w:val="-4"/>
              </w:rPr>
              <w:t>MetLife</w:t>
            </w:r>
            <w:r>
              <w:rPr>
                <w:rFonts w:ascii="Arial" w:hAnsi="Arial" w:eastAsia="Arial" w:cs="Arial"/>
                <w:b/>
                <w:bCs/>
                <w:spacing w:val="3"/>
              </w:rPr>
              <w:t xml:space="preserve">          </w:t>
            </w:r>
            <w:r>
              <w:rPr>
                <w:rFonts w:ascii="Arial" w:hAnsi="Arial" w:eastAsia="Arial" w:cs="Arial"/>
                <w:sz w:val="17"/>
                <w:szCs w:val="17"/>
                <w:b/>
                <w:bCs/>
                <w:spacing w:val="-4"/>
              </w:rPr>
              <w:t>R   B   C</w:t>
            </w:r>
            <w:r>
              <w:rPr>
                <w:rFonts w:ascii="SimSun" w:hAnsi="SimSun" w:eastAsia="SimSun" w:cs="SimSun"/>
                <w:sz w:val="17"/>
                <w:szCs w:val="17"/>
                <w:b/>
                <w:bCs/>
                <w:spacing w:val="-4"/>
              </w:rPr>
              <w:t>高</w:t>
            </w:r>
            <w:r>
              <w:rPr>
                <w:rFonts w:ascii="SimSun" w:hAnsi="SimSun" w:eastAsia="SimSun" w:cs="SimSun"/>
                <w:sz w:val="17"/>
                <w:szCs w:val="17"/>
                <w:spacing w:val="2"/>
              </w:rPr>
              <w:t xml:space="preserve">                     </w:t>
            </w:r>
            <w:r>
              <w:rPr>
                <w:rFonts w:ascii="SimSun" w:hAnsi="SimSun" w:eastAsia="SimSun" w:cs="SimSun"/>
                <w:sz w:val="17"/>
                <w:szCs w:val="17"/>
                <w:spacing w:val="1"/>
              </w:rPr>
              <w:t xml:space="preserve">      </w:t>
            </w:r>
            <w:r>
              <w:rPr>
                <w:sz w:val="15"/>
                <w:szCs w:val="15"/>
                <w:spacing w:val="-4"/>
              </w:rPr>
              <w:t>高</w:t>
            </w:r>
            <w:r>
              <w:rPr>
                <w:sz w:val="15"/>
                <w:szCs w:val="15"/>
                <w:spacing w:val="3"/>
              </w:rPr>
              <w:t xml:space="preserve">                </w:t>
            </w:r>
            <w:r>
              <w:rPr>
                <w:sz w:val="19"/>
                <w:szCs w:val="19"/>
                <w:spacing w:val="-4"/>
              </w:rPr>
              <w:t>次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级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债</w:t>
            </w:r>
          </w:p>
        </w:tc>
        <w:tc>
          <w:tcPr>
            <w:tcW w:w="211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7"/>
              <w:spacing w:before="65" w:line="16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2"/>
                <w:w w:val="97"/>
              </w:rPr>
              <w:t>良</w:t>
            </w:r>
            <w:r>
              <w:rPr>
                <w:sz w:val="20"/>
                <w:szCs w:val="20"/>
                <w:spacing w:val="33"/>
              </w:rPr>
              <w:t xml:space="preserve"> </w:t>
            </w:r>
            <w:r>
              <w:rPr>
                <w:sz w:val="20"/>
                <w:szCs w:val="20"/>
                <w:spacing w:val="-12"/>
                <w:w w:val="97"/>
              </w:rPr>
              <w:t>好</w:t>
            </w:r>
          </w:p>
        </w:tc>
      </w:tr>
      <w:tr>
        <w:trPr>
          <w:trHeight w:val="1050" w:hRule="atLeast"/>
        </w:trPr>
        <w:tc>
          <w:tcPr>
            <w:tcW w:w="4042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24" w:right="362" w:hanging="1609"/>
              <w:spacing w:before="69" w:line="313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Arial" w:hAnsi="Arial" w:eastAsia="Arial" w:cs="Arial"/>
                <w:b/>
                <w:bCs/>
                <w:spacing w:val="-1"/>
              </w:rPr>
              <w:t>Nippon</w:t>
            </w:r>
            <w:r>
              <w:rPr>
                <w:rFonts w:ascii="Arial" w:hAnsi="Arial" w:eastAsia="Arial" w:cs="Arial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b/>
                <w:bCs/>
                <w:spacing w:val="-1"/>
              </w:rPr>
              <w:t>Life        </w:t>
            </w:r>
            <w:r>
              <w:rPr>
                <w:spacing w:val="-1"/>
              </w:rPr>
              <w:t>日本</w:t>
            </w:r>
            <w:r>
              <w:rPr>
                <w:rFonts w:ascii="Arial" w:hAnsi="Arial" w:eastAsia="Arial" w:cs="Arial"/>
                <w:spacing w:val="-1"/>
              </w:rPr>
              <w:t>solvency   margin</w:t>
            </w:r>
            <w:r>
              <w:rPr>
                <w:rFonts w:ascii="Arial" w:hAnsi="Arial" w:eastAsia="Arial" w:cs="Arial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pacing w:val="-1"/>
              </w:rPr>
              <w:t>&gt;800%</w:t>
            </w:r>
          </w:p>
        </w:tc>
        <w:tc>
          <w:tcPr>
            <w:tcW w:w="394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62" w:right="101" w:hanging="1599"/>
              <w:spacing w:before="68" w:line="281" w:lineRule="auto"/>
              <w:rPr/>
            </w:pPr>
            <w:r>
              <w:rPr>
                <w:spacing w:val="-4"/>
              </w:rPr>
              <w:t>中</w:t>
            </w:r>
            <w:r>
              <w:rPr>
                <w:spacing w:val="4"/>
              </w:rPr>
              <w:t xml:space="preserve">             </w:t>
            </w:r>
            <w:r>
              <w:rPr>
                <w:spacing w:val="-4"/>
              </w:rPr>
              <w:t>互助社，无外部股权</w:t>
            </w:r>
            <w:r>
              <w:rPr>
                <w:spacing w:val="1"/>
              </w:rPr>
              <w:t xml:space="preserve"> </w:t>
            </w:r>
            <w:r>
              <w:rPr>
                <w:spacing w:val="-3"/>
              </w:rPr>
              <w:t>融资</w:t>
            </w:r>
          </w:p>
        </w:tc>
        <w:tc>
          <w:tcPr>
            <w:tcW w:w="211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2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9"/>
              <w:spacing w:before="69" w:line="221" w:lineRule="auto"/>
              <w:rPr/>
            </w:pPr>
            <w:r>
              <w:rPr>
                <w:spacing w:val="-2"/>
              </w:rPr>
              <w:t>极保守</w:t>
            </w:r>
          </w:p>
        </w:tc>
      </w:tr>
      <w:tr>
        <w:trPr>
          <w:trHeight w:val="533" w:hRule="atLeast"/>
        </w:trPr>
        <w:tc>
          <w:tcPr>
            <w:tcW w:w="7986" w:type="dxa"/>
            <w:vAlign w:val="top"/>
            <w:gridSpan w:val="2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"/>
              <w:spacing w:before="68" w:line="187" w:lineRule="auto"/>
              <w:rPr/>
            </w:pPr>
            <w:r>
              <w:rPr>
                <w:rFonts w:ascii="Arial" w:hAnsi="Arial" w:eastAsia="Arial" w:cs="Arial"/>
                <w:b/>
                <w:bCs/>
                <w:spacing w:val="-5"/>
              </w:rPr>
              <w:t>Manulife</w:t>
            </w:r>
            <w:r>
              <w:rPr>
                <w:rFonts w:ascii="Arial" w:hAnsi="Arial" w:eastAsia="Arial" w:cs="Arial"/>
                <w:b/>
                <w:bCs/>
                <w:spacing w:val="4"/>
              </w:rPr>
              <w:t xml:space="preserve">       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L  I</w:t>
            </w:r>
            <w:r>
              <w:rPr>
                <w:rFonts w:ascii="Arial" w:hAnsi="Arial" w:eastAsia="Arial" w:cs="Arial"/>
                <w:sz w:val="17"/>
                <w:szCs w:val="17"/>
                <w:spacing w:val="3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C  A</w:t>
            </w:r>
            <w:r>
              <w:rPr>
                <w:rFonts w:ascii="Arial" w:hAnsi="Arial" w:eastAsia="Arial" w:cs="Arial"/>
                <w:sz w:val="17"/>
                <w:szCs w:val="17"/>
              </w:rPr>
              <w:t xml:space="preserve">  </w:t>
            </w:r>
            <w:r>
              <w:rPr>
                <w:rFonts w:ascii="Arial" w:hAnsi="Arial" w:eastAsia="Arial" w:cs="Arial"/>
                <w:sz w:val="17"/>
                <w:szCs w:val="17"/>
                <w:spacing w:val="-5"/>
              </w:rPr>
              <w:t>T</w:t>
            </w:r>
            <w:r>
              <w:rPr>
                <w:rFonts w:ascii="SimSun" w:hAnsi="SimSun" w:eastAsia="SimSun" w:cs="SimSun"/>
                <w:sz w:val="17"/>
                <w:szCs w:val="17"/>
                <w:spacing w:val="-5"/>
              </w:rPr>
              <w:t>高</w:t>
            </w:r>
            <w:r>
              <w:rPr>
                <w:rFonts w:ascii="SimSun" w:hAnsi="SimSun" w:eastAsia="SimSun" w:cs="SimSun"/>
                <w:sz w:val="17"/>
                <w:szCs w:val="17"/>
                <w:spacing w:val="1"/>
              </w:rPr>
              <w:t xml:space="preserve">                       </w:t>
            </w:r>
            <w:r>
              <w:rPr>
                <w:spacing w:val="-5"/>
              </w:rPr>
              <w:t>中</w:t>
            </w:r>
            <w:r>
              <w:rPr>
                <w:spacing w:val="35"/>
              </w:rPr>
              <w:t xml:space="preserve"> </w:t>
            </w:r>
            <w:r>
              <w:rPr>
                <w:spacing w:val="-5"/>
              </w:rPr>
              <w:t>高</w:t>
            </w:r>
            <w:r>
              <w:rPr>
                <w:spacing w:val="11"/>
              </w:rPr>
              <w:t xml:space="preserve">         </w:t>
            </w:r>
            <w:r>
              <w:rPr>
                <w:spacing w:val="-5"/>
              </w:rPr>
              <w:t>债</w:t>
            </w:r>
            <w:r>
              <w:rPr>
                <w:spacing w:val="64"/>
              </w:rPr>
              <w:t xml:space="preserve"> </w:t>
            </w:r>
            <w:r>
              <w:rPr>
                <w:spacing w:val="-5"/>
              </w:rPr>
              <w:t>券</w:t>
            </w:r>
          </w:p>
        </w:tc>
        <w:tc>
          <w:tcPr>
            <w:tcW w:w="211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68" w:line="186" w:lineRule="auto"/>
              <w:rPr/>
            </w:pPr>
            <w:r>
              <w:rPr>
                <w:spacing w:val="-3"/>
              </w:rPr>
              <w:t>稳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健</w:t>
            </w:r>
          </w:p>
        </w:tc>
      </w:tr>
    </w:tbl>
    <w:p>
      <w:pPr>
        <w:pStyle w:val="BodyText"/>
        <w:rPr>
          <w:sz w:val="21"/>
        </w:rPr>
      </w:pPr>
      <w:r/>
    </w:p>
    <w:p>
      <w:pPr>
        <w:spacing w:line="37" w:lineRule="exact"/>
        <w:rPr/>
      </w:pPr>
      <w:r/>
    </w:p>
    <w:p>
      <w:pPr>
        <w:spacing w:line="37" w:lineRule="exact"/>
        <w:sectPr>
          <w:type w:val="continuous"/>
          <w:pgSz w:w="12240" w:h="15840"/>
          <w:pgMar w:top="1346" w:right="1074" w:bottom="0" w:left="964" w:header="0" w:footer="0" w:gutter="0"/>
          <w:cols w:equalWidth="0" w:num="1">
            <w:col w:w="10201" w:space="0"/>
          </w:cols>
        </w:sectPr>
        <w:rPr/>
      </w:pPr>
    </w:p>
    <w:p>
      <w:pPr>
        <w:pStyle w:val="BodyText"/>
        <w:ind w:left="15" w:right="738"/>
        <w:spacing w:before="130" w:line="345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11"/>
        </w:rPr>
        <w:t>Legal</w:t>
      </w:r>
      <w:r>
        <w:rPr>
          <w:sz w:val="21"/>
          <w:szCs w:val="21"/>
          <w:b/>
          <w:bCs/>
          <w:spacing w:val="9"/>
        </w:rPr>
        <w:t xml:space="preserve"> </w:t>
      </w:r>
      <w:r>
        <w:rPr>
          <w:sz w:val="21"/>
          <w:szCs w:val="21"/>
          <w:b/>
          <w:bCs/>
          <w:spacing w:val="-11"/>
        </w:rPr>
        <w:t>&amp;</w:t>
      </w:r>
      <w:r>
        <w:rPr>
          <w:sz w:val="21"/>
          <w:szCs w:val="21"/>
          <w:b/>
          <w:bCs/>
        </w:rPr>
        <w:t xml:space="preserve">  </w:t>
      </w:r>
      <w:r>
        <w:rPr>
          <w:sz w:val="21"/>
          <w:szCs w:val="21"/>
          <w:b/>
          <w:bCs/>
          <w:spacing w:val="-2"/>
        </w:rPr>
        <w:t>General</w:t>
      </w:r>
    </w:p>
    <w:p>
      <w:pPr>
        <w:spacing w:line="84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before="56" w:line="286" w:lineRule="exact"/>
        <w:rPr>
          <w:rFonts w:ascii="SimHei" w:hAnsi="SimHei" w:eastAsia="SimHei" w:cs="SimHei"/>
          <w:sz w:val="21"/>
          <w:szCs w:val="21"/>
        </w:rPr>
      </w:pPr>
      <w:r>
        <w:rPr>
          <w:sz w:val="21"/>
          <w:szCs w:val="21"/>
          <w:position w:val="2"/>
        </w:rPr>
        <w:t>Solvency</w:t>
      </w:r>
      <w:r>
        <w:rPr>
          <w:sz w:val="21"/>
          <w:szCs w:val="21"/>
          <w:spacing w:val="10"/>
          <w:position w:val="2"/>
        </w:rPr>
        <w:t xml:space="preserve">    </w:t>
      </w:r>
      <w:r>
        <w:rPr>
          <w:sz w:val="21"/>
          <w:szCs w:val="21"/>
          <w:position w:val="2"/>
        </w:rPr>
        <w:t>Il</w:t>
      </w:r>
      <w:r>
        <w:rPr>
          <w:sz w:val="21"/>
          <w:szCs w:val="21"/>
          <w:spacing w:val="1"/>
          <w:position w:val="2"/>
        </w:rPr>
        <w:t>&gt;200%</w:t>
      </w:r>
      <w:r>
        <w:rPr>
          <w:sz w:val="21"/>
          <w:szCs w:val="21"/>
          <w:spacing w:val="3"/>
          <w:position w:val="2"/>
        </w:rPr>
        <w:t xml:space="preserve">               </w:t>
      </w:r>
      <w:r>
        <w:rPr>
          <w:rFonts w:ascii="SimHei" w:hAnsi="SimHei" w:eastAsia="SimHei" w:cs="SimHei"/>
          <w:sz w:val="21"/>
          <w:szCs w:val="21"/>
          <w:spacing w:val="1"/>
          <w:position w:val="2"/>
        </w:rPr>
        <w:t>高</w:t>
      </w:r>
      <w:r>
        <w:rPr>
          <w:rFonts w:ascii="SimHei" w:hAnsi="SimHei" w:eastAsia="SimHei" w:cs="SimHei"/>
          <w:sz w:val="21"/>
          <w:szCs w:val="21"/>
          <w:spacing w:val="1"/>
          <w:position w:val="2"/>
        </w:rPr>
        <w:t xml:space="preserve">             </w:t>
      </w:r>
      <w:r>
        <w:rPr>
          <w:rFonts w:ascii="SimHei" w:hAnsi="SimHei" w:eastAsia="SimHei" w:cs="SimHei"/>
          <w:sz w:val="21"/>
          <w:szCs w:val="21"/>
          <w:spacing w:val="1"/>
          <w:position w:val="2"/>
        </w:rPr>
        <w:t>债券+股</w:t>
      </w:r>
      <w:r>
        <w:rPr>
          <w:rFonts w:ascii="SimHei" w:hAnsi="SimHei" w:eastAsia="SimHei" w:cs="SimHei"/>
          <w:sz w:val="21"/>
          <w:szCs w:val="21"/>
          <w:position w:val="2"/>
        </w:rPr>
        <w:t>息平衡</w:t>
      </w:r>
      <w:r>
        <w:rPr>
          <w:rFonts w:ascii="SimHei" w:hAnsi="SimHei" w:eastAsia="SimHei" w:cs="SimHei"/>
          <w:sz w:val="21"/>
          <w:szCs w:val="21"/>
          <w:position w:val="2"/>
        </w:rPr>
        <w:t xml:space="preserve">        </w:t>
      </w:r>
      <w:r>
        <w:rPr>
          <w:rFonts w:ascii="SimHei" w:hAnsi="SimHei" w:eastAsia="SimHei" w:cs="SimHei"/>
          <w:sz w:val="21"/>
          <w:szCs w:val="21"/>
          <w:position w:val="2"/>
        </w:rPr>
        <w:t>良好</w:t>
      </w:r>
    </w:p>
    <w:p>
      <w:pPr>
        <w:spacing w:line="286" w:lineRule="exact"/>
        <w:sectPr>
          <w:type w:val="continuous"/>
          <w:pgSz w:w="12240" w:h="15840"/>
          <w:pgMar w:top="1346" w:right="1074" w:bottom="0" w:left="964" w:header="0" w:footer="0" w:gutter="0"/>
          <w:cols w:equalWidth="0" w:num="2">
            <w:col w:w="1526" w:space="100"/>
            <w:col w:w="8576" w:space="0"/>
          </w:cols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spacing w:line="361" w:lineRule="auto"/>
        <w:rPr>
          <w:sz w:val="21"/>
        </w:rPr>
      </w:pPr>
      <w:r/>
    </w:p>
    <w:p>
      <w:pPr>
        <w:pStyle w:val="BodyText"/>
        <w:ind w:left="15" w:right="1"/>
        <w:spacing w:before="69" w:line="28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17"/>
        </w:rPr>
        <w:t>横向对比：欧洲公司</w:t>
      </w:r>
      <w:r>
        <w:rPr>
          <w:rFonts w:ascii="SimHei" w:hAnsi="SimHei" w:eastAsia="SimHei" w:cs="SimHei"/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17"/>
        </w:rPr>
        <w:t>(</w:t>
      </w:r>
      <w:r>
        <w:rPr>
          <w:sz w:val="21"/>
          <w:szCs w:val="21"/>
        </w:rPr>
        <w:t>Allianz</w:t>
      </w:r>
      <w:r>
        <w:rPr>
          <w:rFonts w:ascii="SimSun" w:hAnsi="SimSun" w:eastAsia="SimSun" w:cs="SimSun"/>
          <w:sz w:val="21"/>
          <w:szCs w:val="21"/>
          <w:spacing w:val="17"/>
        </w:rPr>
        <w:t>、</w:t>
      </w:r>
      <w:r>
        <w:rPr>
          <w:sz w:val="21"/>
          <w:szCs w:val="21"/>
        </w:rPr>
        <w:t>AXA</w:t>
      </w:r>
      <w:r>
        <w:rPr>
          <w:rFonts w:ascii="SimSun" w:hAnsi="SimSun" w:eastAsia="SimSun" w:cs="SimSun"/>
          <w:sz w:val="21"/>
          <w:szCs w:val="21"/>
          <w:spacing w:val="17"/>
        </w:rPr>
        <w:t>、</w:t>
      </w:r>
      <w:r>
        <w:rPr>
          <w:sz w:val="21"/>
          <w:szCs w:val="21"/>
          <w:spacing w:val="17"/>
        </w:rPr>
        <w:t>L&amp;G)</w:t>
      </w:r>
      <w:r>
        <w:rPr>
          <w:sz w:val="21"/>
          <w:szCs w:val="21"/>
        </w:rPr>
        <w:t>Solvency</w:t>
      </w:r>
      <w:r>
        <w:rPr>
          <w:sz w:val="21"/>
          <w:szCs w:val="21"/>
          <w:spacing w:val="17"/>
        </w:rPr>
        <w:t xml:space="preserve">              </w:t>
      </w:r>
      <w:r>
        <w:rPr>
          <w:sz w:val="21"/>
          <w:szCs w:val="21"/>
        </w:rPr>
        <w:t>II</w:t>
      </w:r>
      <w:r>
        <w:rPr>
          <w:rFonts w:ascii="SimHei" w:hAnsi="SimHei" w:eastAsia="SimHei" w:cs="SimHei"/>
          <w:sz w:val="21"/>
          <w:szCs w:val="21"/>
          <w:spacing w:val="17"/>
        </w:rPr>
        <w:t>比率最高，融资成本最低；中国</w:t>
      </w:r>
      <w:r>
        <w:rPr>
          <w:rFonts w:ascii="SimHei" w:hAnsi="SimHei" w:eastAsia="SimHei" w:cs="SimHei"/>
          <w:sz w:val="21"/>
          <w:szCs w:val="21"/>
          <w:spacing w:val="16"/>
        </w:rPr>
        <w:t>公司增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5"/>
        </w:rPr>
        <w:t>长快但监管严格；</w:t>
      </w:r>
      <w:r>
        <w:rPr>
          <w:rFonts w:ascii="SimHei" w:hAnsi="SimHei" w:eastAsia="SimHei" w:cs="SimHei"/>
          <w:sz w:val="21"/>
          <w:szCs w:val="21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Berkshire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5"/>
        </w:rPr>
        <w:t>独特浮存金模式，几乎无需外</w:t>
      </w:r>
      <w:r>
        <w:rPr>
          <w:rFonts w:ascii="SimHei" w:hAnsi="SimHei" w:eastAsia="SimHei" w:cs="SimHei"/>
          <w:sz w:val="21"/>
          <w:szCs w:val="21"/>
          <w:spacing w:val="24"/>
        </w:rPr>
        <w:t>部融资，杠杆风险最低。</w:t>
      </w:r>
    </w:p>
    <w:p>
      <w:pPr>
        <w:spacing w:line="284" w:lineRule="auto"/>
        <w:sectPr>
          <w:type w:val="continuous"/>
          <w:pgSz w:w="12240" w:h="15840"/>
          <w:pgMar w:top="1346" w:right="1074" w:bottom="0" w:left="964" w:header="0" w:footer="0" w:gutter="0"/>
          <w:cols w:equalWidth="0" w:num="1">
            <w:col w:w="10201" w:space="0"/>
          </w:cols>
        </w:sectPr>
        <w:rPr>
          <w:rFonts w:ascii="SimHei" w:hAnsi="SimHei" w:eastAsia="SimHei" w:cs="SimHei"/>
          <w:sz w:val="21"/>
          <w:szCs w:val="21"/>
        </w:rPr>
      </w:pPr>
    </w:p>
    <w:p>
      <w:pPr>
        <w:ind w:left="14"/>
        <w:spacing w:before="62" w:line="222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信誉度</w:t>
      </w:r>
    </w:p>
    <w:p>
      <w:pPr>
        <w:pStyle w:val="BodyText"/>
        <w:ind w:left="10" w:right="177"/>
        <w:spacing w:before="215" w:line="3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15"/>
        </w:rPr>
        <w:t>基于</w:t>
      </w:r>
      <w:r>
        <w:rPr>
          <w:sz w:val="23"/>
          <w:szCs w:val="23"/>
          <w:spacing w:val="15"/>
        </w:rPr>
        <w:t>S&amp;P</w:t>
      </w:r>
      <w:r>
        <w:rPr>
          <w:rFonts w:ascii="SimSun" w:hAnsi="SimSun" w:eastAsia="SimSun" w:cs="SimSun"/>
          <w:sz w:val="23"/>
          <w:szCs w:val="23"/>
          <w:spacing w:val="15"/>
        </w:rPr>
        <w:t>、</w:t>
      </w:r>
      <w:r>
        <w:rPr>
          <w:sz w:val="23"/>
          <w:szCs w:val="23"/>
        </w:rPr>
        <w:t>Moody</w:t>
      </w:r>
      <w:r>
        <w:rPr>
          <w:sz w:val="23"/>
          <w:szCs w:val="23"/>
          <w:spacing w:val="15"/>
        </w:rPr>
        <w:t>'s</w:t>
      </w:r>
      <w:r>
        <w:rPr>
          <w:rFonts w:ascii="SimSun" w:hAnsi="SimSun" w:eastAsia="SimSun" w:cs="SimSun"/>
          <w:sz w:val="23"/>
          <w:szCs w:val="23"/>
          <w:spacing w:val="15"/>
        </w:rPr>
        <w:t>、</w:t>
      </w:r>
      <w:r>
        <w:rPr>
          <w:sz w:val="23"/>
          <w:szCs w:val="23"/>
        </w:rPr>
        <w:t>Fitch</w:t>
      </w:r>
      <w:r>
        <w:rPr>
          <w:rFonts w:ascii="SimSun" w:hAnsi="SimSun" w:eastAsia="SimSun" w:cs="SimSun"/>
          <w:sz w:val="23"/>
          <w:szCs w:val="23"/>
          <w:spacing w:val="15"/>
        </w:rPr>
        <w:t>、</w:t>
      </w:r>
      <w:r>
        <w:rPr>
          <w:sz w:val="23"/>
          <w:szCs w:val="23"/>
        </w:rPr>
        <w:t>AM</w:t>
      </w:r>
      <w:r>
        <w:rPr>
          <w:sz w:val="23"/>
          <w:szCs w:val="23"/>
          <w:spacing w:val="15"/>
        </w:rPr>
        <w:t xml:space="preserve">      </w:t>
      </w:r>
      <w:r>
        <w:rPr>
          <w:sz w:val="23"/>
          <w:szCs w:val="23"/>
        </w:rPr>
        <w:t>Best</w:t>
      </w:r>
      <w:r>
        <w:rPr>
          <w:rFonts w:ascii="SimHei" w:hAnsi="SimHei" w:eastAsia="SimHei" w:cs="SimHei"/>
          <w:sz w:val="23"/>
          <w:szCs w:val="23"/>
          <w:spacing w:val="15"/>
        </w:rPr>
        <w:t>最新评级(2025年数据),顶级保险公司均维持</w:t>
      </w:r>
      <w:r>
        <w:rPr>
          <w:sz w:val="23"/>
          <w:szCs w:val="23"/>
          <w:spacing w:val="15"/>
        </w:rPr>
        <w:t>A</w:t>
      </w:r>
      <w:r>
        <w:rPr>
          <w:rFonts w:ascii="SimHei" w:hAnsi="SimHei" w:eastAsia="SimHei" w:cs="SimHei"/>
          <w:sz w:val="23"/>
          <w:szCs w:val="23"/>
          <w:spacing w:val="15"/>
        </w:rPr>
        <w:t>级以</w:t>
      </w:r>
      <w:r>
        <w:rPr>
          <w:rFonts w:ascii="SimHei" w:hAnsi="SimHei" w:eastAsia="SimHei" w:cs="SimHei"/>
          <w:sz w:val="23"/>
          <w:szCs w:val="23"/>
          <w:spacing w:val="5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6"/>
        </w:rPr>
        <w:t>上，无重大负面事件。</w:t>
      </w:r>
    </w:p>
    <w:p>
      <w:pPr>
        <w:ind w:left="13"/>
        <w:spacing w:before="240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6"/>
        </w:rPr>
        <w:t>公司</w:t>
      </w:r>
      <w:r>
        <w:rPr>
          <w:rFonts w:ascii="SimHei" w:hAnsi="SimHei" w:eastAsia="SimHei" w:cs="SimHei"/>
          <w:sz w:val="23"/>
          <w:szCs w:val="23"/>
          <w:spacing w:val="-6"/>
        </w:rPr>
        <w:t xml:space="preserve">            </w:t>
      </w: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AM</w:t>
      </w:r>
      <w:r>
        <w:rPr>
          <w:rFonts w:ascii="SimSun" w:hAnsi="SimSun" w:eastAsia="SimSun" w:cs="SimSun"/>
          <w:sz w:val="23"/>
          <w:szCs w:val="23"/>
          <w:spacing w:val="21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Best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S&amp;P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-6"/>
        </w:rPr>
        <w:t>Moody's</w:t>
      </w:r>
      <w:r>
        <w:rPr>
          <w:rFonts w:ascii="SimSun" w:hAnsi="SimSun" w:eastAsia="SimSun" w:cs="SimSun"/>
          <w:sz w:val="23"/>
          <w:szCs w:val="23"/>
          <w:spacing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6"/>
        </w:rPr>
        <w:t>Fitch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-6"/>
        </w:rPr>
        <w:t>其他备注</w:t>
      </w:r>
    </w:p>
    <w:p>
      <w:pPr>
        <w:pStyle w:val="BodyText"/>
        <w:spacing w:line="303" w:lineRule="auto"/>
        <w:rPr>
          <w:sz w:val="21"/>
        </w:rPr>
      </w:pPr>
      <w:r/>
    </w:p>
    <w:p>
      <w:pPr>
        <w:ind w:left="3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Allianz</w:t>
      </w:r>
      <w:r>
        <w:rPr>
          <w:rFonts w:ascii="SimSun" w:hAnsi="SimSun" w:eastAsia="SimSun" w:cs="SimSun"/>
          <w:sz w:val="21"/>
          <w:szCs w:val="21"/>
          <w:spacing w:val="-2"/>
        </w:rPr>
        <w:t xml:space="preserve">         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A+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      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AA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  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Aa3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     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AA</w:t>
      </w:r>
      <w:r>
        <w:rPr>
          <w:rFonts w:ascii="SimSun" w:hAnsi="SimSun" w:eastAsia="SimSun" w:cs="SimSun"/>
          <w:sz w:val="21"/>
          <w:szCs w:val="21"/>
          <w:spacing w:val="-2"/>
        </w:rPr>
        <w:t xml:space="preserve">     </w:t>
      </w:r>
      <w:r>
        <w:rPr>
          <w:rFonts w:ascii="SimSun" w:hAnsi="SimSun" w:eastAsia="SimSun" w:cs="SimSun"/>
          <w:sz w:val="21"/>
          <w:szCs w:val="21"/>
          <w:b/>
          <w:bCs/>
          <w:spacing w:val="-2"/>
          <w:position w:val="1"/>
        </w:rPr>
        <w:t>稳定展望</w:t>
      </w:r>
    </w:p>
    <w:p>
      <w:pPr>
        <w:spacing w:line="110" w:lineRule="exact"/>
        <w:rPr/>
      </w:pPr>
      <w:r/>
    </w:p>
    <w:tbl>
      <w:tblPr>
        <w:tblStyle w:val="TableNormal"/>
        <w:tblW w:w="676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98"/>
        <w:gridCol w:w="991"/>
        <w:gridCol w:w="893"/>
        <w:gridCol w:w="894"/>
        <w:gridCol w:w="927"/>
        <w:gridCol w:w="1557"/>
      </w:tblGrid>
      <w:tr>
        <w:trPr>
          <w:trHeight w:val="624" w:hRule="atLeast"/>
        </w:trPr>
        <w:tc>
          <w:tcPr>
            <w:tcW w:w="14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9"/>
              <w:spacing w:before="238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Ping An</w:t>
            </w:r>
          </w:p>
        </w:tc>
        <w:tc>
          <w:tcPr>
            <w:tcW w:w="9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24"/>
              <w:spacing w:before="266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</w:t>
            </w:r>
          </w:p>
        </w:tc>
        <w:tc>
          <w:tcPr>
            <w:tcW w:w="89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74"/>
              <w:spacing w:before="266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</w:t>
            </w:r>
          </w:p>
        </w:tc>
        <w:tc>
          <w:tcPr>
            <w:tcW w:w="8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21"/>
              <w:spacing w:before="266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A1</w:t>
            </w:r>
          </w:p>
        </w:tc>
        <w:tc>
          <w:tcPr>
            <w:tcW w:w="9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87"/>
              <w:spacing w:before="266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</w:t>
            </w:r>
          </w:p>
        </w:tc>
        <w:tc>
          <w:tcPr>
            <w:tcW w:w="15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6"/>
              <w:spacing w:before="21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>中国最高</w:t>
            </w:r>
          </w:p>
        </w:tc>
      </w:tr>
      <w:tr>
        <w:trPr>
          <w:trHeight w:val="599" w:hRule="atLeast"/>
        </w:trPr>
        <w:tc>
          <w:tcPr>
            <w:tcW w:w="14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9"/>
              <w:spacing w:before="220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Berkshire</w:t>
            </w:r>
          </w:p>
        </w:tc>
        <w:tc>
          <w:tcPr>
            <w:tcW w:w="9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24"/>
              <w:spacing w:before="252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A++</w:t>
            </w:r>
          </w:p>
        </w:tc>
        <w:tc>
          <w:tcPr>
            <w:tcW w:w="89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60"/>
              <w:spacing w:before="252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AA+</w:t>
            </w:r>
          </w:p>
        </w:tc>
        <w:tc>
          <w:tcPr>
            <w:tcW w:w="8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21"/>
              <w:spacing w:before="252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Aa2</w:t>
            </w:r>
          </w:p>
        </w:tc>
        <w:tc>
          <w:tcPr>
            <w:tcW w:w="9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76"/>
              <w:spacing w:before="252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AA+</w:t>
            </w:r>
          </w:p>
        </w:tc>
        <w:tc>
          <w:tcPr>
            <w:tcW w:w="15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9"/>
              <w:spacing w:before="196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最高级</w:t>
            </w:r>
          </w:p>
        </w:tc>
      </w:tr>
      <w:tr>
        <w:trPr>
          <w:trHeight w:val="599" w:hRule="atLeast"/>
        </w:trPr>
        <w:tc>
          <w:tcPr>
            <w:tcW w:w="14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9"/>
              <w:spacing w:before="221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China Life</w:t>
            </w:r>
          </w:p>
        </w:tc>
        <w:tc>
          <w:tcPr>
            <w:tcW w:w="9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24"/>
              <w:spacing w:before="253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</w:t>
            </w:r>
          </w:p>
        </w:tc>
        <w:tc>
          <w:tcPr>
            <w:tcW w:w="89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70"/>
              <w:spacing w:before="253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A</w:t>
            </w:r>
          </w:p>
        </w:tc>
        <w:tc>
          <w:tcPr>
            <w:tcW w:w="8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21"/>
              <w:spacing w:before="253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A1</w:t>
            </w:r>
          </w:p>
        </w:tc>
        <w:tc>
          <w:tcPr>
            <w:tcW w:w="9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84"/>
              <w:spacing w:before="253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A</w:t>
            </w:r>
          </w:p>
        </w:tc>
        <w:tc>
          <w:tcPr>
            <w:tcW w:w="15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9"/>
              <w:spacing w:before="197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稳定</w:t>
            </w:r>
          </w:p>
        </w:tc>
      </w:tr>
      <w:tr>
        <w:trPr>
          <w:trHeight w:val="609" w:hRule="atLeast"/>
        </w:trPr>
        <w:tc>
          <w:tcPr>
            <w:tcW w:w="14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2"/>
              <w:spacing w:before="254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AXA</w:t>
            </w:r>
          </w:p>
        </w:tc>
        <w:tc>
          <w:tcPr>
            <w:tcW w:w="9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24"/>
              <w:spacing w:before="254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A+</w:t>
            </w:r>
          </w:p>
        </w:tc>
        <w:tc>
          <w:tcPr>
            <w:tcW w:w="89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60"/>
              <w:spacing w:before="254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AA-</w:t>
            </w:r>
          </w:p>
        </w:tc>
        <w:tc>
          <w:tcPr>
            <w:tcW w:w="8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21"/>
              <w:spacing w:before="252" w:line="18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Aa3</w:t>
            </w:r>
          </w:p>
        </w:tc>
        <w:tc>
          <w:tcPr>
            <w:tcW w:w="9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76"/>
              <w:spacing w:before="254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AA-</w:t>
            </w:r>
          </w:p>
        </w:tc>
        <w:tc>
          <w:tcPr>
            <w:tcW w:w="15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9"/>
              <w:spacing w:before="199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4"/>
              </w:rPr>
              <w:t>积极展望</w:t>
            </w:r>
          </w:p>
        </w:tc>
      </w:tr>
      <w:tr>
        <w:trPr>
          <w:trHeight w:val="569" w:hRule="atLeast"/>
        </w:trPr>
        <w:tc>
          <w:tcPr>
            <w:tcW w:w="14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2"/>
              <w:spacing w:before="201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Prudential</w:t>
            </w:r>
          </w:p>
        </w:tc>
        <w:tc>
          <w:tcPr>
            <w:tcW w:w="9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24"/>
              <w:spacing w:before="235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A+</w:t>
            </w:r>
          </w:p>
        </w:tc>
        <w:tc>
          <w:tcPr>
            <w:tcW w:w="89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70"/>
              <w:spacing w:before="235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A</w:t>
            </w:r>
          </w:p>
        </w:tc>
        <w:tc>
          <w:tcPr>
            <w:tcW w:w="8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21"/>
              <w:spacing w:before="235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A1</w:t>
            </w:r>
          </w:p>
        </w:tc>
        <w:tc>
          <w:tcPr>
            <w:tcW w:w="9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33"/>
              <w:spacing w:before="235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A+</w:t>
            </w:r>
          </w:p>
        </w:tc>
        <w:tc>
          <w:tcPr>
            <w:tcW w:w="15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9"/>
              <w:spacing w:before="179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稳定</w:t>
            </w:r>
          </w:p>
        </w:tc>
      </w:tr>
      <w:tr>
        <w:trPr>
          <w:trHeight w:val="609" w:hRule="atLeast"/>
        </w:trPr>
        <w:tc>
          <w:tcPr>
            <w:tcW w:w="14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2"/>
              <w:spacing w:before="256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MetLife</w:t>
            </w:r>
          </w:p>
        </w:tc>
        <w:tc>
          <w:tcPr>
            <w:tcW w:w="9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24"/>
              <w:spacing w:before="256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A+</w:t>
            </w:r>
          </w:p>
        </w:tc>
        <w:tc>
          <w:tcPr>
            <w:tcW w:w="89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60"/>
              <w:spacing w:before="256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AA-</w:t>
            </w:r>
          </w:p>
        </w:tc>
        <w:tc>
          <w:tcPr>
            <w:tcW w:w="8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21"/>
              <w:spacing w:before="254" w:line="185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Aa3</w:t>
            </w:r>
          </w:p>
        </w:tc>
        <w:tc>
          <w:tcPr>
            <w:tcW w:w="9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73"/>
              <w:spacing w:before="256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AA-</w:t>
            </w:r>
          </w:p>
        </w:tc>
        <w:tc>
          <w:tcPr>
            <w:tcW w:w="15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6"/>
              <w:spacing w:before="20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>稳定</w:t>
            </w:r>
          </w:p>
        </w:tc>
      </w:tr>
      <w:tr>
        <w:trPr>
          <w:trHeight w:val="608" w:hRule="atLeast"/>
        </w:trPr>
        <w:tc>
          <w:tcPr>
            <w:tcW w:w="14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2"/>
              <w:spacing w:before="228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Nippon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Life</w:t>
            </w:r>
          </w:p>
        </w:tc>
        <w:tc>
          <w:tcPr>
            <w:tcW w:w="9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24"/>
              <w:spacing w:before="257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A+</w:t>
            </w:r>
          </w:p>
        </w:tc>
        <w:tc>
          <w:tcPr>
            <w:tcW w:w="89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20"/>
              <w:spacing w:before="257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A+</w:t>
            </w:r>
          </w:p>
        </w:tc>
        <w:tc>
          <w:tcPr>
            <w:tcW w:w="8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21"/>
              <w:spacing w:before="257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A1</w:t>
            </w:r>
          </w:p>
        </w:tc>
        <w:tc>
          <w:tcPr>
            <w:tcW w:w="9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33"/>
              <w:spacing w:before="257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A+</w:t>
            </w:r>
          </w:p>
        </w:tc>
        <w:tc>
          <w:tcPr>
            <w:tcW w:w="15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6"/>
              <w:spacing w:before="205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7"/>
              </w:rPr>
              <w:t>保守</w:t>
            </w:r>
          </w:p>
        </w:tc>
      </w:tr>
      <w:tr>
        <w:trPr>
          <w:trHeight w:val="613" w:hRule="atLeast"/>
        </w:trPr>
        <w:tc>
          <w:tcPr>
            <w:tcW w:w="149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9"/>
              <w:spacing w:before="227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Manulife</w:t>
            </w:r>
          </w:p>
        </w:tc>
        <w:tc>
          <w:tcPr>
            <w:tcW w:w="99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324"/>
              <w:spacing w:before="259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</w:t>
            </w:r>
          </w:p>
        </w:tc>
        <w:tc>
          <w:tcPr>
            <w:tcW w:w="893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20"/>
              <w:spacing w:before="259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A+</w:t>
            </w:r>
          </w:p>
        </w:tc>
        <w:tc>
          <w:tcPr>
            <w:tcW w:w="89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21"/>
              <w:spacing w:before="259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A2</w:t>
            </w:r>
          </w:p>
        </w:tc>
        <w:tc>
          <w:tcPr>
            <w:tcW w:w="92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433"/>
              <w:spacing w:before="259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A+</w:t>
            </w:r>
          </w:p>
        </w:tc>
        <w:tc>
          <w:tcPr>
            <w:tcW w:w="15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36"/>
              <w:spacing w:before="206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>稳定</w:t>
            </w:r>
          </w:p>
        </w:tc>
      </w:tr>
    </w:tbl>
    <w:p>
      <w:pPr>
        <w:ind w:left="29"/>
        <w:spacing w:before="10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Legal &amp;General   </w:t>
      </w:r>
      <w:r>
        <w:rPr>
          <w:rFonts w:ascii="SimSun" w:hAnsi="SimSun" w:eastAsia="SimSun" w:cs="SimSun"/>
          <w:sz w:val="21"/>
          <w:szCs w:val="21"/>
          <w:b/>
          <w:bCs/>
          <w:position w:val="-2"/>
        </w:rPr>
        <w:t>A+</w:t>
      </w:r>
      <w:r>
        <w:rPr>
          <w:rFonts w:ascii="SimSun" w:hAnsi="SimSun" w:eastAsia="SimSun" w:cs="SimSun"/>
          <w:sz w:val="21"/>
          <w:szCs w:val="21"/>
          <w:spacing w:val="5"/>
          <w:position w:val="-2"/>
        </w:rPr>
        <w:t xml:space="preserve">        </w:t>
      </w:r>
      <w:r>
        <w:rPr>
          <w:rFonts w:ascii="SimSun" w:hAnsi="SimSun" w:eastAsia="SimSun" w:cs="SimSun"/>
          <w:sz w:val="21"/>
          <w:szCs w:val="21"/>
          <w:position w:val="-2"/>
        </w:rPr>
        <w:t>A+</w:t>
      </w:r>
      <w:r>
        <w:rPr>
          <w:rFonts w:ascii="SimSun" w:hAnsi="SimSun" w:eastAsia="SimSun" w:cs="SimSun"/>
          <w:sz w:val="21"/>
          <w:szCs w:val="21"/>
          <w:spacing w:val="16"/>
          <w:position w:val="-2"/>
        </w:rPr>
        <w:t xml:space="preserve">    </w:t>
      </w:r>
      <w:r>
        <w:rPr>
          <w:rFonts w:ascii="SimSun" w:hAnsi="SimSun" w:eastAsia="SimSun" w:cs="SimSun"/>
          <w:sz w:val="21"/>
          <w:szCs w:val="21"/>
          <w:b/>
          <w:bCs/>
          <w:position w:val="-2"/>
        </w:rPr>
        <w:t>A2</w:t>
      </w:r>
      <w:r>
        <w:rPr>
          <w:rFonts w:ascii="SimSun" w:hAnsi="SimSun" w:eastAsia="SimSun" w:cs="SimSun"/>
          <w:sz w:val="21"/>
          <w:szCs w:val="21"/>
          <w:spacing w:val="7"/>
          <w:position w:val="-2"/>
        </w:rPr>
        <w:t xml:space="preserve">        </w:t>
      </w:r>
      <w:r>
        <w:rPr>
          <w:rFonts w:ascii="SimSun" w:hAnsi="SimSun" w:eastAsia="SimSun" w:cs="SimSun"/>
          <w:sz w:val="21"/>
          <w:szCs w:val="21"/>
          <w:position w:val="-2"/>
        </w:rPr>
        <w:t>A+     </w:t>
      </w:r>
      <w:r>
        <w:rPr>
          <w:rFonts w:ascii="SimSun" w:hAnsi="SimSun" w:eastAsia="SimSun" w:cs="SimSun"/>
          <w:sz w:val="21"/>
          <w:szCs w:val="21"/>
        </w:rPr>
        <w:t>稳定</w:t>
      </w:r>
    </w:p>
    <w:p>
      <w:pPr>
        <w:pStyle w:val="BodyText"/>
        <w:spacing w:line="254" w:lineRule="auto"/>
        <w:rPr>
          <w:sz w:val="21"/>
        </w:rPr>
      </w:pPr>
      <w:r/>
    </w:p>
    <w:p>
      <w:pPr>
        <w:pStyle w:val="BodyText"/>
        <w:spacing w:line="255" w:lineRule="auto"/>
        <w:rPr>
          <w:sz w:val="21"/>
        </w:rPr>
      </w:pPr>
      <w:r/>
    </w:p>
    <w:p>
      <w:pPr>
        <w:pStyle w:val="BodyText"/>
        <w:ind w:left="10"/>
        <w:spacing w:before="75" w:line="334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9"/>
        </w:rPr>
        <w:t>横向对比：</w:t>
      </w:r>
      <w:r>
        <w:rPr>
          <w:sz w:val="23"/>
          <w:szCs w:val="23"/>
        </w:rPr>
        <w:t>Berkshire</w:t>
      </w:r>
      <w:r>
        <w:rPr>
          <w:sz w:val="23"/>
          <w:szCs w:val="23"/>
          <w:spacing w:val="58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9"/>
        </w:rPr>
        <w:t>信誉最高，得益于长期承保纪律；欧洲公司</w:t>
      </w:r>
      <w:r>
        <w:rPr>
          <w:sz w:val="23"/>
          <w:szCs w:val="23"/>
        </w:rPr>
        <w:t>AA</w:t>
      </w:r>
      <w:r>
        <w:rPr>
          <w:sz w:val="23"/>
          <w:szCs w:val="23"/>
          <w:spacing w:val="-1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9"/>
        </w:rPr>
        <w:t>级普遍，高信誉降低融资成</w:t>
      </w:r>
      <w:r>
        <w:rPr>
          <w:rFonts w:ascii="SimHei" w:hAnsi="SimHei" w:eastAsia="SimHei" w:cs="SimHei"/>
          <w:sz w:val="23"/>
          <w:szCs w:val="23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8"/>
        </w:rPr>
        <w:t>本并支持增长；中国公司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A</w:t>
      </w:r>
      <w:r>
        <w:rPr>
          <w:rFonts w:ascii="SimHei" w:hAnsi="SimHei" w:eastAsia="SimHei" w:cs="SimHei"/>
          <w:sz w:val="23"/>
          <w:szCs w:val="23"/>
          <w:spacing w:val="8"/>
        </w:rPr>
        <w:t>级，受益国家信用背书。</w:t>
      </w:r>
    </w:p>
    <w:p>
      <w:pPr>
        <w:ind w:left="14"/>
        <w:spacing w:before="336" w:line="222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14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14"/>
        </w:rPr>
        <w:t>过往五年增长幅度(2020-2025)</w:t>
      </w:r>
    </w:p>
    <w:p>
      <w:pPr>
        <w:ind w:left="10"/>
        <w:spacing w:before="208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9"/>
        </w:rPr>
        <w:t>重点指标：总资产</w:t>
      </w:r>
      <w:r>
        <w:rPr>
          <w:rFonts w:ascii="SimSun" w:hAnsi="SimSun" w:eastAsia="SimSun" w:cs="SimSun"/>
          <w:sz w:val="23"/>
          <w:szCs w:val="23"/>
        </w:rPr>
        <w:t>CAGR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9"/>
        </w:rPr>
        <w:t>(受疫情、市场波动影响，全球平均≈3-4%)。</w:t>
      </w:r>
    </w:p>
    <w:p>
      <w:pPr>
        <w:spacing w:line="213" w:lineRule="auto"/>
        <w:sectPr>
          <w:pgSz w:w="12240" w:h="15840"/>
          <w:pgMar w:top="1204" w:right="1201" w:bottom="0" w:left="970" w:header="0" w:footer="0" w:gutter="0"/>
        </w:sectPr>
        <w:rPr>
          <w:rFonts w:ascii="SimHei" w:hAnsi="SimHei" w:eastAsia="SimHei" w:cs="SimHei"/>
          <w:sz w:val="23"/>
          <w:szCs w:val="23"/>
        </w:rPr>
      </w:pPr>
    </w:p>
    <w:p>
      <w:pPr>
        <w:pStyle w:val="BodyText"/>
        <w:spacing w:line="364" w:lineRule="auto"/>
        <w:rPr>
          <w:sz w:val="21"/>
        </w:rPr>
      </w:pPr>
      <w:r/>
    </w:p>
    <w:p>
      <w:pPr>
        <w:ind w:left="53"/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9"/>
        </w:rPr>
        <w:t>公司</w:t>
      </w:r>
    </w:p>
    <w:p>
      <w:pPr>
        <w:pStyle w:val="BodyText"/>
        <w:spacing w:line="266" w:lineRule="auto"/>
        <w:rPr>
          <w:sz w:val="21"/>
        </w:rPr>
      </w:pPr>
      <w:r/>
    </w:p>
    <w:p>
      <w:pPr>
        <w:ind w:left="53"/>
        <w:spacing w:before="69" w:line="1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Allianz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1160"/>
        <w:spacing w:before="41" w:line="34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总资产CAGR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(约)</w:t>
      </w:r>
    </w:p>
    <w:p>
      <w:pPr>
        <w:spacing w:before="15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3-5%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795"/>
        <w:spacing w:before="41" w:line="34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保费收入CAGR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(约)</w:t>
      </w:r>
    </w:p>
    <w:p>
      <w:pPr>
        <w:spacing w:before="15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5%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" w:right="827"/>
        <w:spacing w:before="40" w:line="34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净利润CAGR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(约)</w:t>
      </w:r>
    </w:p>
    <w:p>
      <w:pPr>
        <w:spacing w:before="160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2"/>
        </w:rPr>
        <w:t>4%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60" w:lineRule="auto"/>
        <w:rPr>
          <w:sz w:val="21"/>
        </w:rPr>
      </w:pPr>
      <w:r/>
    </w:p>
    <w:p>
      <w:pPr>
        <w:ind w:left="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对比洞察</w:t>
      </w:r>
    </w:p>
    <w:p>
      <w:pPr>
        <w:spacing w:before="29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"/>
        </w:rPr>
        <w:t>稳定，受欧洲市场拖累</w:t>
      </w:r>
    </w:p>
    <w:p>
      <w:pPr>
        <w:spacing w:line="219" w:lineRule="auto"/>
        <w:sectPr>
          <w:pgSz w:w="12240" w:h="15840"/>
          <w:pgMar w:top="1123" w:right="1125" w:bottom="0" w:left="949" w:header="0" w:footer="0" w:gutter="0"/>
          <w:cols w:equalWidth="0" w:num="5">
            <w:col w:w="1351" w:space="100"/>
            <w:col w:w="2201" w:space="100"/>
            <w:col w:w="2050" w:space="100"/>
            <w:col w:w="1871" w:space="100"/>
            <w:col w:w="2295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113" w:lineRule="exact"/>
        <w:rPr/>
      </w:pPr>
      <w:r/>
    </w:p>
    <w:tbl>
      <w:tblPr>
        <w:tblStyle w:val="TableNormal"/>
        <w:tblW w:w="1015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22"/>
        <w:gridCol w:w="1579"/>
        <w:gridCol w:w="2442"/>
        <w:gridCol w:w="2277"/>
        <w:gridCol w:w="2530"/>
      </w:tblGrid>
      <w:tr>
        <w:trPr>
          <w:trHeight w:val="534" w:hRule="atLeast"/>
        </w:trPr>
        <w:tc>
          <w:tcPr>
            <w:tcW w:w="132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3"/>
              <w:spacing w:before="185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Ping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An</w:t>
            </w:r>
          </w:p>
        </w:tc>
        <w:tc>
          <w:tcPr>
            <w:tcW w:w="15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28"/>
              <w:spacing w:before="184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10-12%</w:t>
            </w:r>
          </w:p>
        </w:tc>
        <w:tc>
          <w:tcPr>
            <w:tcW w:w="24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849"/>
              <w:spacing w:before="184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8-10%</w:t>
            </w:r>
          </w:p>
        </w:tc>
        <w:tc>
          <w:tcPr>
            <w:tcW w:w="227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57"/>
              <w:spacing w:before="162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5"/>
              </w:rPr>
              <w:t>变异(科技驱动)</w:t>
            </w:r>
          </w:p>
        </w:tc>
        <w:tc>
          <w:tcPr>
            <w:tcW w:w="25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50"/>
              <w:spacing w:before="163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最高增长，数字化转型</w:t>
            </w:r>
          </w:p>
        </w:tc>
      </w:tr>
      <w:tr>
        <w:trPr>
          <w:trHeight w:val="678" w:hRule="atLeast"/>
        </w:trPr>
        <w:tc>
          <w:tcPr>
            <w:tcW w:w="132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3"/>
              <w:spacing w:before="258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Berkshire</w:t>
            </w:r>
          </w:p>
        </w:tc>
        <w:tc>
          <w:tcPr>
            <w:tcW w:w="15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28"/>
              <w:spacing w:before="260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8-10%</w:t>
            </w:r>
          </w:p>
        </w:tc>
        <w:tc>
          <w:tcPr>
            <w:tcW w:w="24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849"/>
              <w:spacing w:before="260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10%</w:t>
            </w:r>
          </w:p>
        </w:tc>
        <w:tc>
          <w:tcPr>
            <w:tcW w:w="227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57"/>
              <w:spacing w:before="239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>高(投资收益)</w:t>
            </w:r>
          </w:p>
        </w:tc>
        <w:tc>
          <w:tcPr>
            <w:tcW w:w="25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50"/>
              <w:spacing w:before="239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1"/>
              </w:rPr>
              <w:t>强劲，承保+投资双轮</w:t>
            </w:r>
          </w:p>
        </w:tc>
      </w:tr>
      <w:tr>
        <w:trPr>
          <w:trHeight w:val="499" w:hRule="atLeast"/>
        </w:trPr>
        <w:tc>
          <w:tcPr>
            <w:tcW w:w="132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3"/>
              <w:spacing w:before="169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China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Life</w:t>
            </w:r>
          </w:p>
        </w:tc>
        <w:tc>
          <w:tcPr>
            <w:tcW w:w="15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28"/>
              <w:spacing w:before="172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8-10%</w:t>
            </w:r>
          </w:p>
        </w:tc>
        <w:tc>
          <w:tcPr>
            <w:tcW w:w="24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849"/>
              <w:spacing w:before="172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6-8%</w:t>
            </w:r>
          </w:p>
        </w:tc>
        <w:tc>
          <w:tcPr>
            <w:tcW w:w="227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57"/>
              <w:spacing w:before="172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5%</w:t>
            </w:r>
          </w:p>
        </w:tc>
        <w:tc>
          <w:tcPr>
            <w:tcW w:w="25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50"/>
              <w:spacing w:before="151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稳健，国家政策支持</w:t>
            </w:r>
          </w:p>
        </w:tc>
      </w:tr>
      <w:tr>
        <w:trPr>
          <w:trHeight w:val="698" w:hRule="atLeast"/>
        </w:trPr>
        <w:tc>
          <w:tcPr>
            <w:tcW w:w="132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3"/>
              <w:spacing w:before="305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AXA</w:t>
            </w:r>
          </w:p>
        </w:tc>
        <w:tc>
          <w:tcPr>
            <w:tcW w:w="15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28"/>
              <w:spacing w:before="273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2-4%</w:t>
            </w:r>
          </w:p>
        </w:tc>
        <w:tc>
          <w:tcPr>
            <w:tcW w:w="24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849"/>
              <w:spacing w:before="273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4%</w:t>
            </w:r>
          </w:p>
        </w:tc>
        <w:tc>
          <w:tcPr>
            <w:tcW w:w="227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57"/>
              <w:spacing w:before="273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3%</w:t>
            </w:r>
          </w:p>
        </w:tc>
        <w:tc>
          <w:tcPr>
            <w:tcW w:w="25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50"/>
              <w:spacing w:before="256" w:line="222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温和</w:t>
            </w:r>
          </w:p>
        </w:tc>
      </w:tr>
      <w:tr>
        <w:trPr>
          <w:trHeight w:val="868" w:hRule="atLeast"/>
        </w:trPr>
        <w:tc>
          <w:tcPr>
            <w:tcW w:w="132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ind w:left="53"/>
              <w:spacing w:before="68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Prudential</w:t>
            </w:r>
          </w:p>
        </w:tc>
        <w:tc>
          <w:tcPr>
            <w:tcW w:w="15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ind w:left="128"/>
              <w:spacing w:before="68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1-3%</w:t>
            </w:r>
          </w:p>
        </w:tc>
        <w:tc>
          <w:tcPr>
            <w:tcW w:w="24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ind w:left="849"/>
              <w:spacing w:before="6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亚洲驱动5%</w:t>
            </w:r>
          </w:p>
        </w:tc>
        <w:tc>
          <w:tcPr>
            <w:tcW w:w="227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557"/>
              <w:spacing w:before="69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>变异</w:t>
            </w:r>
          </w:p>
        </w:tc>
        <w:tc>
          <w:tcPr>
            <w:tcW w:w="25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60" w:right="140"/>
              <w:spacing w:before="225" w:line="27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>亚洲贡献大，但2025大</w:t>
            </w: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</w:rPr>
              <w:t>跌</w:t>
            </w:r>
          </w:p>
        </w:tc>
      </w:tr>
      <w:tr>
        <w:trPr>
          <w:trHeight w:val="599" w:hRule="atLeast"/>
        </w:trPr>
        <w:tc>
          <w:tcPr>
            <w:tcW w:w="132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3"/>
              <w:spacing w:before="259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MetLife</w:t>
            </w:r>
          </w:p>
        </w:tc>
        <w:tc>
          <w:tcPr>
            <w:tcW w:w="15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31"/>
              <w:spacing w:before="225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5"/>
              </w:rPr>
              <w:t>2-4%</w:t>
            </w:r>
          </w:p>
        </w:tc>
        <w:tc>
          <w:tcPr>
            <w:tcW w:w="24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849"/>
              <w:spacing w:before="227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4%</w:t>
            </w:r>
          </w:p>
        </w:tc>
        <w:tc>
          <w:tcPr>
            <w:tcW w:w="227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57"/>
              <w:spacing w:before="227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3%</w:t>
            </w:r>
          </w:p>
        </w:tc>
        <w:tc>
          <w:tcPr>
            <w:tcW w:w="25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50"/>
              <w:spacing w:before="206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>稳定</w:t>
            </w:r>
          </w:p>
        </w:tc>
      </w:tr>
      <w:tr>
        <w:trPr>
          <w:trHeight w:val="579" w:hRule="atLeast"/>
        </w:trPr>
        <w:tc>
          <w:tcPr>
            <w:tcW w:w="132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3"/>
              <w:spacing w:before="221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Nippon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Life</w:t>
            </w:r>
          </w:p>
        </w:tc>
        <w:tc>
          <w:tcPr>
            <w:tcW w:w="15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28"/>
              <w:spacing w:before="218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1-3%</w:t>
            </w:r>
          </w:p>
        </w:tc>
        <w:tc>
          <w:tcPr>
            <w:tcW w:w="24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849"/>
              <w:spacing w:before="218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2%</w:t>
            </w:r>
          </w:p>
        </w:tc>
        <w:tc>
          <w:tcPr>
            <w:tcW w:w="227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57"/>
              <w:spacing w:before="19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低</w:t>
            </w:r>
          </w:p>
        </w:tc>
        <w:tc>
          <w:tcPr>
            <w:tcW w:w="25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50"/>
              <w:spacing w:before="196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1"/>
              </w:rPr>
              <w:t>保守，日本低利率</w:t>
            </w:r>
          </w:p>
        </w:tc>
      </w:tr>
      <w:tr>
        <w:trPr>
          <w:trHeight w:val="644" w:hRule="atLeast"/>
        </w:trPr>
        <w:tc>
          <w:tcPr>
            <w:tcW w:w="132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3"/>
              <w:spacing w:before="247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Manulife</w:t>
            </w:r>
          </w:p>
        </w:tc>
        <w:tc>
          <w:tcPr>
            <w:tcW w:w="1579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28"/>
              <w:spacing w:before="249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3-5%</w:t>
            </w:r>
          </w:p>
        </w:tc>
        <w:tc>
          <w:tcPr>
            <w:tcW w:w="244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849"/>
              <w:spacing w:before="249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5%</w:t>
            </w:r>
          </w:p>
        </w:tc>
        <w:tc>
          <w:tcPr>
            <w:tcW w:w="227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557"/>
              <w:spacing w:before="249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4%</w:t>
            </w:r>
          </w:p>
        </w:tc>
        <w:tc>
          <w:tcPr>
            <w:tcW w:w="25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250"/>
              <w:spacing w:before="22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亚洲增长</w:t>
            </w:r>
          </w:p>
        </w:tc>
      </w:tr>
    </w:tbl>
    <w:p>
      <w:pPr>
        <w:ind w:left="53"/>
        <w:spacing w:before="173" w:line="23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position w:val="1"/>
        </w:rPr>
        <w:t>Legal</w:t>
      </w:r>
      <w:r>
        <w:rPr>
          <w:rFonts w:ascii="SimSun" w:hAnsi="SimSun" w:eastAsia="SimSun" w:cs="SimSun"/>
          <w:sz w:val="21"/>
          <w:szCs w:val="21"/>
          <w:position w:val="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position w:val="1"/>
        </w:rPr>
        <w:t>&amp;</w:t>
      </w:r>
      <w:r>
        <w:rPr>
          <w:rFonts w:ascii="SimSun" w:hAnsi="SimSun" w:eastAsia="SimSun" w:cs="SimSun"/>
          <w:sz w:val="21"/>
          <w:szCs w:val="21"/>
          <w:spacing w:val="6"/>
          <w:position w:val="1"/>
        </w:rPr>
        <w:t xml:space="preserve">      </w:t>
      </w:r>
      <w:r>
        <w:rPr>
          <w:rFonts w:ascii="SimSun" w:hAnsi="SimSun" w:eastAsia="SimSun" w:cs="SimSun"/>
          <w:sz w:val="21"/>
          <w:szCs w:val="21"/>
          <w:position w:val="-1"/>
        </w:rPr>
        <w:t>2-4%           </w:t>
      </w:r>
      <w:r>
        <w:rPr>
          <w:rFonts w:ascii="SimSun" w:hAnsi="SimSun" w:eastAsia="SimSun" w:cs="SimSun"/>
          <w:sz w:val="21"/>
          <w:szCs w:val="21"/>
          <w:spacing w:val="-1"/>
          <w:position w:val="-1"/>
        </w:rPr>
        <w:t xml:space="preserve">       3%</w:t>
      </w:r>
      <w:r>
        <w:rPr>
          <w:rFonts w:ascii="SimSun" w:hAnsi="SimSun" w:eastAsia="SimSun" w:cs="SimSun"/>
          <w:sz w:val="21"/>
          <w:szCs w:val="21"/>
          <w:spacing w:val="3"/>
          <w:position w:val="-1"/>
        </w:rPr>
        <w:t xml:space="preserve">                  </w:t>
      </w:r>
      <w:r>
        <w:rPr>
          <w:rFonts w:ascii="SimSun" w:hAnsi="SimSun" w:eastAsia="SimSun" w:cs="SimSun"/>
          <w:sz w:val="21"/>
          <w:szCs w:val="21"/>
          <w:spacing w:val="-1"/>
        </w:rPr>
        <w:t>变异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             </w:t>
      </w:r>
      <w:r>
        <w:rPr>
          <w:rFonts w:ascii="SimSun" w:hAnsi="SimSun" w:eastAsia="SimSun" w:cs="SimSun"/>
          <w:sz w:val="21"/>
          <w:szCs w:val="21"/>
          <w:spacing w:val="-1"/>
        </w:rPr>
        <w:t>养老金驱动</w:t>
      </w:r>
    </w:p>
    <w:p>
      <w:pPr>
        <w:ind w:left="53"/>
        <w:spacing w:before="198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General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pStyle w:val="BodyText"/>
        <w:ind w:left="30"/>
        <w:spacing w:before="75" w:line="330" w:lineRule="auto"/>
        <w:jc w:val="both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4"/>
        </w:rPr>
        <w:t>横向对比：中国公司</w:t>
      </w:r>
      <w:r>
        <w:rPr>
          <w:rFonts w:ascii="SimHei" w:hAnsi="SimHei" w:eastAsia="SimHei" w:cs="SimHei"/>
          <w:sz w:val="23"/>
          <w:szCs w:val="23"/>
          <w:spacing w:val="4"/>
        </w:rPr>
        <w:t xml:space="preserve"> </w:t>
      </w:r>
      <w:r>
        <w:rPr>
          <w:sz w:val="23"/>
          <w:szCs w:val="23"/>
          <w:spacing w:val="4"/>
        </w:rPr>
        <w:t>(</w:t>
      </w:r>
      <w:r>
        <w:rPr>
          <w:sz w:val="23"/>
          <w:szCs w:val="23"/>
        </w:rPr>
        <w:t>Ping</w:t>
      </w:r>
      <w:r>
        <w:rPr>
          <w:sz w:val="23"/>
          <w:szCs w:val="23"/>
          <w:spacing w:val="4"/>
        </w:rPr>
        <w:t xml:space="preserve">    </w:t>
      </w:r>
      <w:r>
        <w:rPr>
          <w:sz w:val="23"/>
          <w:szCs w:val="23"/>
        </w:rPr>
        <w:t>An</w:t>
      </w:r>
      <w:r>
        <w:rPr>
          <w:rFonts w:ascii="SimSun" w:hAnsi="SimSun" w:eastAsia="SimSun" w:cs="SimSun"/>
          <w:sz w:val="23"/>
          <w:szCs w:val="23"/>
          <w:spacing w:val="4"/>
        </w:rPr>
        <w:t>、</w:t>
      </w:r>
      <w:r>
        <w:rPr>
          <w:sz w:val="23"/>
          <w:szCs w:val="23"/>
        </w:rPr>
        <w:t>China</w:t>
      </w:r>
      <w:r>
        <w:rPr>
          <w:sz w:val="23"/>
          <w:szCs w:val="23"/>
          <w:spacing w:val="4"/>
        </w:rPr>
        <w:t xml:space="preserve">    </w:t>
      </w:r>
      <w:r>
        <w:rPr>
          <w:sz w:val="23"/>
          <w:szCs w:val="23"/>
        </w:rPr>
        <w:t>Life</w:t>
      </w:r>
      <w:r>
        <w:rPr>
          <w:sz w:val="23"/>
          <w:szCs w:val="23"/>
          <w:spacing w:val="4"/>
        </w:rPr>
        <w:t>)</w:t>
      </w:r>
      <w:r>
        <w:rPr>
          <w:sz w:val="23"/>
          <w:szCs w:val="23"/>
        </w:rPr>
        <w:t>CAGR</w:t>
      </w:r>
      <w:r>
        <w:rPr>
          <w:rFonts w:ascii="SimHei" w:hAnsi="SimHei" w:eastAsia="SimHei" w:cs="SimHei"/>
          <w:sz w:val="23"/>
          <w:szCs w:val="23"/>
          <w:spacing w:val="4"/>
        </w:rPr>
        <w:t>最高，受益中国</w:t>
      </w:r>
      <w:r>
        <w:rPr>
          <w:rFonts w:ascii="SimHei" w:hAnsi="SimHei" w:eastAsia="SimHei" w:cs="SimHei"/>
          <w:sz w:val="23"/>
          <w:szCs w:val="23"/>
          <w:spacing w:val="3"/>
        </w:rPr>
        <w:t>保险渗透率提升；</w:t>
      </w:r>
      <w:r>
        <w:rPr>
          <w:rFonts w:ascii="SimHei" w:hAnsi="SimHei" w:eastAsia="SimHei" w:cs="SimHei"/>
          <w:sz w:val="23"/>
          <w:szCs w:val="23"/>
          <w:spacing w:val="3"/>
        </w:rPr>
        <w:t xml:space="preserve"> </w:t>
      </w:r>
      <w:r>
        <w:rPr>
          <w:sz w:val="23"/>
          <w:szCs w:val="23"/>
        </w:rPr>
        <w:t>Berkshire </w:t>
      </w:r>
      <w:r>
        <w:rPr>
          <w:rFonts w:ascii="SimHei" w:hAnsi="SimHei" w:eastAsia="SimHei" w:cs="SimHei"/>
          <w:sz w:val="23"/>
          <w:szCs w:val="23"/>
          <w:spacing w:val="10"/>
        </w:rPr>
        <w:t>投资驱动增长强劲；日欧公司增长缓慢，受低利率与成熟</w:t>
      </w:r>
      <w:r>
        <w:rPr>
          <w:rFonts w:ascii="SimHei" w:hAnsi="SimHei" w:eastAsia="SimHei" w:cs="SimHei"/>
          <w:sz w:val="23"/>
          <w:szCs w:val="23"/>
          <w:spacing w:val="9"/>
        </w:rPr>
        <w:t>市场限制。高信誉公司增长更可持续，</w:t>
      </w:r>
      <w:r>
        <w:rPr>
          <w:rFonts w:ascii="SimHei" w:hAnsi="SimHei" w:eastAsia="SimHei" w:cs="SimHei"/>
          <w:sz w:val="23"/>
          <w:szCs w:val="23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6"/>
        </w:rPr>
        <w:t>因低成本融资支持再投资。</w:t>
      </w:r>
    </w:p>
    <w:p>
      <w:pPr>
        <w:pStyle w:val="BodyText"/>
        <w:spacing w:line="247" w:lineRule="auto"/>
        <w:rPr>
          <w:sz w:val="21"/>
        </w:rPr>
      </w:pPr>
      <w:r/>
    </w:p>
    <w:p>
      <w:pPr>
        <w:ind w:left="34"/>
        <w:spacing w:before="101" w:line="222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</w:rPr>
        <w:t>4.</w:t>
      </w:r>
      <w:r>
        <w:rPr>
          <w:rFonts w:ascii="SimHei" w:hAnsi="SimHei" w:eastAsia="SimHei" w:cs="SimHei"/>
          <w:sz w:val="31"/>
          <w:szCs w:val="31"/>
          <w:b/>
          <w:bCs/>
        </w:rPr>
        <w:t>实际分红</w:t>
      </w:r>
    </w:p>
    <w:p>
      <w:pPr>
        <w:ind w:left="30"/>
        <w:spacing w:before="245" w:line="187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12"/>
        </w:rPr>
        <w:t>上市公司分红政策反映再投资与股东回报平衡(互助社如</w:t>
      </w:r>
      <w:r>
        <w:rPr>
          <w:rFonts w:ascii="SimSun" w:hAnsi="SimSun" w:eastAsia="SimSun" w:cs="SimSun"/>
          <w:sz w:val="23"/>
          <w:szCs w:val="23"/>
        </w:rPr>
        <w:t>Nippon</w:t>
      </w:r>
      <w:r>
        <w:rPr>
          <w:rFonts w:ascii="SimSun" w:hAnsi="SimSun" w:eastAsia="SimSun" w:cs="SimSun"/>
          <w:sz w:val="23"/>
          <w:szCs w:val="23"/>
          <w:spacing w:val="38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Life</w:t>
      </w:r>
      <w:r>
        <w:rPr>
          <w:rFonts w:ascii="SimHei" w:hAnsi="SimHei" w:eastAsia="SimHei" w:cs="SimHei"/>
          <w:sz w:val="23"/>
          <w:szCs w:val="23"/>
          <w:spacing w:val="12"/>
        </w:rPr>
        <w:t>无分红)。</w:t>
      </w:r>
    </w:p>
    <w:p>
      <w:pPr>
        <w:spacing w:line="187" w:lineRule="auto"/>
        <w:sectPr>
          <w:type w:val="continuous"/>
          <w:pgSz w:w="12240" w:h="15840"/>
          <w:pgMar w:top="1123" w:right="1125" w:bottom="0" w:left="949" w:header="0" w:footer="0" w:gutter="0"/>
          <w:cols w:equalWidth="0" w:num="1">
            <w:col w:w="10165" w:space="0"/>
          </w:cols>
        </w:sectPr>
        <w:rPr>
          <w:rFonts w:ascii="SimHei" w:hAnsi="SimHei" w:eastAsia="SimHei" w:cs="SimHei"/>
          <w:sz w:val="23"/>
          <w:szCs w:val="23"/>
        </w:rPr>
      </w:pPr>
    </w:p>
    <w:tbl>
      <w:tblPr>
        <w:tblStyle w:val="TableNormal"/>
        <w:tblW w:w="8729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03"/>
        <w:gridCol w:w="3996"/>
        <w:gridCol w:w="1238"/>
        <w:gridCol w:w="1992"/>
      </w:tblGrid>
      <w:tr>
        <w:trPr>
          <w:trHeight w:val="471" w:hRule="atLeast"/>
        </w:trPr>
        <w:tc>
          <w:tcPr>
            <w:tcW w:w="1503" w:type="dxa"/>
            <w:vAlign w:val="top"/>
          </w:tcPr>
          <w:p>
            <w:pPr>
              <w:pStyle w:val="TableText"/>
              <w:ind w:left="13"/>
              <w:spacing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公司</w:t>
            </w:r>
          </w:p>
        </w:tc>
        <w:tc>
          <w:tcPr>
            <w:tcW w:w="3996" w:type="dxa"/>
            <w:vAlign w:val="top"/>
          </w:tcPr>
          <w:p>
            <w:pPr>
              <w:pStyle w:val="TableText"/>
              <w:ind w:right="39"/>
              <w:spacing w:line="227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17"/>
              </w:rPr>
              <w:t>股息收益率(2025约)</w:t>
            </w:r>
            <w:r>
              <w:rPr>
                <w:sz w:val="22"/>
                <w:szCs w:val="22"/>
                <w:spacing w:val="43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17"/>
              </w:rPr>
              <w:t>支付率(%)</w:t>
            </w:r>
          </w:p>
        </w:tc>
        <w:tc>
          <w:tcPr>
            <w:tcW w:w="1238" w:type="dxa"/>
            <w:vAlign w:val="top"/>
          </w:tcPr>
          <w:p>
            <w:pPr>
              <w:pStyle w:val="TableText"/>
              <w:ind w:left="270"/>
              <w:spacing w:before="8" w:line="224" w:lineRule="auto"/>
              <w:rPr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b/>
                <w:bCs/>
              </w:rPr>
              <w:t>DPS</w:t>
            </w:r>
            <w:r>
              <w:rPr>
                <w:sz w:val="22"/>
                <w:szCs w:val="22"/>
                <w:b/>
                <w:bCs/>
                <w:spacing w:val="2"/>
              </w:rPr>
              <w:t>趋势</w:t>
            </w:r>
          </w:p>
        </w:tc>
        <w:tc>
          <w:tcPr>
            <w:tcW w:w="1992" w:type="dxa"/>
            <w:vAlign w:val="top"/>
          </w:tcPr>
          <w:p>
            <w:pPr>
              <w:pStyle w:val="TableText"/>
              <w:ind w:left="116"/>
              <w:spacing w:before="7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1"/>
              </w:rPr>
              <w:t>政策稳定性</w:t>
            </w:r>
          </w:p>
        </w:tc>
      </w:tr>
      <w:tr>
        <w:trPr>
          <w:trHeight w:val="610" w:hRule="atLeast"/>
        </w:trPr>
        <w:tc>
          <w:tcPr>
            <w:tcW w:w="1503" w:type="dxa"/>
            <w:vAlign w:val="top"/>
          </w:tcPr>
          <w:p>
            <w:pPr>
              <w:ind w:left="32"/>
              <w:spacing w:before="289" w:line="188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Allianz</w:t>
            </w:r>
          </w:p>
        </w:tc>
        <w:tc>
          <w:tcPr>
            <w:tcW w:w="3996" w:type="dxa"/>
            <w:vAlign w:val="top"/>
          </w:tcPr>
          <w:p>
            <w:pPr>
              <w:ind w:left="316"/>
              <w:spacing w:before="261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5-6%                   50-60</w:t>
            </w:r>
          </w:p>
        </w:tc>
        <w:tc>
          <w:tcPr>
            <w:tcW w:w="1238" w:type="dxa"/>
            <w:vAlign w:val="top"/>
          </w:tcPr>
          <w:p>
            <w:pPr>
              <w:ind w:left="40"/>
              <w:spacing w:before="241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>持续增长</w:t>
            </w:r>
          </w:p>
        </w:tc>
        <w:tc>
          <w:tcPr>
            <w:tcW w:w="1992" w:type="dxa"/>
            <w:vAlign w:val="top"/>
          </w:tcPr>
          <w:p>
            <w:pPr>
              <w:ind w:left="221"/>
              <w:spacing w:before="241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高</w:t>
            </w:r>
          </w:p>
        </w:tc>
      </w:tr>
      <w:tr>
        <w:trPr>
          <w:trHeight w:val="564" w:hRule="atLeast"/>
        </w:trPr>
        <w:tc>
          <w:tcPr>
            <w:tcW w:w="1503" w:type="dxa"/>
            <w:vAlign w:val="top"/>
          </w:tcPr>
          <w:p>
            <w:pPr>
              <w:ind w:left="32"/>
              <w:spacing w:before="163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Ping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An</w:t>
            </w:r>
          </w:p>
        </w:tc>
        <w:tc>
          <w:tcPr>
            <w:tcW w:w="3996" w:type="dxa"/>
            <w:vAlign w:val="top"/>
          </w:tcPr>
          <w:p>
            <w:pPr>
              <w:ind w:left="316"/>
              <w:spacing w:before="161" w:line="23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3.7-4.3%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              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37</w:t>
            </w:r>
          </w:p>
        </w:tc>
        <w:tc>
          <w:tcPr>
            <w:tcW w:w="1238" w:type="dxa"/>
            <w:vAlign w:val="top"/>
          </w:tcPr>
          <w:p>
            <w:pPr>
              <w:ind w:left="250"/>
              <w:spacing w:before="141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>稳定</w:t>
            </w:r>
          </w:p>
        </w:tc>
        <w:tc>
          <w:tcPr>
            <w:tcW w:w="1992" w:type="dxa"/>
            <w:vAlign w:val="top"/>
          </w:tcPr>
          <w:p>
            <w:pPr>
              <w:ind w:left="102"/>
              <w:spacing w:before="141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4"/>
              </w:rPr>
              <w:t>中高</w:t>
            </w:r>
          </w:p>
        </w:tc>
      </w:tr>
      <w:tr>
        <w:trPr>
          <w:trHeight w:val="609" w:hRule="atLeast"/>
        </w:trPr>
        <w:tc>
          <w:tcPr>
            <w:tcW w:w="1503" w:type="dxa"/>
            <w:vAlign w:val="top"/>
          </w:tcPr>
          <w:p>
            <w:pPr>
              <w:ind w:left="32"/>
              <w:spacing w:before="216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Berkshire</w:t>
            </w:r>
          </w:p>
        </w:tc>
        <w:tc>
          <w:tcPr>
            <w:tcW w:w="3996" w:type="dxa"/>
            <w:vAlign w:val="top"/>
          </w:tcPr>
          <w:p>
            <w:pPr>
              <w:ind w:left="316"/>
              <w:spacing w:before="217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0%</w:t>
            </w:r>
            <w:r>
              <w:rPr>
                <w:rFonts w:ascii="SimSun" w:hAnsi="SimSun" w:eastAsia="SimSun" w:cs="SimSun"/>
                <w:sz w:val="21"/>
                <w:szCs w:val="21"/>
                <w:spacing w:val="2"/>
              </w:rPr>
              <w:t xml:space="preserve">                     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-</w:t>
            </w:r>
          </w:p>
        </w:tc>
        <w:tc>
          <w:tcPr>
            <w:tcW w:w="1238" w:type="dxa"/>
            <w:vAlign w:val="top"/>
          </w:tcPr>
          <w:p>
            <w:pPr>
              <w:ind w:left="361"/>
              <w:spacing w:before="197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无</w:t>
            </w:r>
          </w:p>
        </w:tc>
        <w:tc>
          <w:tcPr>
            <w:tcW w:w="1992" w:type="dxa"/>
            <w:vAlign w:val="top"/>
          </w:tcPr>
          <w:p>
            <w:pPr>
              <w:ind w:left="102"/>
              <w:spacing w:before="198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不适用</w:t>
            </w:r>
          </w:p>
        </w:tc>
      </w:tr>
      <w:tr>
        <w:trPr>
          <w:trHeight w:val="598" w:hRule="atLeast"/>
        </w:trPr>
        <w:tc>
          <w:tcPr>
            <w:tcW w:w="1503" w:type="dxa"/>
            <w:vAlign w:val="top"/>
          </w:tcPr>
          <w:p>
            <w:pPr>
              <w:ind w:left="32"/>
              <w:spacing w:before="205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China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Life</w:t>
            </w:r>
          </w:p>
        </w:tc>
        <w:tc>
          <w:tcPr>
            <w:tcW w:w="3996" w:type="dxa"/>
            <w:vAlign w:val="top"/>
          </w:tcPr>
          <w:p>
            <w:pPr>
              <w:ind w:left="316"/>
              <w:spacing w:before="208" w:line="23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2.4%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 xml:space="preserve">                  </w:t>
            </w:r>
            <w:r>
              <w:rPr>
                <w:rFonts w:ascii="SimSun" w:hAnsi="SimSun" w:eastAsia="SimSun" w:cs="SimSun"/>
                <w:sz w:val="21"/>
                <w:szCs w:val="21"/>
                <w:spacing w:val="-4"/>
              </w:rPr>
              <w:t>18-26</w:t>
            </w:r>
          </w:p>
        </w:tc>
        <w:tc>
          <w:tcPr>
            <w:tcW w:w="1238" w:type="dxa"/>
            <w:vAlign w:val="top"/>
          </w:tcPr>
          <w:p>
            <w:pPr>
              <w:ind w:left="250"/>
              <w:spacing w:before="18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7"/>
              </w:rPr>
              <w:t>波动</w:t>
            </w:r>
          </w:p>
        </w:tc>
        <w:tc>
          <w:tcPr>
            <w:tcW w:w="1992" w:type="dxa"/>
            <w:vAlign w:val="top"/>
          </w:tcPr>
          <w:p>
            <w:pPr>
              <w:ind w:left="102"/>
              <w:spacing w:before="18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中</w:t>
            </w:r>
          </w:p>
        </w:tc>
      </w:tr>
      <w:tr>
        <w:trPr>
          <w:trHeight w:val="614" w:hRule="atLeast"/>
        </w:trPr>
        <w:tc>
          <w:tcPr>
            <w:tcW w:w="1503" w:type="dxa"/>
            <w:vAlign w:val="top"/>
          </w:tcPr>
          <w:p>
            <w:pPr>
              <w:ind w:left="32"/>
              <w:spacing w:before="242" w:line="184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AXA</w:t>
            </w:r>
          </w:p>
        </w:tc>
        <w:tc>
          <w:tcPr>
            <w:tcW w:w="3996" w:type="dxa"/>
            <w:vAlign w:val="top"/>
          </w:tcPr>
          <w:p>
            <w:pPr>
              <w:ind w:left="316"/>
              <w:spacing w:before="210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5-6%                   50-60</w:t>
            </w:r>
          </w:p>
        </w:tc>
        <w:tc>
          <w:tcPr>
            <w:tcW w:w="1238" w:type="dxa"/>
            <w:vAlign w:val="top"/>
          </w:tcPr>
          <w:p>
            <w:pPr>
              <w:ind w:left="250"/>
              <w:spacing w:before="191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增长</w:t>
            </w:r>
          </w:p>
        </w:tc>
        <w:tc>
          <w:tcPr>
            <w:tcW w:w="1992" w:type="dxa"/>
            <w:vAlign w:val="top"/>
          </w:tcPr>
          <w:p>
            <w:pPr>
              <w:ind w:left="102"/>
              <w:spacing w:before="190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高</w:t>
            </w:r>
          </w:p>
        </w:tc>
      </w:tr>
      <w:tr>
        <w:trPr>
          <w:trHeight w:val="624" w:hRule="atLeast"/>
        </w:trPr>
        <w:tc>
          <w:tcPr>
            <w:tcW w:w="1503" w:type="dxa"/>
            <w:vAlign w:val="top"/>
          </w:tcPr>
          <w:p>
            <w:pPr>
              <w:ind w:left="32"/>
              <w:spacing w:before="225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Prudential</w:t>
            </w:r>
          </w:p>
        </w:tc>
        <w:tc>
          <w:tcPr>
            <w:tcW w:w="3996" w:type="dxa"/>
            <w:vAlign w:val="top"/>
          </w:tcPr>
          <w:p>
            <w:pPr>
              <w:ind w:left="316"/>
              <w:spacing w:before="226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2-3%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 xml:space="preserve">                 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40-50</w:t>
            </w:r>
          </w:p>
        </w:tc>
        <w:tc>
          <w:tcPr>
            <w:tcW w:w="1238" w:type="dxa"/>
            <w:vAlign w:val="top"/>
          </w:tcPr>
          <w:p>
            <w:pPr>
              <w:ind w:left="250"/>
              <w:spacing w:before="206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>稳定</w:t>
            </w:r>
          </w:p>
        </w:tc>
        <w:tc>
          <w:tcPr>
            <w:tcW w:w="1992" w:type="dxa"/>
            <w:vAlign w:val="top"/>
          </w:tcPr>
          <w:p>
            <w:pPr>
              <w:ind w:left="102"/>
              <w:spacing w:before="206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高</w:t>
            </w:r>
          </w:p>
        </w:tc>
      </w:tr>
      <w:tr>
        <w:trPr>
          <w:trHeight w:val="614" w:hRule="atLeast"/>
        </w:trPr>
        <w:tc>
          <w:tcPr>
            <w:tcW w:w="1503" w:type="dxa"/>
            <w:vAlign w:val="top"/>
          </w:tcPr>
          <w:p>
            <w:pPr>
              <w:ind w:left="32"/>
              <w:spacing w:before="254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MetLife</w:t>
            </w:r>
          </w:p>
        </w:tc>
        <w:tc>
          <w:tcPr>
            <w:tcW w:w="3996" w:type="dxa"/>
            <w:vAlign w:val="top"/>
          </w:tcPr>
          <w:p>
            <w:pPr>
              <w:ind w:left="316"/>
              <w:spacing w:before="222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2-3%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                   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40</w:t>
            </w:r>
          </w:p>
        </w:tc>
        <w:tc>
          <w:tcPr>
            <w:tcW w:w="1238" w:type="dxa"/>
            <w:vAlign w:val="top"/>
          </w:tcPr>
          <w:p>
            <w:pPr>
              <w:ind w:left="250"/>
              <w:spacing w:before="202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6"/>
              </w:rPr>
              <w:t>稳定</w:t>
            </w:r>
          </w:p>
        </w:tc>
        <w:tc>
          <w:tcPr>
            <w:tcW w:w="1992" w:type="dxa"/>
            <w:vAlign w:val="top"/>
          </w:tcPr>
          <w:p>
            <w:pPr>
              <w:ind w:left="102"/>
              <w:spacing w:before="202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高</w:t>
            </w:r>
          </w:p>
        </w:tc>
      </w:tr>
      <w:tr>
        <w:trPr>
          <w:trHeight w:val="584" w:hRule="atLeast"/>
        </w:trPr>
        <w:tc>
          <w:tcPr>
            <w:tcW w:w="1503" w:type="dxa"/>
            <w:vAlign w:val="top"/>
          </w:tcPr>
          <w:p>
            <w:pPr>
              <w:ind w:left="32"/>
              <w:spacing w:before="222" w:line="183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Nippon</w:t>
            </w: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 xml:space="preserve"> </w:t>
            </w: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Life</w:t>
            </w:r>
          </w:p>
        </w:tc>
        <w:tc>
          <w:tcPr>
            <w:tcW w:w="3996" w:type="dxa"/>
            <w:vAlign w:val="top"/>
          </w:tcPr>
          <w:p>
            <w:pPr>
              <w:ind w:left="316"/>
              <w:spacing w:before="198" w:line="220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7"/>
              </w:rPr>
              <w:t>无(互助)</w:t>
            </w:r>
            <w:r>
              <w:rPr>
                <w:rFonts w:ascii="SimSun" w:hAnsi="SimSun" w:eastAsia="SimSun" w:cs="SimSun"/>
                <w:sz w:val="21"/>
                <w:szCs w:val="21"/>
              </w:rPr>
              <w:t xml:space="preserve">                </w:t>
            </w:r>
            <w:r>
              <w:rPr>
                <w:rFonts w:ascii="SimSun" w:hAnsi="SimSun" w:eastAsia="SimSun" w:cs="SimSun"/>
                <w:sz w:val="21"/>
                <w:szCs w:val="21"/>
                <w:spacing w:val="7"/>
                <w:position w:val="-2"/>
              </w:rPr>
              <w:t>-</w:t>
            </w:r>
          </w:p>
        </w:tc>
        <w:tc>
          <w:tcPr>
            <w:tcW w:w="1238" w:type="dxa"/>
            <w:vAlign w:val="top"/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410"/>
              <w:spacing w:before="68" w:line="142" w:lineRule="exact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position w:val="-3"/>
              </w:rPr>
              <w:t>-</w:t>
            </w:r>
          </w:p>
        </w:tc>
        <w:tc>
          <w:tcPr>
            <w:tcW w:w="1992" w:type="dxa"/>
            <w:vAlign w:val="top"/>
          </w:tcPr>
          <w:p>
            <w:pPr>
              <w:ind w:left="102"/>
              <w:spacing w:before="199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8"/>
              </w:rPr>
              <w:t>不适用</w:t>
            </w:r>
          </w:p>
        </w:tc>
      </w:tr>
      <w:tr>
        <w:trPr>
          <w:trHeight w:val="550" w:hRule="atLeast"/>
        </w:trPr>
        <w:tc>
          <w:tcPr>
            <w:tcW w:w="1503" w:type="dxa"/>
            <w:vAlign w:val="top"/>
            <w:tcBorders>
              <w:bottom w:val="single" w:color="000000" w:sz="4" w:space="0"/>
            </w:tcBorders>
          </w:tcPr>
          <w:p>
            <w:pPr>
              <w:ind w:left="32"/>
              <w:spacing w:before="213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b/>
                <w:bCs/>
                <w:spacing w:val="-3"/>
              </w:rPr>
              <w:t>Manulife</w:t>
            </w:r>
          </w:p>
        </w:tc>
        <w:tc>
          <w:tcPr>
            <w:tcW w:w="3996" w:type="dxa"/>
            <w:vAlign w:val="top"/>
            <w:tcBorders>
              <w:bottom w:val="single" w:color="000000" w:sz="4" w:space="0"/>
            </w:tcBorders>
          </w:tcPr>
          <w:p>
            <w:pPr>
              <w:ind w:left="316"/>
              <w:spacing w:before="214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4-5%</w:t>
            </w:r>
            <w:r>
              <w:rPr>
                <w:rFonts w:ascii="SimSun" w:hAnsi="SimSun" w:eastAsia="SimSun" w:cs="SimSun"/>
                <w:sz w:val="21"/>
                <w:szCs w:val="21"/>
                <w:spacing w:val="3"/>
              </w:rPr>
              <w:t xml:space="preserve">                  </w:t>
            </w:r>
            <w:r>
              <w:rPr>
                <w:rFonts w:ascii="SimSun" w:hAnsi="SimSun" w:eastAsia="SimSun" w:cs="SimSun"/>
                <w:sz w:val="21"/>
                <w:szCs w:val="21"/>
                <w:spacing w:val="-2"/>
              </w:rPr>
              <w:t>40-50</w:t>
            </w:r>
          </w:p>
        </w:tc>
        <w:tc>
          <w:tcPr>
            <w:tcW w:w="1238" w:type="dxa"/>
            <w:vAlign w:val="top"/>
            <w:tcBorders>
              <w:bottom w:val="single" w:color="000000" w:sz="4" w:space="0"/>
            </w:tcBorders>
          </w:tcPr>
          <w:p>
            <w:pPr>
              <w:ind w:left="250"/>
              <w:spacing w:before="195" w:line="22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3"/>
              </w:rPr>
              <w:t>增长</w:t>
            </w:r>
          </w:p>
        </w:tc>
        <w:tc>
          <w:tcPr>
            <w:tcW w:w="1992" w:type="dxa"/>
            <w:vAlign w:val="top"/>
            <w:tcBorders>
              <w:bottom w:val="single" w:color="000000" w:sz="4" w:space="0"/>
            </w:tcBorders>
          </w:tcPr>
          <w:p>
            <w:pPr>
              <w:ind w:left="102"/>
              <w:spacing w:before="194" w:line="219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高</w:t>
            </w:r>
          </w:p>
        </w:tc>
      </w:tr>
    </w:tbl>
    <w:p>
      <w:pPr>
        <w:pStyle w:val="BodyText"/>
        <w:ind w:left="10"/>
        <w:spacing w:before="220" w:line="241" w:lineRule="auto"/>
        <w:rPr>
          <w:rFonts w:ascii="SimHei" w:hAnsi="SimHei" w:eastAsia="SimHei" w:cs="SimHei"/>
        </w:rPr>
      </w:pPr>
      <w:r>
        <w:rPr>
          <w:spacing w:val="-2"/>
          <w:position w:val="-1"/>
        </w:rPr>
        <w:t>Legal</w:t>
      </w:r>
      <w:r>
        <w:rPr>
          <w:spacing w:val="43"/>
          <w:w w:val="101"/>
          <w:position w:val="-1"/>
        </w:rPr>
        <w:t xml:space="preserve"> </w:t>
      </w:r>
      <w:r>
        <w:rPr>
          <w:spacing w:val="-2"/>
          <w:position w:val="-1"/>
        </w:rPr>
        <w:t>&amp;General    7-8%                                 </w:t>
      </w:r>
      <w:r>
        <w:rPr>
          <w:rFonts w:ascii="Times New Roman" w:hAnsi="Times New Roman" w:eastAsia="Times New Roman" w:cs="Times New Roman"/>
          <w:sz w:val="27"/>
          <w:szCs w:val="27"/>
          <w:spacing w:val="-2"/>
          <w:position w:val="-1"/>
        </w:rPr>
        <w:t>70+                </w:t>
      </w:r>
      <w:r>
        <w:rPr>
          <w:rFonts w:ascii="SimHei" w:hAnsi="SimHei" w:eastAsia="SimHei" w:cs="SimHei"/>
          <w:spacing w:val="-3"/>
        </w:rPr>
        <w:t>高</w:t>
      </w:r>
      <w:r>
        <w:rPr>
          <w:rFonts w:ascii="SimHei" w:hAnsi="SimHei" w:eastAsia="SimHei" w:cs="SimHei"/>
          <w:spacing w:val="1"/>
        </w:rPr>
        <w:t xml:space="preserve">        </w:t>
      </w:r>
      <w:r>
        <w:rPr>
          <w:rFonts w:ascii="SimHei" w:hAnsi="SimHei" w:eastAsia="SimHei" w:cs="SimHei"/>
          <w:spacing w:val="-3"/>
          <w:position w:val="1"/>
        </w:rPr>
        <w:t>高，但覆盖率需关注</w:t>
      </w:r>
    </w:p>
    <w:p>
      <w:pPr>
        <w:pStyle w:val="BodyText"/>
        <w:spacing w:line="415" w:lineRule="auto"/>
        <w:rPr>
          <w:sz w:val="21"/>
        </w:rPr>
      </w:pPr>
      <w:r/>
    </w:p>
    <w:p>
      <w:pPr>
        <w:ind w:left="10"/>
        <w:spacing w:before="71" w:line="392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16"/>
        </w:rPr>
        <w:t>横向对比：欧洲公司</w:t>
      </w:r>
      <w:r>
        <w:rPr>
          <w:rFonts w:ascii="SimHei" w:hAnsi="SimHei" w:eastAsia="SimHei" w:cs="SimHei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(</w:t>
      </w:r>
      <w:r>
        <w:rPr>
          <w:rFonts w:ascii="SimSun" w:hAnsi="SimSun" w:eastAsia="SimSun" w:cs="SimSun"/>
          <w:sz w:val="22"/>
          <w:szCs w:val="22"/>
        </w:rPr>
        <w:t>Allianz</w:t>
      </w:r>
      <w:r>
        <w:rPr>
          <w:rFonts w:ascii="SimSun" w:hAnsi="SimSun" w:eastAsia="SimSun" w:cs="SimSun"/>
          <w:sz w:val="22"/>
          <w:szCs w:val="22"/>
          <w:spacing w:val="16"/>
        </w:rPr>
        <w:t>、</w:t>
      </w:r>
      <w:r>
        <w:rPr>
          <w:rFonts w:ascii="SimSun" w:hAnsi="SimSun" w:eastAsia="SimSun" w:cs="SimSun"/>
          <w:sz w:val="22"/>
          <w:szCs w:val="22"/>
        </w:rPr>
        <w:t>AXA</w:t>
      </w:r>
      <w:r>
        <w:rPr>
          <w:rFonts w:ascii="SimSun" w:hAnsi="SimSun" w:eastAsia="SimSun" w:cs="SimSun"/>
          <w:sz w:val="22"/>
          <w:szCs w:val="22"/>
          <w:spacing w:val="16"/>
        </w:rPr>
        <w:t>、L&amp;G)    </w:t>
      </w:r>
      <w:r>
        <w:rPr>
          <w:rFonts w:ascii="SimHei" w:hAnsi="SimHei" w:eastAsia="SimHei" w:cs="SimHei"/>
          <w:sz w:val="22"/>
          <w:szCs w:val="22"/>
          <w:spacing w:val="16"/>
        </w:rPr>
        <w:t>收益率最高，政策稳定，支持股东价值；中国公司</w:t>
      </w:r>
      <w:r>
        <w:rPr>
          <w:rFonts w:ascii="SimHei" w:hAnsi="SimHei" w:eastAsia="SimHei" w:cs="SimHei"/>
          <w:sz w:val="22"/>
          <w:szCs w:val="22"/>
          <w:spacing w:val="13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12"/>
        </w:rPr>
        <w:t>支付率较低，优先再投资增长；</w:t>
      </w:r>
      <w:r>
        <w:rPr>
          <w:rFonts w:ascii="SimHei" w:hAnsi="SimHei" w:eastAsia="SimHei" w:cs="SimHei"/>
          <w:sz w:val="22"/>
          <w:szCs w:val="22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</w:rPr>
        <w:t>Berkshire</w:t>
      </w:r>
      <w:r>
        <w:rPr>
          <w:rFonts w:ascii="Times New Roman" w:hAnsi="Times New Roman" w:eastAsia="Times New Roman" w:cs="Times New Roman"/>
          <w:sz w:val="22"/>
          <w:szCs w:val="22"/>
          <w:spacing w:val="12"/>
        </w:rPr>
        <w:t xml:space="preserve">    </w:t>
      </w:r>
      <w:r>
        <w:rPr>
          <w:rFonts w:ascii="SimHei" w:hAnsi="SimHei" w:eastAsia="SimHei" w:cs="SimHei"/>
          <w:sz w:val="22"/>
          <w:szCs w:val="22"/>
          <w:spacing w:val="12"/>
        </w:rPr>
        <w:t>全额再投资，长期复合回报高。</w:t>
      </w:r>
    </w:p>
    <w:p>
      <w:pPr>
        <w:ind w:left="14"/>
        <w:spacing w:before="274" w:line="221" w:lineRule="auto"/>
        <w:outlineLvl w:val="2"/>
        <w:rPr>
          <w:rFonts w:ascii="SimHei" w:hAnsi="SimHei" w:eastAsia="SimHei" w:cs="SimHei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5.</w:t>
      </w:r>
      <w:r>
        <w:rPr>
          <w:rFonts w:ascii="SimHei" w:hAnsi="SimHei" w:eastAsia="SimHei" w:cs="SimHei"/>
          <w:sz w:val="30"/>
          <w:szCs w:val="30"/>
          <w:b/>
          <w:bCs/>
          <w:spacing w:val="-4"/>
        </w:rPr>
        <w:t>未来在中国发展潜力</w:t>
      </w:r>
    </w:p>
    <w:p>
      <w:pPr>
        <w:ind w:left="10" w:right="31"/>
        <w:spacing w:before="203" w:line="383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30"/>
        </w:rPr>
        <w:t>中国保险市场2025年保费规模超万亿美元，渗透率仍</w:t>
      </w:r>
      <w:r>
        <w:rPr>
          <w:rFonts w:ascii="SimHei" w:hAnsi="SimHei" w:eastAsia="SimHei" w:cs="SimHei"/>
          <w:sz w:val="22"/>
          <w:szCs w:val="22"/>
          <w:spacing w:val="29"/>
        </w:rPr>
        <w:t>低(&lt;5%),增长潜力巨大。但市场高度本</w:t>
      </w:r>
      <w:r>
        <w:rPr>
          <w:rFonts w:ascii="SimHei" w:hAnsi="SimHei" w:eastAsia="SimHei" w:cs="SimHei"/>
          <w:sz w:val="22"/>
          <w:szCs w:val="22"/>
        </w:rPr>
        <w:t xml:space="preserve"> </w:t>
      </w:r>
      <w:r>
        <w:rPr>
          <w:rFonts w:ascii="SimHei" w:hAnsi="SimHei" w:eastAsia="SimHei" w:cs="SimHei"/>
          <w:sz w:val="22"/>
          <w:szCs w:val="22"/>
          <w:spacing w:val="28"/>
        </w:rPr>
        <w:t>土化，国内公司占90%以上份额，外资&lt;10%,主要通过合资形式</w:t>
      </w:r>
      <w:r>
        <w:rPr>
          <w:rFonts w:ascii="SimHei" w:hAnsi="SimHei" w:eastAsia="SimHei" w:cs="SimHei"/>
          <w:sz w:val="22"/>
          <w:szCs w:val="22"/>
          <w:spacing w:val="27"/>
        </w:rPr>
        <w:t>运营，监管趋严但逐步开放。</w:t>
      </w:r>
    </w:p>
    <w:p>
      <w:pPr>
        <w:spacing w:line="383" w:lineRule="auto"/>
        <w:sectPr>
          <w:pgSz w:w="12240" w:h="15840"/>
          <w:pgMar w:top="1206" w:right="1097" w:bottom="0" w:left="970" w:header="0" w:footer="0" w:gutter="0"/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344" w:lineRule="auto"/>
        <w:rPr>
          <w:sz w:val="21"/>
        </w:rPr>
      </w:pPr>
      <w:r/>
    </w:p>
    <w:p>
      <w:pPr>
        <w:ind w:left="104"/>
        <w:spacing w:before="68" w:line="22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5"/>
        </w:rPr>
        <w:t>公司</w:t>
      </w:r>
    </w:p>
    <w:p>
      <w:pPr>
        <w:pStyle w:val="BodyText"/>
        <w:spacing w:line="320" w:lineRule="auto"/>
        <w:rPr>
          <w:sz w:val="21"/>
        </w:rPr>
      </w:pPr>
      <w:r/>
    </w:p>
    <w:p>
      <w:pPr>
        <w:pStyle w:val="BodyText"/>
        <w:ind w:left="101"/>
        <w:spacing w:before="61" w:line="196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Allianz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49" w:lineRule="auto"/>
        <w:rPr>
          <w:sz w:val="21"/>
        </w:rPr>
      </w:pPr>
      <w:r/>
    </w:p>
    <w:p>
      <w:pPr>
        <w:ind w:left="3"/>
        <w:spacing w:before="69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在华业务现状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ind w:right="270"/>
        <w:spacing w:before="68" w:line="29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9"/>
        </w:rPr>
        <w:t>合资</w:t>
      </w:r>
      <w:r>
        <w:rPr>
          <w:rFonts w:ascii="SimSun" w:hAnsi="SimSun" w:eastAsia="SimSun" w:cs="SimSun"/>
          <w:sz w:val="21"/>
          <w:szCs w:val="21"/>
          <w:spacing w:val="-9"/>
        </w:rPr>
        <w:t>Allianz China Life,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9"/>
        </w:rPr>
        <w:t>份额小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31" w:lineRule="auto"/>
        <w:rPr>
          <w:sz w:val="21"/>
        </w:rPr>
      </w:pPr>
      <w:r/>
    </w:p>
    <w:p>
      <w:pPr>
        <w:ind w:left="3"/>
        <w:spacing w:before="69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5"/>
        </w:rPr>
        <w:t>战略布局</w:t>
      </w:r>
    </w:p>
    <w:p>
      <w:pPr>
        <w:pStyle w:val="BodyText"/>
        <w:spacing w:line="289" w:lineRule="auto"/>
        <w:rPr>
          <w:sz w:val="21"/>
        </w:rPr>
      </w:pPr>
      <w:r/>
    </w:p>
    <w:p>
      <w:pPr>
        <w:ind w:right="224"/>
        <w:spacing w:before="68" w:line="29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深化合资，健康/</w:t>
      </w:r>
      <w:r>
        <w:rPr>
          <w:rFonts w:ascii="SimHei" w:hAnsi="SimHei" w:eastAsia="SimHei" w:cs="SimHei"/>
          <w:sz w:val="21"/>
          <w:szCs w:val="21"/>
          <w:spacing w:val="5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5"/>
        </w:rPr>
        <w:t>财产险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39" w:lineRule="auto"/>
        <w:rPr>
          <w:sz w:val="21"/>
        </w:rPr>
      </w:pPr>
      <w:r/>
    </w:p>
    <w:p>
      <w:pPr>
        <w:ind w:left="3"/>
        <w:spacing w:before="69" w:line="22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优劣势评估</w:t>
      </w:r>
    </w:p>
    <w:p>
      <w:pPr>
        <w:pStyle w:val="BodyText"/>
        <w:spacing w:line="262" w:lineRule="auto"/>
        <w:rPr>
          <w:sz w:val="21"/>
        </w:rPr>
      </w:pPr>
      <w:r/>
    </w:p>
    <w:p>
      <w:pPr>
        <w:ind w:right="218"/>
        <w:spacing w:before="68" w:line="300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3"/>
        </w:rPr>
        <w:t>品牌强，但份额有</w:t>
      </w:r>
      <w:r>
        <w:rPr>
          <w:rFonts w:ascii="SimHei" w:hAnsi="SimHei" w:eastAsia="SimHei" w:cs="SimHei"/>
          <w:sz w:val="21"/>
          <w:szCs w:val="21"/>
          <w:spacing w:val="4"/>
        </w:rPr>
        <w:t xml:space="preserve"> </w:t>
      </w:r>
      <w:r>
        <w:rPr>
          <w:rFonts w:ascii="SimHei" w:hAnsi="SimHei" w:eastAsia="SimHei" w:cs="SimHei"/>
          <w:sz w:val="21"/>
          <w:szCs w:val="21"/>
        </w:rPr>
        <w:t>限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" w:right="703"/>
        <w:spacing w:before="40" w:line="328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b/>
          <w:bCs/>
          <w:spacing w:val="16"/>
        </w:rPr>
        <w:t>潜力评分(10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4"/>
        </w:rPr>
        <w:t>分制)</w:t>
      </w:r>
    </w:p>
    <w:p>
      <w:pPr>
        <w:spacing w:before="207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6</w:t>
      </w:r>
    </w:p>
    <w:p>
      <w:pPr>
        <w:sectPr>
          <w:pgSz w:w="12240" w:h="15840"/>
          <w:pgMar w:top="1052" w:right="1149" w:bottom="0" w:left="878" w:header="0" w:footer="0" w:gutter="0"/>
          <w:cols w:equalWidth="0" w:num="5">
            <w:col w:w="1642" w:space="100"/>
            <w:col w:w="2501" w:space="100"/>
            <w:col w:w="1790" w:space="100"/>
            <w:col w:w="1881" w:space="100"/>
            <w:col w:w="2001" w:space="0"/>
          </w:cols>
        </w:sectPr>
        <w:rPr>
          <w:rFonts w:ascii="SimSun" w:hAnsi="SimSun" w:eastAsia="SimSun" w:cs="SimSun"/>
          <w:sz w:val="21"/>
          <w:szCs w:val="21"/>
        </w:rPr>
      </w:pPr>
    </w:p>
    <w:tbl>
      <w:tblPr>
        <w:tblStyle w:val="TableNormal"/>
        <w:tblW w:w="10109" w:type="dxa"/>
        <w:tblInd w:w="10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14"/>
        <w:gridCol w:w="2875"/>
        <w:gridCol w:w="1874"/>
        <w:gridCol w:w="1969"/>
        <w:gridCol w:w="2177"/>
      </w:tblGrid>
      <w:tr>
        <w:trPr>
          <w:trHeight w:val="873" w:hRule="atLeast"/>
        </w:trPr>
        <w:tc>
          <w:tcPr>
            <w:tcW w:w="1214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before="60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3"/>
              </w:rPr>
              <w:t>Ping</w:t>
            </w:r>
            <w:r>
              <w:rPr>
                <w:rFonts w:ascii="Arial" w:hAnsi="Arial" w:eastAsia="Arial" w:cs="Arial"/>
                <w:sz w:val="21"/>
                <w:szCs w:val="21"/>
                <w:spacing w:val="3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spacing w:val="-3"/>
              </w:rPr>
              <w:t>An</w:t>
            </w:r>
          </w:p>
        </w:tc>
        <w:tc>
          <w:tcPr>
            <w:tcW w:w="2875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84" w:right="159" w:firstLine="341"/>
              <w:spacing w:before="303" w:line="246" w:lineRule="auto"/>
              <w:rPr/>
            </w:pPr>
            <w:r>
              <w:rPr>
                <w:spacing w:val="-2"/>
              </w:rPr>
              <w:t>国内龙头，寿险/财产险/</w:t>
            </w:r>
            <w:r>
              <w:rPr>
                <w:spacing w:val="2"/>
              </w:rPr>
              <w:t xml:space="preserve"> </w:t>
            </w:r>
            <w:r>
              <w:rPr>
                <w:spacing w:val="-6"/>
              </w:rPr>
              <w:t>健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康</w:t>
            </w:r>
            <w:r>
              <w:rPr>
                <w:spacing w:val="11"/>
              </w:rPr>
              <w:t xml:space="preserve"> </w:t>
            </w:r>
            <w:r>
              <w:rPr>
                <w:spacing w:val="-6"/>
              </w:rPr>
              <w:t>领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先</w:t>
            </w:r>
          </w:p>
        </w:tc>
        <w:tc>
          <w:tcPr>
            <w:tcW w:w="1874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68" w:line="222" w:lineRule="auto"/>
              <w:rPr/>
            </w:pPr>
            <w:r>
              <w:rPr>
                <w:spacing w:val="4"/>
              </w:rPr>
              <w:t>全牌照+科技生态</w:t>
            </w:r>
          </w:p>
        </w:tc>
        <w:tc>
          <w:tcPr>
            <w:tcW w:w="1969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pStyle w:val="TableText"/>
              <w:ind w:left="192" w:right="131" w:hanging="26"/>
              <w:spacing w:before="303" w:line="252" w:lineRule="auto"/>
              <w:rPr>
                <w:sz w:val="20"/>
                <w:szCs w:val="20"/>
              </w:rPr>
            </w:pPr>
            <w:r>
              <w:rPr>
                <w:spacing w:val="-2"/>
              </w:rPr>
              <w:t>数字化领先，市场</w:t>
            </w:r>
            <w:r>
              <w:rPr>
                <w:spacing w:val="5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主</w:t>
            </w:r>
            <w:r>
              <w:rPr>
                <w:sz w:val="20"/>
                <w:szCs w:val="20"/>
                <w:spacing w:val="38"/>
              </w:rPr>
              <w:t xml:space="preserve"> </w:t>
            </w:r>
            <w:r>
              <w:rPr>
                <w:sz w:val="20"/>
                <w:szCs w:val="20"/>
                <w:spacing w:val="-6"/>
              </w:rPr>
              <w:t>导</w:t>
            </w:r>
          </w:p>
        </w:tc>
        <w:tc>
          <w:tcPr>
            <w:tcW w:w="2177" w:type="dxa"/>
            <w:vAlign w:val="top"/>
            <w:tcBorders>
              <w:top w:val="single" w:color="000000" w:sz="2" w:space="0"/>
              <w:bottom w:val="single" w:color="000000" w:sz="4" w:space="0"/>
            </w:tcBorders>
          </w:tcPr>
          <w:p>
            <w:pPr>
              <w:ind w:left="177"/>
              <w:spacing w:before="302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10</w:t>
            </w:r>
          </w:p>
        </w:tc>
      </w:tr>
      <w:tr>
        <w:trPr>
          <w:trHeight w:val="1054" w:hRule="atLeast"/>
        </w:trPr>
        <w:tc>
          <w:tcPr>
            <w:tcW w:w="121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spacing w:before="60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2"/>
              </w:rPr>
              <w:t>Berkshire</w:t>
            </w:r>
          </w:p>
        </w:tc>
        <w:tc>
          <w:tcPr>
            <w:tcW w:w="2875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5"/>
              <w:spacing w:before="68" w:line="221" w:lineRule="auto"/>
              <w:rPr/>
            </w:pPr>
            <w:r>
              <w:rPr>
                <w:spacing w:val="2"/>
              </w:rPr>
              <w:t>几乎无直接业务</w:t>
            </w:r>
          </w:p>
        </w:tc>
        <w:tc>
          <w:tcPr>
            <w:tcW w:w="1874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68" w:line="221" w:lineRule="auto"/>
              <w:rPr/>
            </w:pPr>
            <w:r>
              <w:rPr>
                <w:spacing w:val="-2"/>
              </w:rPr>
              <w:t>无明显布局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 w:right="128"/>
              <w:spacing w:before="68" w:line="292" w:lineRule="auto"/>
              <w:rPr/>
            </w:pPr>
            <w:r>
              <w:rPr>
                <w:spacing w:val="-1"/>
              </w:rPr>
              <w:t>投资机会，但无保</w:t>
            </w:r>
            <w:r>
              <w:rPr/>
              <w:t xml:space="preserve"> </w:t>
            </w:r>
            <w:r>
              <w:rPr>
                <w:spacing w:val="4"/>
              </w:rPr>
              <w:t>险运营</w:t>
            </w:r>
          </w:p>
        </w:tc>
        <w:tc>
          <w:tcPr>
            <w:tcW w:w="2177" w:type="dxa"/>
            <w:vAlign w:val="top"/>
            <w:tcBorders>
              <w:bottom w:val="single" w:color="000000" w:sz="2" w:space="0"/>
              <w:top w:val="single" w:color="000000" w:sz="4" w:space="0"/>
            </w:tcBorders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ind w:left="167"/>
              <w:spacing w:before="68" w:line="241" w:lineRule="auto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2</w:t>
            </w:r>
          </w:p>
        </w:tc>
      </w:tr>
      <w:tr>
        <w:trPr>
          <w:trHeight w:val="965" w:hRule="atLeast"/>
        </w:trPr>
        <w:tc>
          <w:tcPr>
            <w:tcW w:w="12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before="61" w:line="19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3"/>
              </w:rPr>
              <w:t>China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3"/>
              </w:rPr>
              <w:t>Life</w:t>
            </w:r>
          </w:p>
        </w:tc>
        <w:tc>
          <w:tcPr>
            <w:tcW w:w="287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5" w:right="136"/>
              <w:spacing w:before="292" w:line="255" w:lineRule="auto"/>
              <w:rPr>
                <w:rFonts w:ascii="SimSun" w:hAnsi="SimSun" w:eastAsia="SimSun" w:cs="SimSun"/>
                <w:sz w:val="27"/>
                <w:szCs w:val="27"/>
              </w:rPr>
            </w:pPr>
            <w:r>
              <w:rPr/>
              <w:t>国内寿险绝对龙头，份额</w:t>
            </w:r>
            <w:r>
              <w:rPr>
                <w:spacing w:val="1"/>
              </w:rPr>
              <w:t xml:space="preserve"> </w:t>
            </w:r>
            <w:r>
              <w:rPr>
                <w:rFonts w:ascii="SimSun" w:hAnsi="SimSun" w:eastAsia="SimSun" w:cs="SimSun"/>
                <w:sz w:val="27"/>
                <w:szCs w:val="27"/>
                <w:spacing w:val="-4"/>
              </w:rPr>
              <w:t>&gt;20%</w:t>
            </w:r>
          </w:p>
        </w:tc>
        <w:tc>
          <w:tcPr>
            <w:tcW w:w="18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0"/>
              <w:spacing w:before="290" w:line="222" w:lineRule="auto"/>
              <w:rPr/>
            </w:pPr>
            <w:r>
              <w:rPr>
                <w:spacing w:val="4"/>
              </w:rPr>
              <w:t>国家支持+渠道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/>
              <w:spacing w:before="68" w:line="222" w:lineRule="auto"/>
              <w:rPr/>
            </w:pPr>
            <w:r>
              <w:rPr>
                <w:spacing w:val="2"/>
              </w:rPr>
              <w:t>规模+政策优势</w:t>
            </w:r>
          </w:p>
        </w:tc>
        <w:tc>
          <w:tcPr>
            <w:tcW w:w="21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ind w:left="167"/>
              <w:spacing w:before="68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  <w:spacing w:val="-6"/>
              </w:rPr>
              <w:t>10</w:t>
            </w:r>
          </w:p>
        </w:tc>
      </w:tr>
      <w:tr>
        <w:trPr>
          <w:trHeight w:val="852" w:hRule="atLeast"/>
        </w:trPr>
        <w:tc>
          <w:tcPr>
            <w:tcW w:w="12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before="60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1"/>
              </w:rPr>
              <w:t>AXA</w:t>
            </w:r>
          </w:p>
        </w:tc>
        <w:tc>
          <w:tcPr>
            <w:tcW w:w="287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5"/>
              <w:spacing w:before="68" w:line="213" w:lineRule="auto"/>
              <w:rPr/>
            </w:pPr>
            <w:r>
              <w:rPr>
                <w:spacing w:val="-1"/>
              </w:rPr>
              <w:t>全资/合资，财产险为主</w:t>
            </w:r>
          </w:p>
        </w:tc>
        <w:tc>
          <w:tcPr>
            <w:tcW w:w="18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69" w:line="222" w:lineRule="auto"/>
              <w:rPr/>
            </w:pPr>
            <w:r>
              <w:rPr>
                <w:spacing w:val="-2"/>
              </w:rPr>
              <w:t>健康险扩张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25" w:right="132" w:firstLine="41"/>
              <w:spacing w:before="291" w:line="254" w:lineRule="auto"/>
              <w:rPr>
                <w:sz w:val="19"/>
                <w:szCs w:val="19"/>
              </w:rPr>
            </w:pPr>
            <w:r>
              <w:rPr>
                <w:spacing w:val="-2"/>
              </w:rPr>
              <w:t>经验丰富，但竞争</w:t>
            </w:r>
            <w:r>
              <w:rPr>
                <w:spacing w:val="4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激</w:t>
            </w:r>
            <w:r>
              <w:rPr>
                <w:sz w:val="19"/>
                <w:szCs w:val="19"/>
                <w:spacing w:val="37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烈</w:t>
            </w:r>
          </w:p>
        </w:tc>
        <w:tc>
          <w:tcPr>
            <w:tcW w:w="21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87"/>
              <w:spacing w:before="290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7</w:t>
            </w:r>
          </w:p>
        </w:tc>
      </w:tr>
      <w:tr>
        <w:trPr>
          <w:trHeight w:val="717" w:hRule="atLeast"/>
        </w:trPr>
        <w:tc>
          <w:tcPr>
            <w:tcW w:w="12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87" w:lineRule="auto"/>
              <w:rPr>
                <w:rFonts w:ascii="Arial"/>
                <w:sz w:val="21"/>
              </w:rPr>
            </w:pPr>
            <w:r/>
          </w:p>
          <w:p>
            <w:pPr>
              <w:spacing w:before="61" w:line="196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2"/>
              </w:rPr>
              <w:t>Prudential</w:t>
            </w:r>
          </w:p>
        </w:tc>
        <w:tc>
          <w:tcPr>
            <w:tcW w:w="287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5"/>
              <w:spacing w:before="68" w:line="213" w:lineRule="auto"/>
              <w:rPr/>
            </w:pPr>
            <w:r>
              <w:rPr>
                <w:spacing w:val="-1"/>
              </w:rPr>
              <w:t>中信保诚合资，寿险强</w:t>
            </w:r>
          </w:p>
        </w:tc>
        <w:tc>
          <w:tcPr>
            <w:tcW w:w="18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69" w:line="223" w:lineRule="auto"/>
              <w:rPr/>
            </w:pPr>
            <w:r>
              <w:rPr>
                <w:spacing w:val="-3"/>
              </w:rPr>
              <w:t>亚洲重点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/>
              <w:spacing w:before="69" w:line="222" w:lineRule="auto"/>
              <w:rPr/>
            </w:pPr>
            <w:r>
              <w:rPr>
                <w:spacing w:val="1"/>
              </w:rPr>
              <w:t>亚洲经验好</w:t>
            </w:r>
          </w:p>
        </w:tc>
        <w:tc>
          <w:tcPr>
            <w:tcW w:w="21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45" w:lineRule="auto"/>
              <w:rPr>
                <w:rFonts w:ascii="Arial"/>
                <w:sz w:val="21"/>
              </w:rPr>
            </w:pPr>
            <w:r/>
          </w:p>
          <w:p>
            <w:pPr>
              <w:ind w:left="187"/>
              <w:spacing w:before="46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8</w:t>
            </w:r>
          </w:p>
        </w:tc>
      </w:tr>
      <w:tr>
        <w:trPr>
          <w:trHeight w:val="605" w:hRule="atLeast"/>
        </w:trPr>
        <w:tc>
          <w:tcPr>
            <w:tcW w:w="12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  <w:r/>
          </w:p>
          <w:p>
            <w:pPr>
              <w:spacing w:before="60" w:line="18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b/>
                <w:bCs/>
                <w:spacing w:val="-1"/>
              </w:rPr>
              <w:t>MetLife</w:t>
            </w:r>
          </w:p>
        </w:tc>
        <w:tc>
          <w:tcPr>
            <w:tcW w:w="287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5"/>
              <w:spacing w:before="301" w:line="213" w:lineRule="auto"/>
              <w:rPr/>
            </w:pPr>
            <w:r>
              <w:rPr>
                <w:spacing w:val="2"/>
              </w:rPr>
              <w:t>合资，份额小</w:t>
            </w:r>
          </w:p>
        </w:tc>
        <w:tc>
          <w:tcPr>
            <w:tcW w:w="18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68" w:line="224" w:lineRule="auto"/>
              <w:rPr/>
            </w:pPr>
            <w:r>
              <w:rPr>
                <w:spacing w:val="-3"/>
              </w:rPr>
              <w:t>有限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6"/>
              <w:spacing w:before="301" w:line="213" w:lineRule="auto"/>
              <w:rPr/>
            </w:pPr>
            <w:r>
              <w:rPr>
                <w:spacing w:val="-3"/>
              </w:rPr>
              <w:t>品牌，但扩张慢</w:t>
            </w:r>
          </w:p>
        </w:tc>
        <w:tc>
          <w:tcPr>
            <w:tcW w:w="21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ind w:left="187"/>
              <w:spacing w:before="46" w:line="18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5</w:t>
            </w:r>
          </w:p>
        </w:tc>
      </w:tr>
      <w:tr>
        <w:trPr>
          <w:trHeight w:val="865" w:hRule="atLeast"/>
        </w:trPr>
        <w:tc>
          <w:tcPr>
            <w:tcW w:w="12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spacing w:before="61" w:line="19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3"/>
              </w:rPr>
              <w:t>Nippon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17"/>
              </w:rPr>
              <w:t xml:space="preserve"> </w:t>
            </w:r>
            <w:r>
              <w:rPr>
                <w:rFonts w:ascii="Arial" w:hAnsi="Arial" w:eastAsia="Arial" w:cs="Arial"/>
                <w:sz w:val="21"/>
                <w:szCs w:val="21"/>
                <w:b/>
                <w:bCs/>
                <w:spacing w:val="-3"/>
              </w:rPr>
              <w:t>Life</w:t>
            </w:r>
          </w:p>
        </w:tc>
        <w:tc>
          <w:tcPr>
            <w:tcW w:w="287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425"/>
              <w:spacing w:before="291" w:line="213" w:lineRule="auto"/>
              <w:rPr/>
            </w:pPr>
            <w:r>
              <w:rPr>
                <w:spacing w:val="-1"/>
              </w:rPr>
              <w:t>少量投资，无重大运营</w:t>
            </w:r>
          </w:p>
        </w:tc>
        <w:tc>
          <w:tcPr>
            <w:tcW w:w="18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68" w:line="224" w:lineRule="auto"/>
              <w:rPr/>
            </w:pPr>
            <w:r>
              <w:rPr>
                <w:spacing w:val="-3"/>
              </w:rPr>
              <w:t>有限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286" w:right="163" w:hanging="120"/>
              <w:spacing w:before="301" w:line="276" w:lineRule="auto"/>
              <w:rPr>
                <w:sz w:val="16"/>
                <w:szCs w:val="16"/>
              </w:rPr>
            </w:pPr>
            <w:r>
              <w:rPr>
                <w:spacing w:val="-6"/>
              </w:rPr>
              <w:t>日本经验不完全适</w:t>
            </w:r>
            <w:r>
              <w:rPr>
                <w:spacing w:val="6"/>
              </w:rPr>
              <w:t xml:space="preserve"> </w:t>
            </w:r>
            <w:r>
              <w:rPr>
                <w:sz w:val="16"/>
                <w:szCs w:val="16"/>
              </w:rPr>
              <w:t>用</w:t>
            </w:r>
          </w:p>
        </w:tc>
        <w:tc>
          <w:tcPr>
            <w:tcW w:w="21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ind w:left="137"/>
              <w:spacing w:before="300"/>
              <w:rPr>
                <w:rFonts w:ascii="SimSun" w:hAnsi="SimSun" w:eastAsia="SimSun" w:cs="SimSun"/>
                <w:sz w:val="21"/>
                <w:szCs w:val="21"/>
              </w:rPr>
            </w:pPr>
            <w:r>
              <w:rPr>
                <w:rFonts w:ascii="SimSun" w:hAnsi="SimSun" w:eastAsia="SimSun" w:cs="SimSun"/>
                <w:sz w:val="21"/>
                <w:szCs w:val="21"/>
              </w:rPr>
              <w:t>3</w:t>
            </w:r>
          </w:p>
        </w:tc>
      </w:tr>
      <w:tr>
        <w:trPr>
          <w:trHeight w:val="719" w:hRule="atLeast"/>
        </w:trPr>
        <w:tc>
          <w:tcPr>
            <w:tcW w:w="121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74" w:lineRule="auto"/>
              <w:rPr>
                <w:rFonts w:ascii="Arial"/>
                <w:sz w:val="21"/>
              </w:rPr>
            </w:pPr>
            <w:r/>
          </w:p>
          <w:p>
            <w:pPr>
              <w:spacing w:before="60" w:line="198" w:lineRule="auto"/>
              <w:rPr>
                <w:rFonts w:ascii="Arial" w:hAnsi="Arial" w:eastAsia="Arial" w:cs="Arial"/>
                <w:sz w:val="21"/>
                <w:szCs w:val="21"/>
              </w:rPr>
            </w:pPr>
            <w:r>
              <w:rPr>
                <w:rFonts w:ascii="Arial" w:hAnsi="Arial" w:eastAsia="Arial" w:cs="Arial"/>
                <w:sz w:val="21"/>
                <w:szCs w:val="21"/>
                <w:spacing w:val="-2"/>
              </w:rPr>
              <w:t>Manulife</w:t>
            </w:r>
          </w:p>
        </w:tc>
        <w:tc>
          <w:tcPr>
            <w:tcW w:w="287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5"/>
              <w:spacing w:before="68" w:line="213" w:lineRule="auto"/>
              <w:rPr/>
            </w:pPr>
            <w:r>
              <w:rPr>
                <w:spacing w:val="2"/>
              </w:rPr>
              <w:t>合资，份额小</w:t>
            </w:r>
          </w:p>
        </w:tc>
        <w:tc>
          <w:tcPr>
            <w:tcW w:w="1874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0"/>
              <w:spacing w:before="68" w:line="221" w:lineRule="auto"/>
              <w:rPr/>
            </w:pPr>
            <w:r>
              <w:rPr>
                <w:spacing w:val="-2"/>
              </w:rPr>
              <w:t>养老/健康</w:t>
            </w:r>
          </w:p>
        </w:tc>
        <w:tc>
          <w:tcPr>
            <w:tcW w:w="1969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6"/>
              <w:spacing w:before="69" w:line="222" w:lineRule="auto"/>
              <w:rPr/>
            </w:pPr>
            <w:r>
              <w:rPr>
                <w:spacing w:val="-2"/>
              </w:rPr>
              <w:t>加拿大经验</w:t>
            </w:r>
          </w:p>
        </w:tc>
        <w:tc>
          <w:tcPr>
            <w:tcW w:w="2177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33" w:lineRule="auto"/>
              <w:rPr>
                <w:rFonts w:ascii="Arial"/>
                <w:sz w:val="21"/>
              </w:rPr>
            </w:pPr>
            <w:r/>
          </w:p>
          <w:p>
            <w:pPr>
              <w:ind w:left="187"/>
              <w:spacing w:before="46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</w:rPr>
              <w:t>6</w:t>
            </w:r>
          </w:p>
        </w:tc>
      </w:tr>
    </w:tbl>
    <w:p>
      <w:pPr>
        <w:pStyle w:val="BodyText"/>
        <w:ind w:left="101"/>
        <w:spacing w:before="247" w:line="28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21"/>
          <w:szCs w:val="21"/>
          <w:position w:val="2"/>
        </w:rPr>
        <w:t>Legal</w:t>
      </w:r>
      <w:r>
        <w:rPr>
          <w:sz w:val="21"/>
          <w:szCs w:val="21"/>
          <w:spacing w:val="57"/>
          <w:position w:val="2"/>
        </w:rPr>
        <w:t xml:space="preserve"> </w:t>
      </w:r>
      <w:r>
        <w:rPr>
          <w:sz w:val="21"/>
          <w:szCs w:val="21"/>
          <w:position w:val="2"/>
        </w:rPr>
        <w:t>&amp;               </w:t>
      </w:r>
      <w:r>
        <w:rPr>
          <w:rFonts w:ascii="SimHei" w:hAnsi="SimHei" w:eastAsia="SimHei" w:cs="SimHei"/>
          <w:sz w:val="21"/>
          <w:szCs w:val="21"/>
          <w:position w:val="2"/>
        </w:rPr>
        <w:t>主要投资，无直接</w:t>
      </w:r>
      <w:r>
        <w:rPr>
          <w:rFonts w:ascii="SimHei" w:hAnsi="SimHei" w:eastAsia="SimHei" w:cs="SimHei"/>
          <w:sz w:val="21"/>
          <w:szCs w:val="21"/>
          <w:spacing w:val="-1"/>
          <w:position w:val="2"/>
        </w:rPr>
        <w:t>保险</w:t>
      </w:r>
      <w:r>
        <w:rPr>
          <w:rFonts w:ascii="SimHei" w:hAnsi="SimHei" w:eastAsia="SimHei" w:cs="SimHei"/>
          <w:sz w:val="21"/>
          <w:szCs w:val="21"/>
          <w:spacing w:val="-1"/>
          <w:position w:val="2"/>
        </w:rPr>
        <w:t xml:space="preserve">     </w:t>
      </w:r>
      <w:r>
        <w:rPr>
          <w:rFonts w:ascii="SimHei" w:hAnsi="SimHei" w:eastAsia="SimHei" w:cs="SimHei"/>
          <w:sz w:val="21"/>
          <w:szCs w:val="21"/>
          <w:spacing w:val="-1"/>
          <w:position w:val="2"/>
        </w:rPr>
        <w:t>资产管理</w:t>
      </w:r>
      <w:r>
        <w:rPr>
          <w:rFonts w:ascii="SimHei" w:hAnsi="SimHei" w:eastAsia="SimHei" w:cs="SimHei"/>
          <w:sz w:val="21"/>
          <w:szCs w:val="21"/>
          <w:spacing w:val="-1"/>
          <w:position w:val="2"/>
        </w:rPr>
        <w:t xml:space="preserve">          </w:t>
      </w:r>
      <w:r>
        <w:rPr>
          <w:rFonts w:ascii="SimHei" w:hAnsi="SimHei" w:eastAsia="SimHei" w:cs="SimHei"/>
          <w:sz w:val="21"/>
          <w:szCs w:val="21"/>
          <w:spacing w:val="-1"/>
          <w:position w:val="2"/>
        </w:rPr>
        <w:t>养老金专长</w:t>
      </w:r>
      <w:r>
        <w:rPr>
          <w:rFonts w:ascii="SimHei" w:hAnsi="SimHei" w:eastAsia="SimHei" w:cs="SimHei"/>
          <w:sz w:val="21"/>
          <w:szCs w:val="21"/>
          <w:spacing w:val="-1"/>
          <w:position w:val="2"/>
        </w:rPr>
        <w:t xml:space="preserve">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2"/>
        </w:rPr>
        <w:t>4</w:t>
      </w:r>
    </w:p>
    <w:p>
      <w:pPr>
        <w:pStyle w:val="BodyText"/>
        <w:ind w:left="101"/>
        <w:spacing w:before="148" w:line="198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General</w:t>
      </w:r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ind w:left="101" w:right="313"/>
        <w:spacing w:before="68" w:line="384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25"/>
        </w:rPr>
        <w:t>横向对比：中国本土公司</w:t>
      </w:r>
      <w:r>
        <w:rPr>
          <w:rFonts w:ascii="SimHei" w:hAnsi="SimHei" w:eastAsia="SimHei" w:cs="SimHei"/>
          <w:sz w:val="21"/>
          <w:szCs w:val="21"/>
          <w:spacing w:val="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(</w:t>
      </w:r>
      <w:r>
        <w:rPr>
          <w:rFonts w:ascii="SimSun" w:hAnsi="SimSun" w:eastAsia="SimSun" w:cs="SimSun"/>
          <w:sz w:val="21"/>
          <w:szCs w:val="21"/>
        </w:rPr>
        <w:t>Ping</w:t>
      </w:r>
      <w:r>
        <w:rPr>
          <w:rFonts w:ascii="SimSun" w:hAnsi="SimSun" w:eastAsia="SimSun" w:cs="SimSun"/>
          <w:sz w:val="21"/>
          <w:szCs w:val="21"/>
          <w:spacing w:val="25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An</w:t>
      </w:r>
      <w:r>
        <w:rPr>
          <w:rFonts w:ascii="SimSun" w:hAnsi="SimSun" w:eastAsia="SimSun" w:cs="SimSun"/>
          <w:sz w:val="21"/>
          <w:szCs w:val="21"/>
          <w:spacing w:val="25"/>
        </w:rPr>
        <w:t>、</w:t>
      </w:r>
      <w:r>
        <w:rPr>
          <w:rFonts w:ascii="SimSun" w:hAnsi="SimSun" w:eastAsia="SimSun" w:cs="SimSun"/>
          <w:sz w:val="21"/>
          <w:szCs w:val="21"/>
        </w:rPr>
        <w:t>China</w:t>
      </w:r>
      <w:r>
        <w:rPr>
          <w:rFonts w:ascii="SimSun" w:hAnsi="SimSun" w:eastAsia="SimSun" w:cs="SimSun"/>
          <w:sz w:val="21"/>
          <w:szCs w:val="21"/>
          <w:spacing w:val="43"/>
        </w:rPr>
        <w:t xml:space="preserve">  </w:t>
      </w:r>
      <w:r>
        <w:rPr>
          <w:rFonts w:ascii="SimSun" w:hAnsi="SimSun" w:eastAsia="SimSun" w:cs="SimSun"/>
          <w:sz w:val="21"/>
          <w:szCs w:val="21"/>
        </w:rPr>
        <w:t>Life</w:t>
      </w:r>
      <w:r>
        <w:rPr>
          <w:rFonts w:ascii="SimSun" w:hAnsi="SimSun" w:eastAsia="SimSun" w:cs="SimSun"/>
          <w:sz w:val="21"/>
          <w:szCs w:val="21"/>
          <w:spacing w:val="25"/>
        </w:rPr>
        <w:t>)</w:t>
      </w:r>
      <w:r>
        <w:rPr>
          <w:rFonts w:ascii="SimSun" w:hAnsi="SimSun" w:eastAsia="SimSun" w:cs="SimSun"/>
          <w:sz w:val="21"/>
          <w:szCs w:val="21"/>
          <w:spacing w:val="-1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5"/>
        </w:rPr>
        <w:t>潜力最大，占据主导地位并受益数字化/政</w:t>
      </w:r>
      <w:r>
        <w:rPr>
          <w:rFonts w:ascii="SimHei" w:hAnsi="SimHei" w:eastAsia="SimHei" w:cs="SimHei"/>
          <w:sz w:val="21"/>
          <w:szCs w:val="21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4"/>
        </w:rPr>
        <w:t>策；外资通过合资获渠道，但本土化与竞争劣势明显，</w:t>
      </w:r>
      <w:r>
        <w:rPr>
          <w:rFonts w:ascii="SimHei" w:hAnsi="SimHei" w:eastAsia="SimHei" w:cs="SimHei"/>
          <w:sz w:val="21"/>
          <w:szCs w:val="21"/>
          <w:spacing w:val="24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Prudential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4"/>
        </w:rPr>
        <w:t>与</w:t>
      </w:r>
      <w:r>
        <w:rPr>
          <w:rFonts w:ascii="SimSun" w:hAnsi="SimSun" w:eastAsia="SimSun" w:cs="SimSun"/>
          <w:sz w:val="21"/>
          <w:szCs w:val="21"/>
        </w:rPr>
        <w:t>AXA</w:t>
      </w:r>
      <w:r>
        <w:rPr>
          <w:rFonts w:ascii="SimSun" w:hAnsi="SimSun" w:eastAsia="SimSun" w:cs="SimSun"/>
          <w:sz w:val="21"/>
          <w:szCs w:val="21"/>
          <w:spacing w:val="107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4"/>
        </w:rPr>
        <w:t>亚洲布局较好。</w:t>
      </w:r>
    </w:p>
    <w:p>
      <w:pPr>
        <w:pStyle w:val="BodyText"/>
        <w:spacing w:line="386" w:lineRule="auto"/>
        <w:rPr>
          <w:sz w:val="21"/>
        </w:rPr>
      </w:pPr>
      <w:r/>
    </w:p>
    <w:p>
      <w:pPr>
        <w:ind w:left="107"/>
        <w:spacing w:before="117" w:line="222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-3"/>
        </w:rPr>
        <w:t>最终评估与预测</w:t>
      </w:r>
    </w:p>
    <w:p>
      <w:pPr>
        <w:pStyle w:val="BodyText"/>
        <w:ind w:left="101" w:right="310"/>
        <w:spacing w:before="229" w:line="393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24"/>
        </w:rPr>
        <w:t>综合以上维度，未来5-</w:t>
      </w:r>
      <w:r>
        <w:rPr>
          <w:rFonts w:ascii="SimHei" w:hAnsi="SimHei" w:eastAsia="SimHei" w:cs="SimHei"/>
          <w:sz w:val="21"/>
          <w:szCs w:val="21"/>
          <w:spacing w:val="-44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24"/>
        </w:rPr>
        <w:t>10年全球资产排名领先者最有可能为</w:t>
      </w:r>
      <w:r>
        <w:rPr>
          <w:rFonts w:ascii="SimSun" w:hAnsi="SimSun" w:eastAsia="SimSun" w:cs="SimSun"/>
          <w:sz w:val="21"/>
          <w:szCs w:val="21"/>
          <w:b/>
          <w:bCs/>
        </w:rPr>
        <w:t>Ping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</w:rPr>
        <w:t>An</w:t>
      </w:r>
      <w:r>
        <w:rPr>
          <w:rFonts w:ascii="SimSun" w:hAnsi="SimSun" w:eastAsia="SimSun" w:cs="SimSun"/>
          <w:sz w:val="21"/>
          <w:szCs w:val="21"/>
          <w:spacing w:val="35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</w:rPr>
        <w:t>Insurance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、</w:t>
      </w:r>
      <w:r>
        <w:rPr>
          <w:rFonts w:ascii="SimSun" w:hAnsi="SimSun" w:eastAsia="SimSun" w:cs="SimSun"/>
          <w:sz w:val="21"/>
          <w:szCs w:val="21"/>
          <w:b/>
          <w:bCs/>
        </w:rPr>
        <w:t>China</w:t>
      </w:r>
      <w:r>
        <w:rPr>
          <w:rFonts w:ascii="SimSun" w:hAnsi="SimSun" w:eastAsia="SimSun" w:cs="SimSun"/>
          <w:sz w:val="21"/>
          <w:szCs w:val="21"/>
          <w:spacing w:val="24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</w:rPr>
        <w:t>Life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21"/>
          <w:szCs w:val="21"/>
          <w:b/>
          <w:bCs/>
          <w:spacing w:val="-3"/>
        </w:rPr>
        <w:t>Insurance  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以</w:t>
      </w:r>
      <w:r>
        <w:rPr>
          <w:rFonts w:ascii="SimHei" w:hAnsi="SimHei" w:eastAsia="SimHei" w:cs="SimHei"/>
          <w:sz w:val="21"/>
          <w:szCs w:val="21"/>
          <w:spacing w:val="-34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3"/>
        </w:rPr>
        <w:t>及</w:t>
      </w:r>
      <w:r>
        <w:rPr>
          <w:sz w:val="21"/>
          <w:szCs w:val="21"/>
          <w:b/>
          <w:bCs/>
          <w:spacing w:val="-3"/>
        </w:rPr>
        <w:t>Berkshire</w:t>
      </w:r>
      <w:r>
        <w:rPr>
          <w:sz w:val="21"/>
          <w:szCs w:val="21"/>
          <w:b/>
          <w:bCs/>
          <w:spacing w:val="4"/>
        </w:rPr>
        <w:t xml:space="preserve">      </w:t>
      </w:r>
      <w:r>
        <w:rPr>
          <w:sz w:val="21"/>
          <w:szCs w:val="21"/>
          <w:b/>
          <w:bCs/>
          <w:spacing w:val="-3"/>
        </w:rPr>
        <w:t>Hatha</w:t>
      </w:r>
      <w:r>
        <w:rPr>
          <w:sz w:val="21"/>
          <w:szCs w:val="21"/>
          <w:b/>
          <w:bCs/>
          <w:spacing w:val="-4"/>
        </w:rPr>
        <w:t>way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三</w:t>
      </w:r>
      <w:r>
        <w:rPr>
          <w:rFonts w:ascii="SimHei" w:hAnsi="SimHei" w:eastAsia="SimHei" w:cs="SimHei"/>
          <w:sz w:val="21"/>
          <w:szCs w:val="21"/>
          <w:spacing w:val="-39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家</w:t>
      </w:r>
      <w:r>
        <w:rPr>
          <w:rFonts w:ascii="SimHei" w:hAnsi="SimHei" w:eastAsia="SimHei" w:cs="SimHei"/>
          <w:sz w:val="21"/>
          <w:szCs w:val="21"/>
          <w:spacing w:val="-43"/>
        </w:rPr>
        <w:t xml:space="preserve"> </w:t>
      </w:r>
      <w:r>
        <w:rPr>
          <w:rFonts w:ascii="SimHei" w:hAnsi="SimHei" w:eastAsia="SimHei" w:cs="SimHei"/>
          <w:sz w:val="21"/>
          <w:szCs w:val="21"/>
          <w:b/>
          <w:bCs/>
          <w:spacing w:val="-4"/>
        </w:rPr>
        <w:t>公</w:t>
      </w:r>
      <w:r>
        <w:rPr>
          <w:rFonts w:ascii="SimHei" w:hAnsi="SimHei" w:eastAsia="SimHei" w:cs="SimHei"/>
          <w:sz w:val="21"/>
          <w:szCs w:val="21"/>
          <w:spacing w:val="-4"/>
        </w:rPr>
        <w:t>司</w:t>
      </w:r>
      <w:r>
        <w:rPr>
          <w:rFonts w:ascii="SimHei" w:hAnsi="SimHei" w:eastAsia="SimHei" w:cs="SimHei"/>
          <w:sz w:val="21"/>
          <w:szCs w:val="21"/>
          <w:spacing w:val="-49"/>
        </w:rPr>
        <w:t xml:space="preserve"> </w:t>
      </w:r>
      <w:r>
        <w:rPr>
          <w:rFonts w:ascii="SimHei" w:hAnsi="SimHei" w:eastAsia="SimHei" w:cs="SimHei"/>
          <w:sz w:val="21"/>
          <w:szCs w:val="21"/>
          <w:spacing w:val="-4"/>
        </w:rPr>
        <w:t>。</w:t>
      </w:r>
    </w:p>
    <w:p>
      <w:pPr>
        <w:ind w:left="101"/>
        <w:spacing w:before="85" w:line="187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23"/>
        </w:rPr>
        <w:t>论证逻辑链条：</w:t>
      </w:r>
    </w:p>
    <w:p>
      <w:pPr>
        <w:spacing w:line="187" w:lineRule="auto"/>
        <w:sectPr>
          <w:type w:val="continuous"/>
          <w:pgSz w:w="12240" w:h="15840"/>
          <w:pgMar w:top="1052" w:right="1149" w:bottom="0" w:left="878" w:header="0" w:footer="0" w:gutter="0"/>
          <w:cols w:equalWidth="0" w:num="1">
            <w:col w:w="10212" w:space="0"/>
          </w:cols>
        </w:sectPr>
        <w:rPr>
          <w:rFonts w:ascii="SimHei" w:hAnsi="SimHei" w:eastAsia="SimHei" w:cs="SimHei"/>
          <w:sz w:val="21"/>
          <w:szCs w:val="21"/>
        </w:rPr>
      </w:pPr>
    </w:p>
    <w:p>
      <w:pPr>
        <w:pStyle w:val="BodyText"/>
        <w:ind w:left="508" w:right="164" w:hanging="149"/>
        <w:spacing w:before="44" w:line="336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8"/>
        </w:rPr>
        <w:t>·</w:t>
      </w:r>
      <w:r>
        <w:rPr>
          <w:rFonts w:ascii="SimHei" w:hAnsi="SimHei" w:eastAsia="SimHei" w:cs="SimHei"/>
          <w:sz w:val="23"/>
          <w:szCs w:val="23"/>
          <w:spacing w:val="-97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8"/>
        </w:rPr>
        <w:t>增长驱动可持续性：中国保险市场渗透率低、老龄化与中产扩张驱动需求，预计年增长8-</w:t>
      </w:r>
      <w:r>
        <w:rPr>
          <w:rFonts w:ascii="SimHei" w:hAnsi="SimHei" w:eastAsia="SimHei" w:cs="SimHei"/>
          <w:sz w:val="23"/>
          <w:szCs w:val="23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16"/>
        </w:rPr>
        <w:t>10%(远高于全球3-4%)。</w:t>
      </w:r>
      <w:r>
        <w:rPr>
          <w:rFonts w:ascii="SimHei" w:hAnsi="SimHei" w:eastAsia="SimHei" w:cs="SimHei"/>
          <w:sz w:val="23"/>
          <w:szCs w:val="23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Ping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</w:rPr>
        <w:t>An</w:t>
      </w:r>
      <w:r>
        <w:rPr>
          <w:rFonts w:ascii="SimHei" w:hAnsi="SimHei" w:eastAsia="SimHei" w:cs="SimHei"/>
          <w:sz w:val="23"/>
          <w:szCs w:val="23"/>
          <w:spacing w:val="16"/>
        </w:rPr>
        <w:t>与</w:t>
      </w:r>
      <w:r>
        <w:rPr>
          <w:rFonts w:ascii="Times New Roman" w:hAnsi="Times New Roman" w:eastAsia="Times New Roman" w:cs="Times New Roman"/>
          <w:sz w:val="23"/>
          <w:szCs w:val="23"/>
        </w:rPr>
        <w:t>China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</w:rPr>
        <w:t>Life</w:t>
      </w:r>
      <w:r>
        <w:rPr>
          <w:rFonts w:ascii="SimHei" w:hAnsi="SimHei" w:eastAsia="SimHei" w:cs="SimHei"/>
          <w:sz w:val="23"/>
          <w:szCs w:val="23"/>
          <w:spacing w:val="16"/>
        </w:rPr>
        <w:t>作为本土龙头，直接受益，过去5年</w:t>
      </w:r>
      <w:r>
        <w:rPr>
          <w:rFonts w:ascii="Times New Roman" w:hAnsi="Times New Roman" w:eastAsia="Times New Roman" w:cs="Times New Roman"/>
          <w:sz w:val="23"/>
          <w:szCs w:val="23"/>
        </w:rPr>
        <w:t>CAGR </w:t>
      </w:r>
      <w:r>
        <w:rPr>
          <w:rFonts w:ascii="SimHei" w:hAnsi="SimHei" w:eastAsia="SimHei" w:cs="SimHei"/>
          <w:sz w:val="23"/>
          <w:szCs w:val="23"/>
          <w:spacing w:val="12"/>
        </w:rPr>
        <w:t>已领先，且数字化</w:t>
      </w:r>
      <w:r>
        <w:rPr>
          <w:rFonts w:ascii="SimHei" w:hAnsi="SimHei" w:eastAsia="SimHei" w:cs="SimHei"/>
          <w:sz w:val="23"/>
          <w:szCs w:val="23"/>
          <w:spacing w:val="12"/>
        </w:rPr>
        <w:t xml:space="preserve"> </w:t>
      </w:r>
      <w:r>
        <w:rPr>
          <w:sz w:val="23"/>
          <w:szCs w:val="23"/>
          <w:spacing w:val="12"/>
        </w:rPr>
        <w:t>(</w:t>
      </w:r>
      <w:r>
        <w:rPr>
          <w:sz w:val="23"/>
          <w:szCs w:val="23"/>
        </w:rPr>
        <w:t>Ping</w:t>
      </w:r>
      <w:r>
        <w:rPr>
          <w:sz w:val="23"/>
          <w:szCs w:val="23"/>
          <w:spacing w:val="2"/>
        </w:rPr>
        <w:t xml:space="preserve">   </w:t>
      </w:r>
      <w:r>
        <w:rPr>
          <w:sz w:val="23"/>
          <w:szCs w:val="23"/>
        </w:rPr>
        <w:t>An</w:t>
      </w:r>
      <w:r>
        <w:rPr>
          <w:rFonts w:ascii="SimHei" w:hAnsi="SimHei" w:eastAsia="SimHei" w:cs="SimHei"/>
          <w:sz w:val="23"/>
          <w:szCs w:val="23"/>
          <w:spacing w:val="12"/>
        </w:rPr>
        <w:t>生态)与规模效应形成壁垒。</w:t>
      </w:r>
    </w:p>
    <w:p>
      <w:pPr>
        <w:ind w:left="508" w:right="128" w:hanging="149"/>
        <w:spacing w:before="122" w:line="338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3"/>
        </w:rPr>
        <w:t>·</w:t>
      </w:r>
      <w:r>
        <w:rPr>
          <w:rFonts w:ascii="SimHei" w:hAnsi="SimHei" w:eastAsia="SimHei" w:cs="SimHei"/>
          <w:sz w:val="23"/>
          <w:szCs w:val="23"/>
          <w:spacing w:val="-86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3"/>
        </w:rPr>
        <w:t>资本与信誉支撑：高资本充足率</w:t>
      </w:r>
      <w:r>
        <w:rPr>
          <w:rFonts w:ascii="SimHei" w:hAnsi="SimHei" w:eastAsia="SimHei" w:cs="SimHei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Ping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23"/>
          <w:szCs w:val="23"/>
        </w:rPr>
        <w:t>An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225%</w:t>
      </w:r>
      <w:r>
        <w:rPr>
          <w:rFonts w:ascii="Times New Roman" w:hAnsi="Times New Roman" w:eastAsia="Times New Roman" w:cs="Times New Roman"/>
          <w:sz w:val="23"/>
          <w:szCs w:val="23"/>
          <w:spacing w:val="-3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"/>
        </w:rPr>
        <w:t>、</w:t>
      </w:r>
      <w:r>
        <w:rPr>
          <w:rFonts w:ascii="Times New Roman" w:hAnsi="Times New Roman" w:eastAsia="Times New Roman" w:cs="Times New Roman"/>
          <w:sz w:val="23"/>
          <w:szCs w:val="23"/>
        </w:rPr>
        <w:t>China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 xml:space="preserve">     </w:t>
      </w:r>
      <w:r>
        <w:rPr>
          <w:rFonts w:ascii="Times New Roman" w:hAnsi="Times New Roman" w:eastAsia="Times New Roman" w:cs="Times New Roman"/>
          <w:sz w:val="23"/>
          <w:szCs w:val="23"/>
        </w:rPr>
        <w:t>Life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&gt;200%)  </w:t>
      </w:r>
      <w:r>
        <w:rPr>
          <w:rFonts w:ascii="SimHei" w:hAnsi="SimHei" w:eastAsia="SimHei" w:cs="SimHei"/>
          <w:sz w:val="23"/>
          <w:szCs w:val="23"/>
          <w:spacing w:val="2"/>
        </w:rPr>
        <w:t>与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>A</w:t>
      </w:r>
      <w:r>
        <w:rPr>
          <w:rFonts w:ascii="SimHei" w:hAnsi="SimHei" w:eastAsia="SimHei" w:cs="SimHei"/>
          <w:sz w:val="23"/>
          <w:szCs w:val="23"/>
          <w:spacing w:val="2"/>
        </w:rPr>
        <w:t>级信誉确保低</w:t>
      </w:r>
      <w:r>
        <w:rPr>
          <w:rFonts w:ascii="SimHei" w:hAnsi="SimHei" w:eastAsia="SimHei" w:cs="SimHei"/>
          <w:sz w:val="23"/>
          <w:szCs w:val="23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8"/>
        </w:rPr>
        <w:t>成本扩张；</w:t>
      </w:r>
      <w:r>
        <w:rPr>
          <w:rFonts w:ascii="SimSun" w:hAnsi="SimSun" w:eastAsia="SimSun" w:cs="SimSun"/>
          <w:sz w:val="23"/>
          <w:szCs w:val="23"/>
        </w:rPr>
        <w:t>Berkshire</w:t>
      </w:r>
      <w:r>
        <w:rPr>
          <w:rFonts w:ascii="SimHei" w:hAnsi="SimHei" w:eastAsia="SimHei" w:cs="SimHei"/>
          <w:sz w:val="23"/>
          <w:szCs w:val="23"/>
          <w:spacing w:val="18"/>
        </w:rPr>
        <w:t>独特浮存金+投资天才(巴菲特继任者延续)提供无债增长，信誉</w:t>
      </w:r>
    </w:p>
    <w:p>
      <w:pPr>
        <w:ind w:left="509"/>
        <w:spacing w:before="24" w:line="22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A++</w:t>
      </w:r>
      <w:r>
        <w:rPr>
          <w:rFonts w:ascii="SimSun" w:hAnsi="SimSun" w:eastAsia="SimSun" w:cs="SimSun"/>
          <w:sz w:val="23"/>
          <w:szCs w:val="23"/>
          <w:spacing w:val="24"/>
        </w:rPr>
        <w:t xml:space="preserve"> </w:t>
      </w:r>
      <w:r>
        <w:rPr>
          <w:rFonts w:ascii="SimHei" w:hAnsi="SimHei" w:eastAsia="SimHei" w:cs="SimHei"/>
          <w:sz w:val="23"/>
          <w:szCs w:val="23"/>
        </w:rPr>
        <w:t>最高。</w:t>
      </w:r>
    </w:p>
    <w:p>
      <w:pPr>
        <w:ind w:left="508" w:hanging="149"/>
        <w:spacing w:before="239" w:line="279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3"/>
        </w:rPr>
        <w:t>·</w:t>
      </w:r>
      <w:r>
        <w:rPr>
          <w:rFonts w:ascii="SimHei" w:hAnsi="SimHei" w:eastAsia="SimHei" w:cs="SimHei"/>
          <w:sz w:val="23"/>
          <w:szCs w:val="23"/>
          <w:spacing w:val="-74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3"/>
        </w:rPr>
        <w:t>分红与再投资平衡：中国公司低支付率优先再投资，加速资产积累；</w:t>
      </w:r>
      <w:r>
        <w:rPr>
          <w:rFonts w:ascii="SimHei" w:hAnsi="SimHei" w:eastAsia="SimHei" w:cs="SimHei"/>
          <w:sz w:val="23"/>
          <w:szCs w:val="23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Berkshire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3"/>
        </w:rPr>
        <w:t>零分红全再投</w:t>
      </w:r>
      <w:r>
        <w:rPr>
          <w:rFonts w:ascii="SimHei" w:hAnsi="SimHei" w:eastAsia="SimHei" w:cs="SimHei"/>
          <w:sz w:val="23"/>
          <w:szCs w:val="23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7"/>
        </w:rPr>
        <w:t>资，历史复合回报卓越。</w:t>
      </w:r>
    </w:p>
    <w:p>
      <w:pPr>
        <w:ind w:left="508" w:right="95" w:hanging="149"/>
        <w:spacing w:before="274" w:line="28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7"/>
        </w:rPr>
        <w:t>·</w:t>
      </w:r>
      <w:r>
        <w:rPr>
          <w:rFonts w:ascii="SimHei" w:hAnsi="SimHei" w:eastAsia="SimHei" w:cs="SimHei"/>
          <w:sz w:val="23"/>
          <w:szCs w:val="23"/>
          <w:spacing w:val="-72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7"/>
        </w:rPr>
        <w:t>中国潜力关键：全球资产增长越来越依赖新兴市场，中国贡献最大。本土公司占据优势，外</w:t>
      </w:r>
      <w:r>
        <w:rPr>
          <w:rFonts w:ascii="SimHei" w:hAnsi="SimHei" w:eastAsia="SimHei" w:cs="SimHei"/>
          <w:sz w:val="23"/>
          <w:szCs w:val="23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7"/>
        </w:rPr>
        <w:t>资难以突破；</w:t>
      </w:r>
      <w:r>
        <w:rPr>
          <w:rFonts w:ascii="SimHei" w:hAnsi="SimHei" w:eastAsia="SimHei" w:cs="SimHei"/>
          <w:sz w:val="23"/>
          <w:szCs w:val="23"/>
          <w:spacing w:val="-43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Berkshire</w:t>
      </w:r>
      <w:r>
        <w:rPr>
          <w:rFonts w:ascii="SimHei" w:hAnsi="SimHei" w:eastAsia="SimHei" w:cs="SimHei"/>
          <w:sz w:val="23"/>
          <w:szCs w:val="23"/>
          <w:spacing w:val="7"/>
        </w:rPr>
        <w:t>虽无中国保险业务，但投资能力可捕捉市场机会。</w:t>
      </w:r>
    </w:p>
    <w:p>
      <w:pPr>
        <w:ind w:left="508" w:right="160" w:hanging="149"/>
        <w:spacing w:before="245" w:line="287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12"/>
        </w:rPr>
        <w:t>·</w:t>
      </w:r>
      <w:r>
        <w:rPr>
          <w:rFonts w:ascii="SimHei" w:hAnsi="SimHei" w:eastAsia="SimHei" w:cs="SimHei"/>
          <w:sz w:val="23"/>
          <w:szCs w:val="23"/>
          <w:spacing w:val="-7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12"/>
        </w:rPr>
        <w:t>与其他公司对比：欧洲公司(如</w:t>
      </w:r>
      <w:r>
        <w:rPr>
          <w:rFonts w:ascii="SimSun" w:hAnsi="SimSun" w:eastAsia="SimSun" w:cs="SimSun"/>
          <w:sz w:val="23"/>
          <w:szCs w:val="23"/>
        </w:rPr>
        <w:t>Allianz</w:t>
      </w:r>
      <w:r>
        <w:rPr>
          <w:rFonts w:ascii="SimSun" w:hAnsi="SimSun" w:eastAsia="SimSun" w:cs="SimSun"/>
          <w:sz w:val="23"/>
          <w:szCs w:val="23"/>
          <w:spacing w:val="12"/>
        </w:rPr>
        <w:t>、</w:t>
      </w:r>
      <w:r>
        <w:rPr>
          <w:rFonts w:ascii="SimSun" w:hAnsi="SimSun" w:eastAsia="SimSun" w:cs="SimSun"/>
          <w:sz w:val="23"/>
          <w:szCs w:val="23"/>
        </w:rPr>
        <w:t>AXA</w:t>
      </w:r>
      <w:r>
        <w:rPr>
          <w:rFonts w:ascii="SimSun" w:hAnsi="SimSun" w:eastAsia="SimSun" w:cs="SimSun"/>
          <w:sz w:val="23"/>
          <w:szCs w:val="23"/>
          <w:spacing w:val="12"/>
        </w:rPr>
        <w:t>)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Hei" w:hAnsi="SimHei" w:eastAsia="SimHei" w:cs="SimHei"/>
          <w:sz w:val="23"/>
          <w:szCs w:val="23"/>
          <w:spacing w:val="12"/>
        </w:rPr>
        <w:t>成熟市场增长慢，2025资产下降明显；日</w:t>
      </w:r>
      <w:r>
        <w:rPr>
          <w:rFonts w:ascii="SimHei" w:hAnsi="SimHei" w:eastAsia="SimHei" w:cs="SimHei"/>
          <w:sz w:val="23"/>
          <w:szCs w:val="23"/>
          <w:spacing w:val="1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5"/>
        </w:rPr>
        <w:t>本/加拿大公司保守，缺乏爆发力。</w:t>
      </w:r>
    </w:p>
    <w:p>
      <w:pPr>
        <w:pStyle w:val="BodyText"/>
        <w:spacing w:line="248" w:lineRule="auto"/>
        <w:rPr>
          <w:sz w:val="21"/>
        </w:rPr>
      </w:pPr>
      <w:r/>
    </w:p>
    <w:p>
      <w:pPr>
        <w:spacing w:before="76" w:line="222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2"/>
        </w:rPr>
        <w:t>潜在风险：</w:t>
      </w:r>
    </w:p>
    <w:p>
      <w:pPr>
        <w:ind w:left="359"/>
        <w:spacing w:before="272" w:line="22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2"/>
        </w:rPr>
        <w:t>·</w:t>
      </w:r>
      <w:r>
        <w:rPr>
          <w:rFonts w:ascii="SimHei" w:hAnsi="SimHei" w:eastAsia="SimHei" w:cs="SimHei"/>
          <w:sz w:val="23"/>
          <w:szCs w:val="23"/>
          <w:spacing w:val="-65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2"/>
        </w:rPr>
        <w:t>中国公司：监管收紧、经济放缓、房地产暴露。</w:t>
      </w:r>
    </w:p>
    <w:p>
      <w:pPr>
        <w:ind w:left="359"/>
        <w:spacing w:before="256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"/>
        </w:rPr>
        <w:t>·</w:t>
      </w:r>
      <w:r>
        <w:rPr>
          <w:rFonts w:ascii="SimSun" w:hAnsi="SimSun" w:eastAsia="SimSun" w:cs="SimSun"/>
          <w:sz w:val="23"/>
          <w:szCs w:val="23"/>
        </w:rPr>
        <w:t>Berkshire</w:t>
      </w:r>
      <w:r>
        <w:rPr>
          <w:rFonts w:ascii="SimSun" w:hAnsi="SimSun" w:eastAsia="SimSun" w:cs="SimSun"/>
          <w:sz w:val="23"/>
          <w:szCs w:val="23"/>
          <w:spacing w:val="2"/>
        </w:rPr>
        <w:t>:</w:t>
      </w:r>
      <w:r>
        <w:rPr>
          <w:rFonts w:ascii="SimSun" w:hAnsi="SimSun" w:eastAsia="SimSun" w:cs="SimSun"/>
          <w:sz w:val="23"/>
          <w:szCs w:val="23"/>
          <w:spacing w:val="34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2"/>
        </w:rPr>
        <w:t>管理层过渡、市场波动影响投资。</w:t>
      </w:r>
    </w:p>
    <w:p>
      <w:pPr>
        <w:ind w:left="359"/>
        <w:spacing w:before="26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2"/>
        </w:rPr>
        <w:t>·</w:t>
      </w:r>
      <w:r>
        <w:rPr>
          <w:rFonts w:ascii="SimHei" w:hAnsi="SimHei" w:eastAsia="SimHei" w:cs="SimHei"/>
          <w:sz w:val="23"/>
          <w:szCs w:val="23"/>
          <w:spacing w:val="-89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2"/>
        </w:rPr>
        <w:t>整体：地缘政治、利率逆转、气候风险。</w:t>
      </w:r>
    </w:p>
    <w:p>
      <w:pPr>
        <w:pStyle w:val="BodyText"/>
        <w:ind w:right="339"/>
        <w:spacing w:before="306" w:line="390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9"/>
        </w:rPr>
        <w:t>总体而言，亚洲(尤其中国)增长引擎将重塑全球保险格局，</w:t>
      </w:r>
      <w:r>
        <w:rPr>
          <w:rFonts w:ascii="SimHei" w:hAnsi="SimHei" w:eastAsia="SimHei" w:cs="SimHei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Ping</w:t>
      </w:r>
      <w:r>
        <w:rPr>
          <w:rFonts w:ascii="SimSun" w:hAnsi="SimSun" w:eastAsia="SimSun" w:cs="SimSun"/>
          <w:sz w:val="23"/>
          <w:szCs w:val="23"/>
          <w:spacing w:val="95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An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Hei" w:hAnsi="SimHei" w:eastAsia="SimHei" w:cs="SimHei"/>
          <w:sz w:val="23"/>
          <w:szCs w:val="23"/>
          <w:spacing w:val="9"/>
        </w:rPr>
        <w:t>(科技+全生态)、</w:t>
      </w:r>
      <w:r>
        <w:rPr>
          <w:rFonts w:ascii="SimHei" w:hAnsi="SimHei" w:eastAsia="SimHei" w:cs="SimHei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China </w:t>
      </w:r>
      <w:r>
        <w:rPr>
          <w:sz w:val="23"/>
          <w:szCs w:val="23"/>
        </w:rPr>
        <w:t>Life</w:t>
      </w:r>
      <w:r>
        <w:rPr>
          <w:sz w:val="23"/>
          <w:szCs w:val="23"/>
          <w:spacing w:val="1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8"/>
        </w:rPr>
        <w:t>(规模+政策)与</w:t>
      </w:r>
      <w:r>
        <w:rPr>
          <w:sz w:val="23"/>
          <w:szCs w:val="23"/>
        </w:rPr>
        <w:t>Berkshire</w:t>
      </w:r>
      <w:r>
        <w:rPr>
          <w:sz w:val="23"/>
          <w:szCs w:val="23"/>
          <w:spacing w:val="8"/>
        </w:rPr>
        <w:t xml:space="preserve">   </w:t>
      </w:r>
      <w:r>
        <w:rPr>
          <w:rFonts w:ascii="SimHei" w:hAnsi="SimHei" w:eastAsia="SimHei" w:cs="SimHei"/>
          <w:sz w:val="23"/>
          <w:szCs w:val="23"/>
          <w:spacing w:val="8"/>
        </w:rPr>
        <w:t>(投资纪律)最具领先潜力</w:t>
      </w:r>
      <w:r>
        <w:rPr>
          <w:rFonts w:ascii="SimHei" w:hAnsi="SimHei" w:eastAsia="SimHei" w:cs="SimHei"/>
          <w:sz w:val="23"/>
          <w:szCs w:val="23"/>
          <w:spacing w:val="7"/>
        </w:rPr>
        <w:t>，形成“三足鼎立”格局。</w:t>
      </w:r>
    </w:p>
    <w:p>
      <w:pPr>
        <w:spacing w:before="7" w:line="213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10"/>
        </w:rPr>
        <w:t>报告日期：2026年1月11日。数据基于公开来源，如需最</w:t>
      </w:r>
      <w:r>
        <w:rPr>
          <w:rFonts w:ascii="SimHei" w:hAnsi="SimHei" w:eastAsia="SimHei" w:cs="SimHei"/>
          <w:sz w:val="23"/>
          <w:szCs w:val="23"/>
          <w:spacing w:val="9"/>
        </w:rPr>
        <w:t>新验证建议查阅公司年报。</w:t>
      </w:r>
    </w:p>
    <w:sectPr>
      <w:pgSz w:w="12240" w:h="15840"/>
      <w:pgMar w:top="1171" w:right="1042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2026-03-15T23:59:31Z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2026-03-15T23:59:32</vt:filetime>
  </property>
  <property fmtid="{D5CDD505-2E9C-101B-9397-08002B2CF9AE}" pid="4" name="UsrData">
    <vt:lpwstr>69b6d7619aafeb0020194f90wl</vt:lpwstr>
  </property>
</Properties>
</file>