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56" w:line="221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17"/>
        </w:rPr>
        <w:t>全球顶尖保险公司信息概览</w:t>
      </w:r>
    </w:p>
    <w:p>
      <w:pPr>
        <w:pStyle w:val="BodyText"/>
        <w:ind w:right="75"/>
        <w:spacing w:before="257" w:line="299" w:lineRule="auto"/>
        <w:jc w:val="both"/>
        <w:rPr/>
      </w:pPr>
      <w:r>
        <w:rPr>
          <w:spacing w:val="7"/>
        </w:rPr>
        <w:t>根据《财富》全球500强、福布斯全球2000强以及</w:t>
      </w:r>
      <w:r>
        <w:rPr>
          <w:rFonts w:ascii="SimSun" w:hAnsi="SimSun" w:eastAsia="SimSun" w:cs="SimSun"/>
          <w:spacing w:val="7"/>
        </w:rPr>
        <w:t>S&amp;</w:t>
      </w:r>
      <w:r>
        <w:rPr>
          <w:rFonts w:ascii="SimSun" w:hAnsi="SimSun" w:eastAsia="SimSun" w:cs="SimSun"/>
        </w:rPr>
        <w:t>PGlobal</w:t>
      </w:r>
      <w:r>
        <w:rPr>
          <w:rFonts w:ascii="SimSun" w:hAnsi="SimSun" w:eastAsia="SimSun" w:cs="SimSun"/>
          <w:spacing w:val="77"/>
        </w:rPr>
        <w:t xml:space="preserve"> </w:t>
      </w:r>
      <w:r>
        <w:rPr>
          <w:spacing w:val="7"/>
        </w:rPr>
        <w:t>和</w:t>
      </w:r>
      <w:r>
        <w:rPr>
          <w:rFonts w:ascii="SimSun" w:hAnsi="SimSun" w:eastAsia="SimSun" w:cs="SimSun"/>
        </w:rPr>
        <w:t>Statista</w:t>
      </w:r>
      <w:r>
        <w:rPr>
          <w:spacing w:val="7"/>
        </w:rPr>
        <w:t>等权威机构的2025年</w:t>
      </w:r>
      <w:r>
        <w:rPr/>
        <w:t xml:space="preserve"> </w:t>
      </w:r>
      <w:r>
        <w:rPr>
          <w:spacing w:val="3"/>
        </w:rPr>
        <w:t>排名，全球综合实力前十的保险公司列表如下(基于收入、市场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</w:rPr>
        <w:t>capitalization</w:t>
      </w:r>
      <w:r>
        <w:rPr>
          <w:rFonts w:ascii="Times New Roman" w:hAnsi="Times New Roman" w:eastAsia="Times New Roman" w:cs="Times New Roman"/>
          <w:spacing w:val="3"/>
        </w:rPr>
        <w:t xml:space="preserve">    </w:t>
      </w:r>
      <w:r>
        <w:rPr>
          <w:spacing w:val="2"/>
        </w:rPr>
        <w:t>和资产规模综合</w:t>
      </w:r>
      <w:r>
        <w:rPr/>
        <w:t xml:space="preserve"> </w:t>
      </w:r>
      <w:r>
        <w:rPr>
          <w:spacing w:val="12"/>
        </w:rPr>
        <w:t>评估，数据来源于2024-2025年报告):</w:t>
      </w:r>
    </w:p>
    <w:p>
      <w:pPr>
        <w:pStyle w:val="BodyText"/>
        <w:ind w:left="339"/>
        <w:spacing w:before="170" w:line="218" w:lineRule="auto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7"/>
        </w:rPr>
        <w:t>1.Berkshire Hathaway</w:t>
      </w:r>
      <w:r>
        <w:rPr>
          <w:sz w:val="28"/>
          <w:szCs w:val="28"/>
          <w:spacing w:val="-7"/>
        </w:rPr>
        <w:t>(美国)</w:t>
      </w:r>
    </w:p>
    <w:p>
      <w:pPr>
        <w:pStyle w:val="BodyText"/>
        <w:ind w:left="339"/>
        <w:spacing w:before="206" w:line="222" w:lineRule="auto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5"/>
        </w:rPr>
        <w:t>2.China Life Insurance</w:t>
      </w:r>
      <w:r>
        <w:rPr>
          <w:sz w:val="28"/>
          <w:szCs w:val="28"/>
          <w:spacing w:val="-15"/>
        </w:rPr>
        <w:t>(中国)</w:t>
      </w:r>
    </w:p>
    <w:p>
      <w:pPr>
        <w:pStyle w:val="BodyText"/>
        <w:ind w:left="339"/>
        <w:spacing w:before="203" w:line="217" w:lineRule="auto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1"/>
        </w:rPr>
        <w:t>3.Ping An</w:t>
      </w:r>
      <w:r>
        <w:rPr>
          <w:rFonts w:ascii="SimSun" w:hAnsi="SimSun" w:eastAsia="SimSun" w:cs="SimSun"/>
          <w:sz w:val="28"/>
          <w:szCs w:val="28"/>
          <w:spacing w:val="3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Insurance</w:t>
      </w:r>
      <w:r>
        <w:rPr>
          <w:sz w:val="28"/>
          <w:szCs w:val="28"/>
          <w:spacing w:val="-11"/>
        </w:rPr>
        <w:t>(中国)</w:t>
      </w:r>
    </w:p>
    <w:p>
      <w:pPr>
        <w:pStyle w:val="BodyText"/>
        <w:ind w:left="339"/>
        <w:spacing w:before="211" w:line="222" w:lineRule="auto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0"/>
        </w:rPr>
        <w:t>4.Allianz</w:t>
      </w:r>
      <w:r>
        <w:rPr>
          <w:sz w:val="28"/>
          <w:szCs w:val="28"/>
          <w:spacing w:val="-10"/>
        </w:rPr>
        <w:t>(德国)</w:t>
      </w:r>
    </w:p>
    <w:p>
      <w:pPr>
        <w:pStyle w:val="BodyText"/>
        <w:ind w:left="339"/>
        <w:spacing w:before="242" w:line="222" w:lineRule="auto"/>
        <w:rPr/>
      </w:pPr>
      <w:r>
        <w:rPr>
          <w:rFonts w:ascii="SimSun" w:hAnsi="SimSun" w:eastAsia="SimSun" w:cs="SimSun"/>
          <w:spacing w:val="-3"/>
        </w:rPr>
        <w:t>5.AXA</w:t>
      </w:r>
      <w:r>
        <w:rPr>
          <w:rFonts w:ascii="SimSun" w:hAnsi="SimSun" w:eastAsia="SimSun" w:cs="SimSun"/>
          <w:spacing w:val="31"/>
        </w:rPr>
        <w:t xml:space="preserve">   </w:t>
      </w:r>
      <w:r>
        <w:rPr>
          <w:spacing w:val="-3"/>
        </w:rPr>
        <w:t>(法国)</w:t>
      </w:r>
    </w:p>
    <w:p>
      <w:pPr>
        <w:pStyle w:val="BodyText"/>
        <w:ind w:left="339"/>
        <w:spacing w:before="215" w:line="217" w:lineRule="auto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5"/>
        </w:rPr>
        <w:t>6.Nippon Life</w:t>
      </w:r>
      <w:r>
        <w:rPr>
          <w:rFonts w:ascii="SimSun" w:hAnsi="SimSun" w:eastAsia="SimSun" w:cs="SimSun"/>
          <w:sz w:val="28"/>
          <w:szCs w:val="28"/>
          <w:spacing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5"/>
        </w:rPr>
        <w:t>Insurance</w:t>
      </w:r>
      <w:r>
        <w:rPr>
          <w:sz w:val="28"/>
          <w:szCs w:val="28"/>
          <w:spacing w:val="-15"/>
        </w:rPr>
        <w:t>(日本)</w:t>
      </w:r>
    </w:p>
    <w:p>
      <w:pPr>
        <w:pStyle w:val="BodyText"/>
        <w:ind w:left="339"/>
        <w:spacing w:before="206" w:line="221" w:lineRule="auto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7"/>
        </w:rPr>
        <w:t>7.</w:t>
      </w:r>
      <w:r>
        <w:rPr>
          <w:rFonts w:ascii="SimSun" w:hAnsi="SimSun" w:eastAsia="SimSun" w:cs="SimSun"/>
          <w:sz w:val="28"/>
          <w:szCs w:val="28"/>
          <w:spacing w:val="7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7"/>
        </w:rPr>
        <w:t>Prudential Financial</w:t>
      </w:r>
      <w:r>
        <w:rPr>
          <w:sz w:val="28"/>
          <w:szCs w:val="28"/>
          <w:spacing w:val="-27"/>
        </w:rPr>
        <w:t>(美国)</w:t>
      </w:r>
    </w:p>
    <w:p>
      <w:pPr>
        <w:pStyle w:val="BodyText"/>
        <w:ind w:left="339"/>
        <w:spacing w:before="244" w:line="221" w:lineRule="auto"/>
        <w:rPr/>
      </w:pPr>
      <w:r>
        <w:rPr>
          <w:rFonts w:ascii="SimSun" w:hAnsi="SimSun" w:eastAsia="SimSun" w:cs="SimSun"/>
          <w:spacing w:val="-2"/>
        </w:rPr>
        <w:t>8.MetLife</w:t>
      </w:r>
      <w:r>
        <w:rPr>
          <w:rFonts w:ascii="SimSun" w:hAnsi="SimSun" w:eastAsia="SimSun" w:cs="SimSun"/>
          <w:spacing w:val="42"/>
        </w:rPr>
        <w:t xml:space="preserve">  </w:t>
      </w:r>
      <w:r>
        <w:rPr>
          <w:spacing w:val="-2"/>
        </w:rPr>
        <w:t>(美国)</w:t>
      </w:r>
    </w:p>
    <w:p>
      <w:pPr>
        <w:pStyle w:val="BodyText"/>
        <w:ind w:left="339"/>
        <w:spacing w:before="218" w:line="217" w:lineRule="auto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3"/>
        </w:rPr>
        <w:t>9.Japan Post</w:t>
      </w:r>
      <w:r>
        <w:rPr>
          <w:rFonts w:ascii="SimSun" w:hAnsi="SimSun" w:eastAsia="SimSun" w:cs="SimSun"/>
          <w:sz w:val="28"/>
          <w:szCs w:val="28"/>
          <w:spacing w:val="2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3"/>
        </w:rPr>
        <w:t>Insurance</w:t>
      </w:r>
      <w:r>
        <w:rPr>
          <w:sz w:val="28"/>
          <w:szCs w:val="28"/>
          <w:spacing w:val="-13"/>
        </w:rPr>
        <w:t>(日本)</w:t>
      </w:r>
    </w:p>
    <w:p>
      <w:pPr>
        <w:pStyle w:val="BodyText"/>
        <w:ind w:left="339"/>
        <w:spacing w:before="213" w:line="327" w:lineRule="exact"/>
        <w:rPr/>
      </w:pPr>
      <w:r>
        <w:rPr>
          <w:rFonts w:ascii="Arial" w:hAnsi="Arial" w:eastAsia="Arial" w:cs="Arial"/>
          <w:position w:val="1"/>
        </w:rPr>
        <w:t>10.Assicurazioni     Generali</w:t>
      </w:r>
      <w:r>
        <w:rPr>
          <w:position w:val="1"/>
        </w:rPr>
        <w:t>(意大</w:t>
      </w:r>
      <w:r>
        <w:rPr>
          <w:spacing w:val="-1"/>
          <w:position w:val="1"/>
        </w:rPr>
        <w:t>利)</w:t>
      </w:r>
    </w:p>
    <w:p>
      <w:pPr>
        <w:pStyle w:val="BodyText"/>
        <w:ind w:left="3"/>
        <w:spacing w:before="282" w:line="222" w:lineRule="auto"/>
        <w:rPr/>
      </w:pPr>
      <w:r>
        <w:rPr>
          <w:b/>
          <w:bCs/>
          <w:spacing w:val="-9"/>
        </w:rPr>
        <w:t>关键洞察：</w:t>
      </w:r>
    </w:p>
    <w:p>
      <w:pPr>
        <w:pStyle w:val="BodyText"/>
        <w:ind w:left="509" w:right="203" w:hanging="170"/>
        <w:spacing w:before="264" w:line="272" w:lineRule="auto"/>
        <w:rPr/>
      </w:pPr>
      <w:r>
        <w:rPr>
          <w:spacing w:val="-3"/>
        </w:rPr>
        <w:t>·研究表明，中国保险公司如</w:t>
      </w:r>
      <w:r>
        <w:rPr>
          <w:rFonts w:ascii="SimSun" w:hAnsi="SimSun" w:eastAsia="SimSun" w:cs="SimSun"/>
          <w:spacing w:val="-3"/>
        </w:rPr>
        <w:t>China Life</w:t>
      </w:r>
      <w:r>
        <w:rPr>
          <w:spacing w:val="-3"/>
        </w:rPr>
        <w:t>和</w:t>
      </w:r>
      <w:r>
        <w:rPr>
          <w:rFonts w:ascii="SimSun" w:hAnsi="SimSun" w:eastAsia="SimSun" w:cs="SimSun"/>
          <w:spacing w:val="-3"/>
        </w:rPr>
        <w:t>Ping</w:t>
      </w:r>
      <w:r>
        <w:rPr>
          <w:rFonts w:ascii="SimSun" w:hAnsi="SimSun" w:eastAsia="SimSun" w:cs="SimSun"/>
          <w:spacing w:val="45"/>
        </w:rPr>
        <w:t xml:space="preserve"> </w:t>
      </w:r>
      <w:r>
        <w:rPr>
          <w:rFonts w:ascii="SimSun" w:hAnsi="SimSun" w:eastAsia="SimSun" w:cs="SimSun"/>
          <w:spacing w:val="-3"/>
        </w:rPr>
        <w:t>A</w:t>
      </w:r>
      <w:r>
        <w:rPr>
          <w:rFonts w:ascii="SimSun" w:hAnsi="SimSun" w:eastAsia="SimSun" w:cs="SimSun"/>
          <w:spacing w:val="-4"/>
        </w:rPr>
        <w:t>n</w:t>
      </w:r>
      <w:r>
        <w:rPr>
          <w:spacing w:val="-4"/>
        </w:rPr>
        <w:t>在亚洲市场主导增长，但面临经济不确定</w:t>
      </w:r>
      <w:r>
        <w:rPr/>
        <w:t xml:space="preserve"> </w:t>
      </w:r>
      <w:r>
        <w:rPr>
          <w:spacing w:val="2"/>
        </w:rPr>
        <w:t>性；欧洲公司如</w:t>
      </w:r>
      <w:r>
        <w:rPr>
          <w:rFonts w:ascii="Arial" w:hAnsi="Arial" w:eastAsia="Arial" w:cs="Arial"/>
        </w:rPr>
        <w:t>Allianz</w:t>
      </w:r>
      <w:r>
        <w:rPr>
          <w:spacing w:val="2"/>
        </w:rPr>
        <w:t>和</w:t>
      </w:r>
      <w:r>
        <w:rPr>
          <w:rFonts w:ascii="Arial" w:hAnsi="Arial" w:eastAsia="Arial" w:cs="Arial"/>
        </w:rPr>
        <w:t>AXA</w:t>
      </w:r>
      <w:r>
        <w:rPr>
          <w:spacing w:val="2"/>
        </w:rPr>
        <w:t>强调可持续性和多元化。</w:t>
      </w:r>
    </w:p>
    <w:p>
      <w:pPr>
        <w:pStyle w:val="BodyText"/>
        <w:ind w:left="509" w:hanging="170"/>
        <w:spacing w:before="233" w:line="280" w:lineRule="auto"/>
        <w:rPr/>
      </w:pPr>
      <w:r>
        <w:rPr>
          <w:spacing w:val="7"/>
        </w:rPr>
        <w:t>·整体行业前景乐观，预计全球保险收入在2025-2030年间以年均4-6%增长，但地缘政治风</w:t>
      </w:r>
      <w:r>
        <w:rPr>
          <w:spacing w:val="4"/>
        </w:rPr>
        <w:t xml:space="preserve"> </w:t>
      </w:r>
      <w:r>
        <w:rPr>
          <w:spacing w:val="11"/>
        </w:rPr>
        <w:t>险(如中美贸易摩擦)可能影响资产规模。</w:t>
      </w:r>
    </w:p>
    <w:p>
      <w:pPr>
        <w:pStyle w:val="BodyText"/>
        <w:ind w:left="509" w:right="9" w:hanging="170"/>
        <w:spacing w:before="252" w:line="268" w:lineRule="auto"/>
        <w:rPr/>
      </w:pPr>
      <w:r>
        <w:rPr>
          <w:spacing w:val="-3"/>
        </w:rPr>
        <w:t>·</w:t>
      </w:r>
      <w:r>
        <w:rPr>
          <w:spacing w:val="-93"/>
        </w:rPr>
        <w:t xml:space="preserve"> </w:t>
      </w:r>
      <w:r>
        <w:rPr>
          <w:spacing w:val="-3"/>
        </w:rPr>
        <w:t>争议点：部分分析师认为美国公司如</w:t>
      </w:r>
      <w:r>
        <w:rPr>
          <w:rFonts w:ascii="SimSun" w:hAnsi="SimSun" w:eastAsia="SimSun" w:cs="SimSun"/>
          <w:spacing w:val="-3"/>
        </w:rPr>
        <w:t>Berkshire</w:t>
      </w:r>
      <w:r>
        <w:rPr>
          <w:rFonts w:ascii="SimSun" w:hAnsi="SimSun" w:eastAsia="SimSun" w:cs="SimSun"/>
          <w:spacing w:val="76"/>
        </w:rPr>
        <w:t xml:space="preserve"> </w:t>
      </w:r>
      <w:r>
        <w:rPr>
          <w:rFonts w:ascii="SimSun" w:hAnsi="SimSun" w:eastAsia="SimSun" w:cs="SimSun"/>
          <w:spacing w:val="-3"/>
        </w:rPr>
        <w:t>Hathaway</w:t>
      </w:r>
      <w:r>
        <w:rPr>
          <w:spacing w:val="-3"/>
        </w:rPr>
        <w:t>的稳定分红更可靠，而亚洲公司增</w:t>
      </w:r>
      <w:r>
        <w:rPr/>
        <w:t xml:space="preserve"> </w:t>
      </w:r>
      <w:r>
        <w:rPr>
          <w:spacing w:val="-4"/>
        </w:rPr>
        <w:t>长潜力更大，但波动性较高。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rPr/>
      </w:pPr>
      <w:r>
        <w:rPr>
          <w:b/>
          <w:bCs/>
          <w:spacing w:val="-4"/>
        </w:rPr>
        <w:t>融资情况概述</w:t>
      </w:r>
    </w:p>
    <w:p>
      <w:pPr>
        <w:pStyle w:val="BodyText"/>
        <w:spacing w:before="237" w:line="221" w:lineRule="auto"/>
        <w:rPr/>
      </w:pPr>
      <w:r>
        <w:rPr>
          <w:spacing w:val="1"/>
        </w:rPr>
        <w:t>这些公司主要依赖保费收入、投资回报和债券发行作为资金来</w:t>
      </w:r>
      <w:r>
        <w:rPr/>
        <w:t>源。资本结构通常包括股东权益</w:t>
      </w:r>
    </w:p>
    <w:p>
      <w:pPr>
        <w:pStyle w:val="BodyText"/>
        <w:ind w:right="31" w:firstLine="149"/>
        <w:spacing w:before="111" w:line="326" w:lineRule="auto"/>
        <w:rPr/>
      </w:pPr>
      <w:r>
        <w:rPr>
          <w:spacing w:val="8"/>
        </w:rPr>
        <w:t>(占60-80%)和债务工具，如子级债券，以优化杠杆率。近年来，许多公司发行绿色债券以支</w:t>
      </w:r>
      <w:r>
        <w:rPr>
          <w:spacing w:val="12"/>
        </w:rPr>
        <w:t xml:space="preserve"> </w:t>
      </w:r>
      <w:r>
        <w:rPr>
          <w:spacing w:val="-2"/>
        </w:rPr>
        <w:t>持可持续融资。</w:t>
      </w:r>
    </w:p>
    <w:p>
      <w:pPr>
        <w:pStyle w:val="BodyText"/>
        <w:ind w:left="3"/>
        <w:spacing w:before="210" w:line="221" w:lineRule="auto"/>
        <w:rPr/>
      </w:pPr>
      <w:r>
        <w:rPr>
          <w:b/>
          <w:bCs/>
          <w:spacing w:val="-4"/>
        </w:rPr>
        <w:t>信誉度与评级</w:t>
      </w:r>
    </w:p>
    <w:p>
      <w:pPr>
        <w:spacing w:line="221" w:lineRule="auto"/>
        <w:sectPr>
          <w:pgSz w:w="12240" w:h="15840"/>
          <w:pgMar w:top="1138" w:right="1112" w:bottom="0" w:left="980" w:header="0" w:footer="0" w:gutter="0"/>
        </w:sectPr>
        <w:rPr/>
      </w:pPr>
    </w:p>
    <w:p>
      <w:pPr>
        <w:pStyle w:val="BodyText"/>
        <w:ind w:right="349"/>
        <w:spacing w:before="47" w:line="308" w:lineRule="auto"/>
        <w:rPr/>
      </w:pPr>
      <w:r>
        <w:rPr>
          <w:spacing w:val="2"/>
        </w:rPr>
        <w:t>国际评级机构如</w:t>
      </w:r>
      <w:r>
        <w:rPr>
          <w:rFonts w:ascii="SimSun" w:hAnsi="SimSun" w:eastAsia="SimSun" w:cs="SimSun"/>
          <w:spacing w:val="2"/>
        </w:rPr>
        <w:t>S&amp;P </w:t>
      </w:r>
      <w:r>
        <w:rPr>
          <w:spacing w:val="2"/>
        </w:rPr>
        <w:t>和</w:t>
      </w:r>
      <w:r>
        <w:rPr>
          <w:rFonts w:ascii="SimSun" w:hAnsi="SimSun" w:eastAsia="SimSun" w:cs="SimSun"/>
        </w:rPr>
        <w:t>Moody</w:t>
      </w:r>
      <w:r>
        <w:rPr>
          <w:rFonts w:ascii="SimSun" w:hAnsi="SimSun" w:eastAsia="SimSun" w:cs="SimSun"/>
          <w:spacing w:val="2"/>
        </w:rPr>
        <w:t>'s </w:t>
      </w:r>
      <w:r>
        <w:rPr>
          <w:spacing w:val="2"/>
        </w:rPr>
        <w:t>给予这些公司高评级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(A </w:t>
      </w:r>
      <w:r>
        <w:rPr>
          <w:spacing w:val="1"/>
        </w:rPr>
        <w:t>级以上),反映强劲资本缓冲和风险管</w:t>
      </w:r>
      <w:r>
        <w:rPr/>
        <w:t xml:space="preserve"> </w:t>
      </w:r>
      <w:r>
        <w:rPr/>
        <w:t>理。但部分公司如中国保险公司受国家主权评级影响，展望稳定但需警惕宏观风险。</w:t>
      </w:r>
    </w:p>
    <w:p>
      <w:pPr>
        <w:pStyle w:val="BodyText"/>
        <w:ind w:left="3"/>
        <w:spacing w:before="241" w:line="222" w:lineRule="auto"/>
        <w:rPr/>
      </w:pPr>
      <w:r>
        <w:rPr>
          <w:b/>
          <w:bCs/>
          <w:spacing w:val="1"/>
        </w:rPr>
        <w:t>增长幅度</w:t>
      </w:r>
    </w:p>
    <w:p>
      <w:pPr>
        <w:pStyle w:val="BodyText"/>
        <w:ind w:right="72"/>
        <w:spacing w:before="235" w:line="312" w:lineRule="auto"/>
        <w:rPr/>
      </w:pPr>
      <w:r>
        <w:rPr>
          <w:spacing w:val="17"/>
        </w:rPr>
        <w:t>过去五年(2021-2025),平均收入增长约5-1</w:t>
      </w:r>
      <w:r>
        <w:rPr>
          <w:spacing w:val="16"/>
        </w:rPr>
        <w:t>0%,利润波动受投资收益和疫情影响。2025年多</w:t>
      </w:r>
      <w:r>
        <w:rPr/>
        <w:t xml:space="preserve"> </w:t>
      </w:r>
      <w:r>
        <w:rPr>
          <w:spacing w:val="-1"/>
        </w:rPr>
        <w:t>数公司显示恢复性增长，受益于利率上升和数字化转型。</w:t>
      </w:r>
    </w:p>
    <w:p>
      <w:pPr>
        <w:pStyle w:val="BodyText"/>
        <w:ind w:left="3"/>
        <w:spacing w:before="226" w:line="222" w:lineRule="auto"/>
        <w:rPr/>
      </w:pPr>
      <w:r>
        <w:rPr>
          <w:b/>
          <w:bCs/>
        </w:rPr>
        <w:t>分红情况</w:t>
      </w:r>
    </w:p>
    <w:p>
      <w:pPr>
        <w:pStyle w:val="BodyText"/>
        <w:ind w:right="222"/>
        <w:spacing w:before="232" w:line="318" w:lineRule="auto"/>
        <w:rPr/>
      </w:pPr>
      <w:r>
        <w:rPr>
          <w:spacing w:val="5"/>
        </w:rPr>
        <w:t>大多数公司维持稳定分红，平均收益率3-5%。美国</w:t>
      </w:r>
      <w:r>
        <w:rPr>
          <w:spacing w:val="4"/>
        </w:rPr>
        <w:t>公司更注重股东回报，而亚洲公司优先再投</w:t>
      </w:r>
      <w:r>
        <w:rPr/>
        <w:t xml:space="preserve"> </w:t>
      </w:r>
      <w:r>
        <w:rPr>
          <w:spacing w:val="-4"/>
        </w:rPr>
        <w:t>资增长。</w:t>
      </w:r>
    </w:p>
    <w:p>
      <w:pPr>
        <w:pStyle w:val="BodyText"/>
        <w:ind w:left="3"/>
        <w:spacing w:before="220" w:line="221" w:lineRule="auto"/>
        <w:rPr/>
      </w:pPr>
      <w:r>
        <w:rPr>
          <w:b/>
          <w:bCs/>
          <w:spacing w:val="-4"/>
        </w:rPr>
        <w:t>在中国发展潜力</w:t>
      </w:r>
    </w:p>
    <w:p>
      <w:pPr>
        <w:pStyle w:val="BodyText"/>
        <w:ind w:right="258"/>
        <w:spacing w:before="217" w:line="324" w:lineRule="auto"/>
        <w:rPr/>
      </w:pPr>
      <w:r>
        <w:rPr>
          <w:spacing w:val="7"/>
        </w:rPr>
        <w:t>欧洲和美国公司在华通过合资(如</w:t>
      </w:r>
      <w:r>
        <w:rPr>
          <w:rFonts w:ascii="SimSun" w:hAnsi="SimSun" w:eastAsia="SimSun" w:cs="SimSun"/>
        </w:rPr>
        <w:t>Allianz</w:t>
      </w:r>
      <w:r>
        <w:rPr>
          <w:spacing w:val="7"/>
        </w:rPr>
        <w:t>与京东安联)扩展，受益于中国保险市场预计到2030</w:t>
      </w:r>
      <w:r>
        <w:rPr/>
        <w:t xml:space="preserve"> </w:t>
      </w:r>
      <w:r>
        <w:rPr>
          <w:spacing w:val="3"/>
        </w:rPr>
        <w:t>年增长至9270亿美元。但监管和贸易壁垒增加不确定性。</w:t>
      </w:r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6372</wp:posOffset>
            </wp:positionH>
            <wp:positionV relativeFrom="paragraph">
              <wp:posOffset>56333</wp:posOffset>
            </wp:positionV>
            <wp:extent cx="6508686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868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全球顶尖保险公司信息概览与前景展望报告</w:t>
      </w:r>
    </w:p>
    <w:p>
      <w:pPr>
        <w:pStyle w:val="BodyText"/>
        <w:ind w:left="3"/>
        <w:spacing w:before="190" w:line="221" w:lineRule="auto"/>
        <w:rPr/>
      </w:pPr>
      <w:r>
        <w:rPr>
          <w:b/>
          <w:bCs/>
          <w:spacing w:val="-4"/>
        </w:rPr>
        <w:t>引言：全球顶尖保险公司列表</w:t>
      </w:r>
    </w:p>
    <w:p>
      <w:pPr>
        <w:pStyle w:val="BodyText"/>
        <w:ind w:right="42"/>
        <w:spacing w:before="181" w:line="336" w:lineRule="auto"/>
        <w:jc w:val="both"/>
        <w:rPr/>
      </w:pPr>
      <w:r>
        <w:rPr>
          <w:spacing w:val="6"/>
        </w:rPr>
        <w:t>本报告基于2025年《财富》全球500强、福布斯全球2000强、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S&amp;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</w:rPr>
        <w:t>Global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</w:rPr>
        <w:t>Market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</w:rPr>
        <w:t>Intelligence </w:t>
      </w:r>
      <w:r>
        <w:rPr>
          <w:spacing w:val="-2"/>
        </w:rPr>
        <w:t>以及</w:t>
      </w:r>
      <w:r>
        <w:rPr>
          <w:rFonts w:ascii="SimSun" w:hAnsi="SimSun" w:eastAsia="SimSun" w:cs="SimSun"/>
          <w:spacing w:val="-2"/>
        </w:rPr>
        <w:t>Statista</w:t>
      </w:r>
      <w:r>
        <w:rPr>
          <w:spacing w:val="-2"/>
        </w:rPr>
        <w:t>的最新数据，整理出全球综合实力前十保险公司列表。这些</w:t>
      </w:r>
      <w:r>
        <w:rPr>
          <w:spacing w:val="-3"/>
        </w:rPr>
        <w:t>排名综合考虑收入、资产</w:t>
      </w:r>
      <w:r>
        <w:rPr/>
        <w:t xml:space="preserve"> </w:t>
      </w:r>
      <w:r>
        <w:rPr>
          <w:spacing w:val="-4"/>
        </w:rPr>
        <w:t>规模、市场</w:t>
      </w:r>
      <w:r>
        <w:rPr>
          <w:rFonts w:ascii="SimSun" w:hAnsi="SimSun" w:eastAsia="SimSun" w:cs="SimSun"/>
          <w:spacing w:val="-4"/>
        </w:rPr>
        <w:t>capitalization</w:t>
      </w:r>
      <w:r>
        <w:rPr>
          <w:spacing w:val="-4"/>
        </w:rPr>
        <w:t>和全球影响力。列表如下：</w:t>
      </w:r>
    </w:p>
    <w:p>
      <w:pPr>
        <w:spacing w:line="336" w:lineRule="auto"/>
        <w:sectPr>
          <w:pgSz w:w="12240" w:h="15840"/>
          <w:pgMar w:top="1255" w:right="1010" w:bottom="0" w:left="970" w:header="0" w:footer="0" w:gutter="0"/>
        </w:sectPr>
        <w:rPr/>
      </w:pPr>
    </w:p>
    <w:tbl>
      <w:tblPr>
        <w:tblStyle w:val="TableNormal"/>
        <w:tblW w:w="990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30"/>
        <w:gridCol w:w="1230"/>
        <w:gridCol w:w="2415"/>
        <w:gridCol w:w="3325"/>
      </w:tblGrid>
      <w:tr>
        <w:trPr>
          <w:trHeight w:val="481" w:hRule="atLeast"/>
        </w:trPr>
        <w:tc>
          <w:tcPr>
            <w:tcW w:w="2930" w:type="dxa"/>
            <w:vAlign w:val="top"/>
          </w:tcPr>
          <w:p>
            <w:pPr>
              <w:ind w:left="43"/>
              <w:spacing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3"/>
              </w:rPr>
              <w:t>排名</w:t>
            </w:r>
            <w:r>
              <w:rPr>
                <w:rFonts w:ascii="SimHei" w:hAnsi="SimHei" w:eastAsia="SimHei" w:cs="SimHei"/>
                <w:sz w:val="22"/>
                <w:szCs w:val="22"/>
                <w:spacing w:val="-3"/>
              </w:rPr>
              <w:t xml:space="preserve">  </w:t>
            </w: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3"/>
              </w:rPr>
              <w:t>公司名称</w:t>
            </w:r>
          </w:p>
        </w:tc>
        <w:tc>
          <w:tcPr>
            <w:tcW w:w="1230" w:type="dxa"/>
            <w:vAlign w:val="top"/>
          </w:tcPr>
          <w:p>
            <w:pPr>
              <w:ind w:left="212"/>
              <w:spacing w:before="20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7"/>
              </w:rPr>
              <w:t>国家/地区</w:t>
            </w:r>
          </w:p>
        </w:tc>
        <w:tc>
          <w:tcPr>
            <w:tcW w:w="2415" w:type="dxa"/>
            <w:vAlign w:val="top"/>
          </w:tcPr>
          <w:p>
            <w:pPr>
              <w:ind w:left="133"/>
              <w:spacing w:before="9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9"/>
              </w:rPr>
              <w:t>2024年收入(亿美元)</w:t>
            </w:r>
          </w:p>
        </w:tc>
        <w:tc>
          <w:tcPr>
            <w:tcW w:w="3325" w:type="dxa"/>
            <w:vAlign w:val="top"/>
          </w:tcPr>
          <w:p>
            <w:pPr>
              <w:ind w:left="168"/>
              <w:spacing w:before="1" w:line="22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7"/>
              </w:rPr>
              <w:t>2024年资产规模(亿美元)</w:t>
            </w:r>
          </w:p>
        </w:tc>
      </w:tr>
      <w:tr>
        <w:trPr>
          <w:trHeight w:val="618" w:hRule="atLeast"/>
        </w:trPr>
        <w:tc>
          <w:tcPr>
            <w:tcW w:w="2930" w:type="dxa"/>
            <w:vAlign w:val="top"/>
          </w:tcPr>
          <w:p>
            <w:pPr>
              <w:pStyle w:val="TableText"/>
              <w:ind w:left="40"/>
              <w:spacing w:before="238" w:line="238" w:lineRule="auto"/>
              <w:rPr/>
            </w:pPr>
            <w:r>
              <w:rPr>
                <w:spacing w:val="-2"/>
                <w:position w:val="-2"/>
              </w:rPr>
              <w:t>1</w:t>
            </w:r>
            <w:r>
              <w:rPr>
                <w:spacing w:val="47"/>
                <w:position w:val="-2"/>
              </w:rPr>
              <w:t xml:space="preserve">  </w:t>
            </w:r>
            <w:r>
              <w:rPr>
                <w:spacing w:val="-2"/>
              </w:rPr>
              <w:t>Berkshire Hathaway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190"/>
              <w:spacing w:before="244" w:line="220" w:lineRule="auto"/>
              <w:rPr/>
            </w:pPr>
            <w:r>
              <w:rPr>
                <w:spacing w:val="11"/>
              </w:rPr>
              <w:t>美国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0"/>
              <w:spacing w:before="265"/>
              <w:rPr/>
            </w:pPr>
            <w:r>
              <w:rPr>
                <w:spacing w:val="-3"/>
              </w:rPr>
              <w:t>3714</w:t>
            </w:r>
          </w:p>
        </w:tc>
        <w:tc>
          <w:tcPr>
            <w:tcW w:w="3325" w:type="dxa"/>
            <w:vAlign w:val="top"/>
          </w:tcPr>
          <w:p>
            <w:pPr>
              <w:pStyle w:val="TableText"/>
              <w:ind w:left="155"/>
              <w:spacing w:before="265"/>
              <w:rPr/>
            </w:pPr>
            <w:r>
              <w:rPr>
                <w:spacing w:val="-4"/>
              </w:rPr>
              <w:t>10700</w:t>
            </w:r>
          </w:p>
        </w:tc>
      </w:tr>
      <w:tr>
        <w:trPr>
          <w:trHeight w:val="555" w:hRule="atLeast"/>
        </w:trPr>
        <w:tc>
          <w:tcPr>
            <w:tcW w:w="2930" w:type="dxa"/>
            <w:vAlign w:val="top"/>
          </w:tcPr>
          <w:p>
            <w:pPr>
              <w:pStyle w:val="TableText"/>
              <w:ind w:left="40"/>
              <w:spacing w:before="157"/>
              <w:rPr/>
            </w:pPr>
            <w:r>
              <w:rPr>
                <w:spacing w:val="-2"/>
              </w:rPr>
              <w:t>2</w:t>
            </w:r>
            <w:r>
              <w:rPr>
                <w:spacing w:val="36"/>
              </w:rPr>
              <w:t xml:space="preserve">  </w:t>
            </w:r>
            <w:r>
              <w:rPr>
                <w:spacing w:val="-2"/>
              </w:rPr>
              <w:t>China Life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Insurance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190"/>
              <w:spacing w:before="136" w:line="220" w:lineRule="auto"/>
              <w:rPr/>
            </w:pPr>
            <w:r>
              <w:rPr>
                <w:spacing w:val="26"/>
              </w:rPr>
              <w:t>中国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0"/>
              <w:spacing w:before="157"/>
              <w:rPr/>
            </w:pPr>
            <w:r>
              <w:rPr>
                <w:spacing w:val="-5"/>
              </w:rPr>
              <w:t>1603</w:t>
            </w:r>
          </w:p>
        </w:tc>
        <w:tc>
          <w:tcPr>
            <w:tcW w:w="3325" w:type="dxa"/>
            <w:vAlign w:val="top"/>
          </w:tcPr>
          <w:p>
            <w:pPr>
              <w:pStyle w:val="TableText"/>
              <w:ind w:left="155"/>
              <w:spacing w:before="157"/>
              <w:rPr/>
            </w:pPr>
            <w:r>
              <w:rPr>
                <w:spacing w:val="-4"/>
              </w:rPr>
              <w:t>16400</w:t>
            </w:r>
          </w:p>
        </w:tc>
      </w:tr>
      <w:tr>
        <w:trPr>
          <w:trHeight w:val="609" w:hRule="atLeast"/>
        </w:trPr>
        <w:tc>
          <w:tcPr>
            <w:tcW w:w="2930" w:type="dxa"/>
            <w:vAlign w:val="top"/>
          </w:tcPr>
          <w:p>
            <w:pPr>
              <w:pStyle w:val="TableText"/>
              <w:ind w:left="40"/>
              <w:spacing w:before="183" w:line="238" w:lineRule="auto"/>
              <w:rPr/>
            </w:pPr>
            <w:r>
              <w:rPr>
                <w:spacing w:val="-3"/>
                <w:position w:val="-2"/>
              </w:rPr>
              <w:t>3</w:t>
            </w:r>
            <w:r>
              <w:rPr>
                <w:spacing w:val="43"/>
                <w:position w:val="-2"/>
              </w:rPr>
              <w:t xml:space="preserve">  </w:t>
            </w:r>
            <w:r>
              <w:rPr>
                <w:spacing w:val="-3"/>
              </w:rPr>
              <w:t>Ping An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Insurance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190"/>
              <w:spacing w:before="191" w:line="220" w:lineRule="auto"/>
              <w:rPr/>
            </w:pPr>
            <w:r>
              <w:rPr>
                <w:spacing w:val="26"/>
              </w:rPr>
              <w:t>中国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0"/>
              <w:spacing w:before="212"/>
              <w:rPr/>
            </w:pPr>
            <w:r>
              <w:rPr>
                <w:spacing w:val="-5"/>
              </w:rPr>
              <w:t>1586</w:t>
            </w:r>
          </w:p>
        </w:tc>
        <w:tc>
          <w:tcPr>
            <w:tcW w:w="3325" w:type="dxa"/>
            <w:vAlign w:val="top"/>
          </w:tcPr>
          <w:p>
            <w:pPr>
              <w:pStyle w:val="TableText"/>
              <w:ind w:left="155"/>
              <w:spacing w:before="212"/>
              <w:rPr/>
            </w:pPr>
            <w:r>
              <w:rPr>
                <w:spacing w:val="-4"/>
              </w:rPr>
              <w:t>16300</w:t>
            </w:r>
          </w:p>
        </w:tc>
      </w:tr>
      <w:tr>
        <w:trPr>
          <w:trHeight w:val="609" w:hRule="atLeast"/>
        </w:trPr>
        <w:tc>
          <w:tcPr>
            <w:tcW w:w="2930" w:type="dxa"/>
            <w:vAlign w:val="top"/>
          </w:tcPr>
          <w:p>
            <w:pPr>
              <w:pStyle w:val="TableText"/>
              <w:ind w:left="43"/>
              <w:spacing w:before="204"/>
              <w:rPr/>
            </w:pPr>
            <w:r>
              <w:rPr>
                <w:b/>
                <w:bCs/>
                <w:spacing w:val="-2"/>
              </w:rPr>
              <w:t>4</w:t>
            </w:r>
            <w:r>
              <w:rPr>
                <w:spacing w:val="34"/>
              </w:rPr>
              <w:t xml:space="preserve">  </w:t>
            </w:r>
            <w:r>
              <w:rPr>
                <w:spacing w:val="-2"/>
              </w:rPr>
              <w:t>Allianz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190"/>
              <w:spacing w:before="185" w:line="222" w:lineRule="auto"/>
              <w:rPr/>
            </w:pPr>
            <w:r>
              <w:rPr>
                <w:spacing w:val="11"/>
              </w:rPr>
              <w:t>德国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0"/>
              <w:spacing w:before="203"/>
              <w:rPr/>
            </w:pPr>
            <w:r>
              <w:rPr>
                <w:spacing w:val="-5"/>
              </w:rPr>
              <w:t>1579</w:t>
            </w:r>
          </w:p>
        </w:tc>
        <w:tc>
          <w:tcPr>
            <w:tcW w:w="3325" w:type="dxa"/>
            <w:vAlign w:val="top"/>
          </w:tcPr>
          <w:p>
            <w:pPr>
              <w:pStyle w:val="TableText"/>
              <w:ind w:left="155"/>
              <w:spacing w:before="203"/>
              <w:rPr/>
            </w:pPr>
            <w:r>
              <w:rPr>
                <w:spacing w:val="-4"/>
              </w:rPr>
              <w:t>11000</w:t>
            </w:r>
          </w:p>
        </w:tc>
      </w:tr>
      <w:tr>
        <w:trPr>
          <w:trHeight w:val="609" w:hRule="atLeast"/>
        </w:trPr>
        <w:tc>
          <w:tcPr>
            <w:tcW w:w="2930" w:type="dxa"/>
            <w:vAlign w:val="top"/>
          </w:tcPr>
          <w:p>
            <w:pPr>
              <w:pStyle w:val="TableText"/>
              <w:ind w:left="43"/>
              <w:spacing w:before="212"/>
              <w:rPr/>
            </w:pPr>
            <w:r>
              <w:rPr>
                <w:b/>
                <w:bCs/>
                <w:spacing w:val="-5"/>
              </w:rPr>
              <w:t>5</w:t>
            </w:r>
            <w:r>
              <w:rPr>
                <w:spacing w:val="36"/>
              </w:rPr>
              <w:t xml:space="preserve">  </w:t>
            </w:r>
            <w:r>
              <w:rPr>
                <w:spacing w:val="-5"/>
              </w:rPr>
              <w:t>AXA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190"/>
              <w:spacing w:before="196" w:line="222" w:lineRule="auto"/>
              <w:rPr/>
            </w:pPr>
            <w:r>
              <w:rPr>
                <w:spacing w:val="11"/>
              </w:rPr>
              <w:t>法国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0"/>
              <w:spacing w:before="214"/>
              <w:rPr/>
            </w:pPr>
            <w:r>
              <w:rPr>
                <w:spacing w:val="-5"/>
              </w:rPr>
              <w:t>1207</w:t>
            </w:r>
          </w:p>
        </w:tc>
        <w:tc>
          <w:tcPr>
            <w:tcW w:w="3325" w:type="dxa"/>
            <w:vAlign w:val="top"/>
          </w:tcPr>
          <w:p>
            <w:pPr>
              <w:pStyle w:val="TableText"/>
              <w:ind w:left="155"/>
              <w:spacing w:before="214"/>
              <w:rPr/>
            </w:pPr>
            <w:r>
              <w:rPr>
                <w:spacing w:val="-4"/>
              </w:rPr>
              <w:t>10300</w:t>
            </w:r>
          </w:p>
        </w:tc>
      </w:tr>
      <w:tr>
        <w:trPr>
          <w:trHeight w:val="612" w:hRule="atLeast"/>
        </w:trPr>
        <w:tc>
          <w:tcPr>
            <w:tcW w:w="2930" w:type="dxa"/>
            <w:vAlign w:val="top"/>
          </w:tcPr>
          <w:p>
            <w:pPr>
              <w:pStyle w:val="TableText"/>
              <w:ind w:left="43"/>
              <w:spacing w:before="187" w:line="237" w:lineRule="auto"/>
              <w:rPr/>
            </w:pPr>
            <w:r>
              <w:rPr>
                <w:b/>
                <w:bCs/>
                <w:spacing w:val="-2"/>
                <w:position w:val="-2"/>
              </w:rPr>
              <w:t>6</w:t>
            </w:r>
            <w:r>
              <w:rPr>
                <w:spacing w:val="37"/>
                <w:position w:val="-2"/>
              </w:rPr>
              <w:t xml:space="preserve">  </w:t>
            </w:r>
            <w:r>
              <w:rPr>
                <w:spacing w:val="-2"/>
              </w:rPr>
              <w:t>Nippon Life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Insurance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190"/>
              <w:spacing w:before="192" w:line="219" w:lineRule="auto"/>
              <w:rPr/>
            </w:pPr>
            <w:r>
              <w:rPr>
                <w:spacing w:val="9"/>
              </w:rPr>
              <w:t>日本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0"/>
              <w:spacing w:before="215"/>
              <w:rPr/>
            </w:pPr>
            <w:r>
              <w:rPr>
                <w:spacing w:val="-3"/>
              </w:rPr>
              <w:t>935</w:t>
            </w:r>
          </w:p>
        </w:tc>
        <w:tc>
          <w:tcPr>
            <w:tcW w:w="3325" w:type="dxa"/>
            <w:vAlign w:val="top"/>
          </w:tcPr>
          <w:p>
            <w:pPr>
              <w:pStyle w:val="TableText"/>
              <w:ind w:left="155"/>
              <w:spacing w:before="215"/>
              <w:rPr/>
            </w:pPr>
            <w:r>
              <w:rPr>
                <w:spacing w:val="-2"/>
              </w:rPr>
              <w:t>8100</w:t>
            </w:r>
          </w:p>
        </w:tc>
      </w:tr>
      <w:tr>
        <w:trPr>
          <w:trHeight w:val="614" w:hRule="atLeast"/>
        </w:trPr>
        <w:tc>
          <w:tcPr>
            <w:tcW w:w="2930" w:type="dxa"/>
            <w:vAlign w:val="top"/>
          </w:tcPr>
          <w:p>
            <w:pPr>
              <w:pStyle w:val="TableText"/>
              <w:ind w:left="40"/>
              <w:spacing w:before="213"/>
              <w:rPr/>
            </w:pPr>
            <w:r>
              <w:rPr>
                <w:spacing w:val="-2"/>
              </w:rPr>
              <w:t>7</w:t>
            </w:r>
            <w:r>
              <w:rPr>
                <w:spacing w:val="44"/>
              </w:rPr>
              <w:t xml:space="preserve">  </w:t>
            </w:r>
            <w:r>
              <w:rPr>
                <w:spacing w:val="-2"/>
              </w:rPr>
              <w:t>Prudential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Financial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190"/>
              <w:spacing w:before="192" w:line="220" w:lineRule="auto"/>
              <w:rPr/>
            </w:pPr>
            <w:r>
              <w:rPr>
                <w:spacing w:val="11"/>
              </w:rPr>
              <w:t>美国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0"/>
              <w:spacing w:before="213"/>
              <w:rPr/>
            </w:pPr>
            <w:r>
              <w:rPr>
                <w:spacing w:val="-3"/>
              </w:rPr>
              <w:t>929</w:t>
            </w:r>
          </w:p>
        </w:tc>
        <w:tc>
          <w:tcPr>
            <w:tcW w:w="3325" w:type="dxa"/>
            <w:vAlign w:val="top"/>
          </w:tcPr>
          <w:p>
            <w:pPr>
              <w:pStyle w:val="TableText"/>
              <w:ind w:left="155"/>
              <w:spacing w:before="213"/>
              <w:rPr/>
            </w:pPr>
            <w:r>
              <w:rPr>
                <w:spacing w:val="-3"/>
              </w:rPr>
              <w:t>7200</w:t>
            </w:r>
          </w:p>
        </w:tc>
      </w:tr>
      <w:tr>
        <w:trPr>
          <w:trHeight w:val="591" w:hRule="atLeast"/>
        </w:trPr>
        <w:tc>
          <w:tcPr>
            <w:tcW w:w="2930" w:type="dxa"/>
            <w:vAlign w:val="top"/>
          </w:tcPr>
          <w:p>
            <w:pPr>
              <w:pStyle w:val="TableText"/>
              <w:ind w:left="40"/>
              <w:spacing w:before="219"/>
              <w:rPr/>
            </w:pPr>
            <w:r>
              <w:rPr>
                <w:spacing w:val="-2"/>
              </w:rPr>
              <w:t>8</w:t>
            </w:r>
            <w:r>
              <w:rPr>
                <w:spacing w:val="36"/>
              </w:rPr>
              <w:t xml:space="preserve">  </w:t>
            </w:r>
            <w:r>
              <w:rPr>
                <w:spacing w:val="-2"/>
              </w:rPr>
              <w:t>MetLife</w:t>
            </w:r>
          </w:p>
        </w:tc>
        <w:tc>
          <w:tcPr>
            <w:tcW w:w="1230" w:type="dxa"/>
            <w:vAlign w:val="top"/>
          </w:tcPr>
          <w:p>
            <w:pPr>
              <w:pStyle w:val="TableText"/>
              <w:ind w:left="190"/>
              <w:spacing w:before="198" w:line="220" w:lineRule="auto"/>
              <w:rPr/>
            </w:pPr>
            <w:r>
              <w:rPr>
                <w:spacing w:val="11"/>
              </w:rPr>
              <w:t>美国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20"/>
              <w:spacing w:before="219"/>
              <w:rPr/>
            </w:pPr>
            <w:r>
              <w:rPr>
                <w:spacing w:val="-3"/>
              </w:rPr>
              <w:t>913</w:t>
            </w:r>
          </w:p>
        </w:tc>
        <w:tc>
          <w:tcPr>
            <w:tcW w:w="3325" w:type="dxa"/>
            <w:vAlign w:val="top"/>
          </w:tcPr>
          <w:p>
            <w:pPr>
              <w:pStyle w:val="TableText"/>
              <w:ind w:left="155"/>
              <w:spacing w:before="219"/>
              <w:rPr/>
            </w:pPr>
            <w:r>
              <w:rPr>
                <w:spacing w:val="-2"/>
              </w:rPr>
              <w:t>6900</w:t>
            </w:r>
          </w:p>
        </w:tc>
      </w:tr>
      <w:tr>
        <w:trPr>
          <w:trHeight w:val="532" w:hRule="atLeast"/>
        </w:trPr>
        <w:tc>
          <w:tcPr>
            <w:tcW w:w="293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0"/>
              <w:spacing w:before="170" w:line="238" w:lineRule="auto"/>
              <w:rPr/>
            </w:pPr>
            <w:r>
              <w:rPr>
                <w:spacing w:val="-2"/>
                <w:position w:val="-2"/>
              </w:rPr>
              <w:t>9</w:t>
            </w:r>
            <w:r>
              <w:rPr>
                <w:spacing w:val="26"/>
                <w:position w:val="-2"/>
              </w:rPr>
              <w:t xml:space="preserve">   </w:t>
            </w:r>
            <w:r>
              <w:rPr>
                <w:spacing w:val="-2"/>
              </w:rPr>
              <w:t>Japan Post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Insurance</w:t>
            </w:r>
          </w:p>
        </w:tc>
        <w:tc>
          <w:tcPr>
            <w:tcW w:w="123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0"/>
              <w:spacing w:before="175" w:line="219" w:lineRule="auto"/>
              <w:rPr/>
            </w:pPr>
            <w:r>
              <w:rPr>
                <w:spacing w:val="9"/>
              </w:rPr>
              <w:t>日本</w:t>
            </w:r>
          </w:p>
        </w:tc>
        <w:tc>
          <w:tcPr>
            <w:tcW w:w="241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0"/>
              <w:spacing w:before="198"/>
              <w:rPr/>
            </w:pPr>
            <w:r>
              <w:rPr>
                <w:spacing w:val="-3"/>
              </w:rPr>
              <w:t>890</w:t>
            </w:r>
          </w:p>
        </w:tc>
        <w:tc>
          <w:tcPr>
            <w:tcW w:w="332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5"/>
              <w:spacing w:before="198"/>
              <w:rPr/>
            </w:pPr>
            <w:r>
              <w:rPr>
                <w:spacing w:val="-2"/>
              </w:rPr>
              <w:t>6200</w:t>
            </w:r>
          </w:p>
        </w:tc>
      </w:tr>
    </w:tbl>
    <w:p>
      <w:pPr>
        <w:pStyle w:val="BodyText"/>
        <w:ind w:left="40"/>
        <w:spacing w:before="223" w:line="30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Arial" w:hAnsi="Arial" w:eastAsia="Arial" w:cs="Arial"/>
          <w:sz w:val="22"/>
          <w:szCs w:val="22"/>
          <w:spacing w:val="-1"/>
          <w:position w:val="1"/>
        </w:rPr>
        <w:t>10       Assicurazioni Generali</w:t>
      </w:r>
      <w:r>
        <w:rPr>
          <w:rFonts w:ascii="Arial" w:hAnsi="Arial" w:eastAsia="Arial" w:cs="Arial"/>
          <w:sz w:val="22"/>
          <w:szCs w:val="22"/>
          <w:spacing w:val="2"/>
          <w:position w:val="1"/>
        </w:rPr>
        <w:t xml:space="preserve">    </w:t>
      </w:r>
      <w:r>
        <w:rPr>
          <w:sz w:val="22"/>
          <w:szCs w:val="22"/>
          <w:spacing w:val="-1"/>
          <w:position w:val="1"/>
        </w:rPr>
        <w:t>意大利</w:t>
      </w:r>
      <w:r>
        <w:rPr>
          <w:sz w:val="22"/>
          <w:szCs w:val="22"/>
          <w:spacing w:val="-1"/>
          <w:position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881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                                7500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jc w:val="right"/>
        <w:rPr>
          <w:sz w:val="22"/>
          <w:szCs w:val="22"/>
        </w:rPr>
      </w:pPr>
      <w:r>
        <w:rPr>
          <w:sz w:val="22"/>
          <w:szCs w:val="22"/>
          <w:spacing w:val="10"/>
        </w:rPr>
        <w:t>数据来源：</w:t>
      </w:r>
      <w:r>
        <w:rPr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S&amp;</w:t>
      </w:r>
      <w:r>
        <w:rPr>
          <w:rFonts w:ascii="SimSun" w:hAnsi="SimSun" w:eastAsia="SimSun" w:cs="SimSun"/>
          <w:sz w:val="22"/>
          <w:szCs w:val="22"/>
        </w:rPr>
        <w:t>P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    </w:t>
      </w:r>
      <w:r>
        <w:rPr>
          <w:rFonts w:ascii="SimSun" w:hAnsi="SimSun" w:eastAsia="SimSun" w:cs="SimSun"/>
          <w:sz w:val="22"/>
          <w:szCs w:val="22"/>
        </w:rPr>
        <w:t>Global</w:t>
      </w:r>
      <w:r>
        <w:rPr>
          <w:rFonts w:ascii="SimSun" w:hAnsi="SimSun" w:eastAsia="SimSun" w:cs="SimSun"/>
          <w:sz w:val="22"/>
          <w:szCs w:val="22"/>
          <w:spacing w:val="10"/>
        </w:rPr>
        <w:t>、</w:t>
      </w:r>
      <w:r>
        <w:rPr>
          <w:rFonts w:ascii="SimSun" w:hAnsi="SimSun" w:eastAsia="SimSun" w:cs="SimSun"/>
          <w:sz w:val="22"/>
          <w:szCs w:val="22"/>
        </w:rPr>
        <w:t>Statista</w:t>
      </w:r>
      <w:r>
        <w:rPr>
          <w:rFonts w:ascii="SimSun" w:hAnsi="SimSun" w:eastAsia="SimSun" w:cs="SimSun"/>
          <w:sz w:val="22"/>
          <w:szCs w:val="22"/>
          <w:spacing w:val="10"/>
        </w:rPr>
        <w:t>、</w:t>
      </w:r>
      <w:r>
        <w:rPr>
          <w:rFonts w:ascii="SimSun" w:hAnsi="SimSun" w:eastAsia="SimSun" w:cs="SimSun"/>
          <w:sz w:val="22"/>
          <w:szCs w:val="22"/>
        </w:rPr>
        <w:t>Forbes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0"/>
        </w:rPr>
        <w:t>和</w:t>
      </w:r>
      <w:r>
        <w:rPr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AM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  </w:t>
      </w:r>
      <w:r>
        <w:rPr>
          <w:rFonts w:ascii="SimSun" w:hAnsi="SimSun" w:eastAsia="SimSun" w:cs="SimSun"/>
          <w:sz w:val="22"/>
          <w:szCs w:val="22"/>
        </w:rPr>
        <w:t>Best</w:t>
      </w:r>
      <w:r>
        <w:rPr>
          <w:rFonts w:ascii="SimSun" w:hAnsi="SimSun" w:eastAsia="SimSun" w:cs="SimSun"/>
          <w:sz w:val="22"/>
          <w:szCs w:val="22"/>
          <w:spacing w:val="10"/>
        </w:rPr>
        <w:t>。</w:t>
      </w:r>
      <w:r>
        <w:rPr>
          <w:sz w:val="22"/>
          <w:szCs w:val="22"/>
          <w:spacing w:val="10"/>
        </w:rPr>
        <w:t>这些公司代</w:t>
      </w:r>
      <w:r>
        <w:rPr>
          <w:sz w:val="22"/>
          <w:szCs w:val="22"/>
          <w:spacing w:val="9"/>
        </w:rPr>
        <w:t>表了全球保险行业的多样</w:t>
      </w:r>
    </w:p>
    <w:p>
      <w:pPr>
        <w:pStyle w:val="BodyText"/>
        <w:ind w:left="40"/>
        <w:spacing w:before="137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性，美国和中国公司占比最高，欧洲和日本公司注重稳定增长。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72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公司详细信息</w:t>
      </w:r>
    </w:p>
    <w:p>
      <w:pPr>
        <w:pStyle w:val="BodyText"/>
        <w:ind w:left="40" w:right="167"/>
        <w:spacing w:before="228" w:line="358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以下按排名顺序，为每家公司描述五个方面：融资情况、信誉度、过往五年</w:t>
      </w:r>
      <w:r>
        <w:rPr>
          <w:sz w:val="22"/>
          <w:szCs w:val="22"/>
          <w:spacing w:val="19"/>
        </w:rPr>
        <w:t>增长幅度、实际分红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以及未来在中国发展潜力。信息基于最新财务报告和评级机构数据，确保有据可查。</w:t>
      </w:r>
    </w:p>
    <w:p>
      <w:pPr>
        <w:pStyle w:val="BodyText"/>
        <w:ind w:left="40"/>
        <w:spacing w:before="58" w:line="212" w:lineRule="auto"/>
        <w:outlineLvl w:val="2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0"/>
        </w:rPr>
        <w:t>1.Berkshire Hathaway</w:t>
      </w:r>
      <w:r>
        <w:rPr>
          <w:sz w:val="28"/>
          <w:szCs w:val="28"/>
          <w:b/>
          <w:bCs/>
          <w:spacing w:val="-10"/>
        </w:rPr>
        <w:t>(美国)</w:t>
      </w:r>
    </w:p>
    <w:p>
      <w:pPr>
        <w:spacing w:line="212" w:lineRule="auto"/>
        <w:sectPr>
          <w:pgSz w:w="12240" w:h="15840"/>
          <w:pgMar w:top="1234" w:right="1009" w:bottom="0" w:left="949" w:header="0" w:footer="0" w:gutter="0"/>
        </w:sectPr>
        <w:rPr>
          <w:sz w:val="28"/>
          <w:szCs w:val="28"/>
        </w:rPr>
      </w:pPr>
    </w:p>
    <w:p>
      <w:pPr>
        <w:pStyle w:val="BodyText"/>
        <w:ind w:left="496" w:right="72" w:hanging="140"/>
        <w:spacing w:before="47" w:line="284" w:lineRule="auto"/>
        <w:rPr/>
      </w:pPr>
      <w:r>
        <w:rPr>
          <w:spacing w:val="7"/>
        </w:rPr>
        <w:t>·</w:t>
      </w:r>
      <w:r>
        <w:rPr>
          <w:spacing w:val="-99"/>
        </w:rPr>
        <w:t xml:space="preserve"> </w:t>
      </w:r>
      <w:r>
        <w:rPr>
          <w:spacing w:val="7"/>
        </w:rPr>
        <w:t>融资情况：主要资金来源为保险浮存金(2025年达1730亿美元)和子公司运营现金流。资</w:t>
      </w:r>
      <w:r>
        <w:rPr/>
        <w:t xml:space="preserve">  </w:t>
      </w:r>
      <w:r>
        <w:rPr>
          <w:spacing w:val="16"/>
        </w:rPr>
        <w:t>本结构以股东权益为主(占总资产约50%),偶尔发</w:t>
      </w:r>
      <w:r>
        <w:rPr>
          <w:spacing w:val="15"/>
        </w:rPr>
        <w:t>行债券(如2025年通过子公司发行数十</w:t>
      </w:r>
      <w:r>
        <w:rPr/>
        <w:t xml:space="preserve"> </w:t>
      </w:r>
      <w:r>
        <w:rPr>
          <w:spacing w:val="4"/>
        </w:rPr>
        <w:t>亿美元债券用于再投资)。无频繁增资，依赖内部生成资金。</w:t>
      </w:r>
    </w:p>
    <w:p>
      <w:pPr>
        <w:pStyle w:val="BodyText"/>
        <w:ind w:left="356"/>
        <w:spacing w:before="289" w:line="218" w:lineRule="auto"/>
        <w:rPr/>
      </w:pPr>
      <w:r>
        <w:rPr>
          <w:spacing w:val="3"/>
        </w:rPr>
        <w:t>·</w:t>
      </w:r>
      <w:r>
        <w:rPr>
          <w:spacing w:val="-102"/>
        </w:rPr>
        <w:t xml:space="preserve"> </w:t>
      </w:r>
      <w:r>
        <w:rPr>
          <w:spacing w:val="3"/>
        </w:rPr>
        <w:t>信誉度：</w:t>
      </w:r>
      <w:r>
        <w:rPr>
          <w:rFonts w:ascii="SimSun" w:hAnsi="SimSun" w:eastAsia="SimSun" w:cs="SimSun"/>
          <w:spacing w:val="3"/>
        </w:rPr>
        <w:t>S&amp;P</w:t>
      </w:r>
      <w:r>
        <w:rPr>
          <w:rFonts w:ascii="SimSun" w:hAnsi="SimSun" w:eastAsia="SimSun" w:cs="SimSun"/>
          <w:spacing w:val="41"/>
        </w:rPr>
        <w:t xml:space="preserve"> </w:t>
      </w:r>
      <w:r>
        <w:rPr>
          <w:spacing w:val="3"/>
        </w:rPr>
        <w:t>评级</w:t>
      </w:r>
      <w:r>
        <w:rPr>
          <w:rFonts w:ascii="SimSun" w:hAnsi="SimSun" w:eastAsia="SimSun" w:cs="SimSun"/>
        </w:rPr>
        <w:t>AA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spacing w:val="3"/>
        </w:rPr>
        <w:t>(稳定展望),</w:t>
      </w:r>
      <w:r>
        <w:rPr>
          <w:rFonts w:ascii="SimSun" w:hAnsi="SimSun" w:eastAsia="SimSun" w:cs="SimSun"/>
        </w:rPr>
        <w:t>Moody</w:t>
      </w:r>
      <w:r>
        <w:rPr>
          <w:rFonts w:ascii="SimSun" w:hAnsi="SimSun" w:eastAsia="SimSun" w:cs="SimSun"/>
          <w:spacing w:val="3"/>
        </w:rPr>
        <w:t>'</w:t>
      </w:r>
      <w:r>
        <w:rPr>
          <w:rFonts w:ascii="SimSun" w:hAnsi="SimSun" w:eastAsia="SimSun" w:cs="SimSun"/>
        </w:rPr>
        <w:t>s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</w:rPr>
        <w:t>Aa</w:t>
      </w:r>
      <w:r>
        <w:rPr>
          <w:rFonts w:ascii="SimSun" w:hAnsi="SimSun" w:eastAsia="SimSun" w:cs="SimSun"/>
          <w:spacing w:val="3"/>
        </w:rPr>
        <w:t>2 </w:t>
      </w:r>
      <w:r>
        <w:rPr>
          <w:spacing w:val="3"/>
        </w:rPr>
        <w:t>(稳定展望),</w:t>
      </w:r>
      <w:r>
        <w:rPr>
          <w:spacing w:val="2"/>
        </w:rPr>
        <w:t>反映强劲资本化和低杠杆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496"/>
        <w:spacing w:before="23" w:line="188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</w:rPr>
        <w:t>0</w:t>
      </w:r>
    </w:p>
    <w:p>
      <w:pPr>
        <w:pStyle w:val="BodyText"/>
        <w:ind w:left="496" w:hanging="140"/>
        <w:spacing w:before="291" w:line="268" w:lineRule="auto"/>
        <w:rPr/>
      </w:pPr>
      <w:r>
        <w:rPr>
          <w:spacing w:val="12"/>
        </w:rPr>
        <w:t>·</w:t>
      </w:r>
      <w:r>
        <w:rPr>
          <w:spacing w:val="-96"/>
        </w:rPr>
        <w:t xml:space="preserve"> </w:t>
      </w:r>
      <w:r>
        <w:rPr>
          <w:spacing w:val="12"/>
        </w:rPr>
        <w:t>过往五年增长幅度：2021-2025年收入年均增长7.48%,从2021年的2760亿美元</w:t>
      </w:r>
      <w:r>
        <w:rPr>
          <w:spacing w:val="11"/>
        </w:rPr>
        <w:t>增至2025</w:t>
      </w:r>
      <w:r>
        <w:rPr/>
        <w:t xml:space="preserve"> </w:t>
      </w:r>
      <w:r>
        <w:rPr>
          <w:spacing w:val="10"/>
        </w:rPr>
        <w:t>年的3721亿美元。利润波动大，2023年达962</w:t>
      </w:r>
      <w:r>
        <w:rPr>
          <w:spacing w:val="9"/>
        </w:rPr>
        <w:t>亿美元，受益于投资回报。</w:t>
      </w:r>
    </w:p>
    <w:p>
      <w:pPr>
        <w:pStyle w:val="BodyText"/>
        <w:ind w:left="496" w:right="6" w:hanging="140"/>
        <w:spacing w:before="251" w:line="281" w:lineRule="auto"/>
        <w:rPr/>
      </w:pPr>
      <w:r>
        <w:rPr/>
        <w:t>·</w:t>
      </w:r>
      <w:r>
        <w:rPr>
          <w:spacing w:val="-84"/>
        </w:rPr>
        <w:t xml:space="preserve"> </w:t>
      </w:r>
      <w:r>
        <w:rPr/>
        <w:t>实际分红：不支付常规股息，而是通过股票回购回报股东。2025年回购数十亿美元股份，优</w:t>
      </w:r>
      <w:r>
        <w:rPr/>
        <w:t xml:space="preserve"> </w:t>
      </w:r>
      <w:r>
        <w:rPr>
          <w:spacing w:val="14"/>
        </w:rPr>
        <w:t>先资本再投资。</w:t>
      </w:r>
    </w:p>
    <w:p>
      <w:pPr>
        <w:pStyle w:val="BodyText"/>
        <w:ind w:left="495" w:right="111" w:hanging="136"/>
        <w:spacing w:before="251" w:line="264" w:lineRule="auto"/>
        <w:rPr/>
      </w:pPr>
      <w:r>
        <w:rPr>
          <w:b/>
          <w:bCs/>
          <w:spacing w:val="3"/>
        </w:rPr>
        <w:t>·未来在中国发展潜力：</w:t>
      </w:r>
      <w:r>
        <w:rPr>
          <w:spacing w:val="3"/>
        </w:rPr>
        <w:t>在中国活动有限，主要通过</w:t>
      </w:r>
      <w:r>
        <w:rPr>
          <w:rFonts w:ascii="SimSun" w:hAnsi="SimSun" w:eastAsia="SimSun" w:cs="SimSun"/>
        </w:rPr>
        <w:t>BYD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spacing w:val="3"/>
        </w:rPr>
        <w:t>投资(2025年完全退出)。未来潜力</w:t>
      </w:r>
      <w:r>
        <w:rPr>
          <w:spacing w:val="13"/>
        </w:rPr>
        <w:t xml:space="preserve"> </w:t>
      </w:r>
      <w:r>
        <w:rPr>
          <w:spacing w:val="4"/>
        </w:rPr>
        <w:t>中等，聚焦电动车和新兴市场，但受中美贸</w:t>
      </w:r>
      <w:r>
        <w:rPr>
          <w:spacing w:val="3"/>
        </w:rPr>
        <w:t>易影响。</w:t>
      </w:r>
    </w:p>
    <w:p>
      <w:pPr>
        <w:pStyle w:val="BodyText"/>
        <w:spacing w:before="284" w:line="222" w:lineRule="auto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27"/>
        </w:rPr>
        <w:t>2.China</w:t>
      </w:r>
      <w:r>
        <w:rPr>
          <w:rFonts w:ascii="SimSun" w:hAnsi="SimSun" w:eastAsia="SimSun" w:cs="SimSun"/>
          <w:sz w:val="29"/>
          <w:szCs w:val="29"/>
          <w:spacing w:val="-27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27"/>
        </w:rPr>
        <w:t>Life</w:t>
      </w:r>
      <w:r>
        <w:rPr>
          <w:rFonts w:ascii="SimSun" w:hAnsi="SimSun" w:eastAsia="SimSun" w:cs="SimSun"/>
          <w:sz w:val="29"/>
          <w:szCs w:val="29"/>
          <w:spacing w:val="-27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27"/>
        </w:rPr>
        <w:t>Insura</w:t>
      </w:r>
      <w:r>
        <w:rPr>
          <w:rFonts w:ascii="SimSun" w:hAnsi="SimSun" w:eastAsia="SimSun" w:cs="SimSun"/>
          <w:sz w:val="29"/>
          <w:szCs w:val="29"/>
          <w:b/>
          <w:bCs/>
          <w:spacing w:val="-28"/>
        </w:rPr>
        <w:t>nce</w:t>
      </w:r>
      <w:r>
        <w:rPr>
          <w:sz w:val="29"/>
          <w:szCs w:val="29"/>
          <w:b/>
          <w:bCs/>
          <w:spacing w:val="-28"/>
        </w:rPr>
        <w:t>(中国)</w:t>
      </w:r>
    </w:p>
    <w:p>
      <w:pPr>
        <w:pStyle w:val="BodyText"/>
        <w:ind w:left="496" w:right="66" w:hanging="140"/>
        <w:spacing w:before="210" w:line="280" w:lineRule="auto"/>
        <w:rPr/>
      </w:pPr>
      <w:r>
        <w:rPr>
          <w:spacing w:val="10"/>
        </w:rPr>
        <w:t>·</w:t>
      </w:r>
      <w:r>
        <w:rPr>
          <w:spacing w:val="-98"/>
        </w:rPr>
        <w:t xml:space="preserve"> </w:t>
      </w:r>
      <w:r>
        <w:rPr>
          <w:spacing w:val="10"/>
        </w:rPr>
        <w:t>融资情况：资金主要来自保费收入和投资回报。资本结构以权益为主(占60%)</w:t>
      </w:r>
      <w:r>
        <w:rPr>
          <w:spacing w:val="9"/>
        </w:rPr>
        <w:t>,2025年发</w:t>
      </w:r>
      <w:r>
        <w:rPr/>
        <w:t xml:space="preserve"> </w:t>
      </w:r>
      <w:r>
        <w:rPr>
          <w:spacing w:val="5"/>
        </w:rPr>
        <w:t>行数十亿元资本补充债券以优化结构。</w:t>
      </w:r>
    </w:p>
    <w:p>
      <w:pPr>
        <w:pStyle w:val="BodyText"/>
        <w:ind w:left="496" w:right="123" w:hanging="140"/>
        <w:spacing w:before="249" w:line="277" w:lineRule="auto"/>
        <w:rPr/>
      </w:pPr>
      <w:r>
        <w:rPr>
          <w:spacing w:val="3"/>
        </w:rPr>
        <w:t>·</w:t>
      </w:r>
      <w:r>
        <w:rPr>
          <w:spacing w:val="-94"/>
        </w:rPr>
        <w:t xml:space="preserve"> </w:t>
      </w:r>
      <w:r>
        <w:rPr>
          <w:spacing w:val="3"/>
        </w:rPr>
        <w:t>信誉度：</w:t>
      </w:r>
      <w:r>
        <w:rPr>
          <w:rFonts w:ascii="SimSun" w:hAnsi="SimSun" w:eastAsia="SimSun" w:cs="SimSun"/>
          <w:spacing w:val="3"/>
        </w:rPr>
        <w:t>S&amp;</w:t>
      </w:r>
      <w:r>
        <w:rPr>
          <w:rFonts w:ascii="SimSun" w:hAnsi="SimSun" w:eastAsia="SimSun" w:cs="SimSun"/>
        </w:rPr>
        <w:t>PA</w:t>
      </w:r>
      <w:r>
        <w:rPr>
          <w:rFonts w:ascii="SimSun" w:hAnsi="SimSun" w:eastAsia="SimSun" w:cs="SimSun"/>
          <w:spacing w:val="3"/>
        </w:rPr>
        <w:t>+   </w:t>
      </w:r>
      <w:r>
        <w:rPr>
          <w:spacing w:val="3"/>
        </w:rPr>
        <w:t>(稳定展望),</w:t>
      </w:r>
      <w:r>
        <w:rPr>
          <w:rFonts w:ascii="SimSun" w:hAnsi="SimSun" w:eastAsia="SimSun" w:cs="SimSun"/>
        </w:rPr>
        <w:t>Moody</w:t>
      </w:r>
      <w:r>
        <w:rPr>
          <w:rFonts w:ascii="SimSun" w:hAnsi="SimSun" w:eastAsia="SimSun" w:cs="SimSun"/>
          <w:spacing w:val="3"/>
        </w:rPr>
        <w:t>'</w:t>
      </w:r>
      <w:r>
        <w:rPr>
          <w:rFonts w:ascii="SimSun" w:hAnsi="SimSun" w:eastAsia="SimSun" w:cs="SimSun"/>
        </w:rPr>
        <w:t>s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</w:rPr>
        <w:t>A</w:t>
      </w:r>
      <w:r>
        <w:rPr>
          <w:rFonts w:ascii="SimSun" w:hAnsi="SimSun" w:eastAsia="SimSun" w:cs="SimSun"/>
          <w:spacing w:val="3"/>
        </w:rPr>
        <w:t>1 </w:t>
      </w:r>
      <w:r>
        <w:rPr>
          <w:spacing w:val="3"/>
        </w:rPr>
        <w:t>(负面展望),得益于国家支持但受经济波动影</w:t>
      </w:r>
      <w:r>
        <w:rPr/>
        <w:t xml:space="preserve"> </w:t>
      </w:r>
      <w:r>
        <w:rPr>
          <w:spacing w:val="-10"/>
        </w:rPr>
        <w:t>响</w:t>
      </w:r>
      <w:r>
        <w:rPr>
          <w:spacing w:val="19"/>
        </w:rPr>
        <w:t xml:space="preserve"> </w:t>
      </w:r>
      <w:r>
        <w:rPr>
          <w:spacing w:val="-10"/>
        </w:rPr>
        <w:t>。</w:t>
      </w:r>
    </w:p>
    <w:p>
      <w:pPr>
        <w:pStyle w:val="BodyText"/>
        <w:ind w:left="496" w:right="97" w:hanging="140"/>
        <w:spacing w:before="253" w:line="268" w:lineRule="auto"/>
        <w:rPr/>
      </w:pPr>
      <w:r>
        <w:rPr>
          <w:spacing w:val="11"/>
        </w:rPr>
        <w:t>·过往五年增长幅度：2021-2025年收入年均增长约5%,2025年达约722亿美元。利润增长</w:t>
      </w:r>
      <w:r>
        <w:rPr>
          <w:spacing w:val="16"/>
        </w:rPr>
        <w:t xml:space="preserve"> </w:t>
      </w:r>
      <w:r>
        <w:rPr>
          <w:spacing w:val="21"/>
        </w:rPr>
        <w:t>23.7%,2025年前三季度净利1678亿元人民币，增60%。</w:t>
      </w:r>
    </w:p>
    <w:p>
      <w:pPr>
        <w:pStyle w:val="BodyText"/>
        <w:ind w:left="356"/>
        <w:spacing w:before="263" w:line="213" w:lineRule="auto"/>
        <w:rPr/>
      </w:pPr>
      <w:r>
        <w:rPr>
          <w:spacing w:val="7"/>
        </w:rPr>
        <w:t>·</w:t>
      </w:r>
      <w:r>
        <w:rPr>
          <w:spacing w:val="-87"/>
        </w:rPr>
        <w:t xml:space="preserve"> </w:t>
      </w:r>
      <w:r>
        <w:rPr>
          <w:spacing w:val="7"/>
        </w:rPr>
        <w:t>实际分红：持续分红，2025年每股0.26港元，收益率约3.42%。</w:t>
      </w:r>
    </w:p>
    <w:p>
      <w:pPr>
        <w:pStyle w:val="BodyText"/>
        <w:ind w:left="496" w:right="231" w:hanging="140"/>
        <w:spacing w:before="254" w:line="264" w:lineRule="auto"/>
        <w:rPr/>
      </w:pPr>
      <w:r>
        <w:rPr>
          <w:spacing w:val="4"/>
        </w:rPr>
        <w:t>·未来在中国发展潜力：作为本土领导者，市场份额领先。未来潜力高，预计2026</w:t>
      </w:r>
      <w:r>
        <w:rPr>
          <w:spacing w:val="3"/>
        </w:rPr>
        <w:t>-2030年</w:t>
      </w:r>
      <w:r>
        <w:rPr/>
        <w:t xml:space="preserve"> </w:t>
      </w:r>
      <w:r>
        <w:rPr>
          <w:spacing w:val="8"/>
        </w:rPr>
        <w:t>保费增长至9270亿美元，受益于养老和健康保险需求。</w:t>
      </w:r>
    </w:p>
    <w:p>
      <w:pPr>
        <w:pStyle w:val="BodyText"/>
        <w:spacing w:before="303" w:line="217" w:lineRule="auto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23"/>
        </w:rPr>
        <w:t>3.Ping</w:t>
      </w:r>
      <w:r>
        <w:rPr>
          <w:rFonts w:ascii="SimSun" w:hAnsi="SimSun" w:eastAsia="SimSun" w:cs="SimSun"/>
          <w:sz w:val="29"/>
          <w:szCs w:val="29"/>
          <w:spacing w:val="-23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23"/>
        </w:rPr>
        <w:t>An</w:t>
      </w:r>
      <w:r>
        <w:rPr>
          <w:rFonts w:ascii="SimSun" w:hAnsi="SimSun" w:eastAsia="SimSun" w:cs="SimSun"/>
          <w:sz w:val="29"/>
          <w:szCs w:val="29"/>
          <w:spacing w:val="-23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23"/>
        </w:rPr>
        <w:t>Insurance</w:t>
      </w:r>
      <w:r>
        <w:rPr>
          <w:sz w:val="29"/>
          <w:szCs w:val="29"/>
          <w:b/>
          <w:bCs/>
          <w:spacing w:val="-23"/>
        </w:rPr>
        <w:t>(中国)</w:t>
      </w:r>
    </w:p>
    <w:p>
      <w:pPr>
        <w:spacing w:line="217" w:lineRule="auto"/>
        <w:sectPr>
          <w:pgSz w:w="12240" w:h="15840"/>
          <w:pgMar w:top="1219" w:right="1016" w:bottom="0" w:left="983" w:header="0" w:footer="0" w:gutter="0"/>
        </w:sectPr>
        <w:rPr>
          <w:sz w:val="29"/>
          <w:szCs w:val="29"/>
        </w:rPr>
      </w:pPr>
    </w:p>
    <w:p>
      <w:pPr>
        <w:pStyle w:val="BodyText"/>
        <w:ind w:left="496" w:right="69" w:hanging="140"/>
        <w:spacing w:before="48" w:line="282" w:lineRule="auto"/>
        <w:rPr/>
      </w:pPr>
      <w:r>
        <w:rPr>
          <w:spacing w:val="-1"/>
        </w:rPr>
        <w:t>·融资情况：保费和科技投资为主要来源。2025年发行11.8亿港元可转债优化资本结构，权益</w:t>
      </w:r>
      <w:r>
        <w:rPr>
          <w:spacing w:val="2"/>
        </w:rPr>
        <w:t xml:space="preserve"> </w:t>
      </w:r>
      <w:r>
        <w:rPr>
          <w:spacing w:val="-12"/>
        </w:rPr>
        <w:t>占</w:t>
      </w:r>
      <w:r>
        <w:rPr>
          <w:spacing w:val="-45"/>
        </w:rPr>
        <w:t xml:space="preserve"> </w:t>
      </w:r>
      <w:r>
        <w:rPr>
          <w:spacing w:val="-12"/>
        </w:rPr>
        <w:t>约</w:t>
      </w:r>
      <w:r>
        <w:rPr>
          <w:spacing w:val="-49"/>
        </w:rPr>
        <w:t xml:space="preserve"> </w:t>
      </w:r>
      <w:r>
        <w:rPr>
          <w:spacing w:val="-12"/>
        </w:rPr>
        <w:t>7</w:t>
      </w:r>
      <w:r>
        <w:rPr>
          <w:spacing w:val="-52"/>
        </w:rPr>
        <w:t xml:space="preserve"> </w:t>
      </w:r>
      <w:r>
        <w:rPr>
          <w:spacing w:val="-12"/>
        </w:rPr>
        <w:t>0</w:t>
      </w:r>
      <w:r>
        <w:rPr>
          <w:spacing w:val="-53"/>
        </w:rPr>
        <w:t xml:space="preserve"> </w:t>
      </w:r>
      <w:r>
        <w:rPr>
          <w:spacing w:val="-12"/>
        </w:rPr>
        <w:t>%</w:t>
      </w:r>
      <w:r>
        <w:rPr>
          <w:spacing w:val="-60"/>
        </w:rPr>
        <w:t xml:space="preserve"> </w:t>
      </w:r>
      <w:r>
        <w:rPr>
          <w:spacing w:val="-12"/>
        </w:rPr>
        <w:t>。</w:t>
      </w:r>
    </w:p>
    <w:p>
      <w:pPr>
        <w:pStyle w:val="BodyText"/>
        <w:ind w:left="356"/>
        <w:spacing w:before="273" w:line="218" w:lineRule="auto"/>
        <w:rPr/>
      </w:pPr>
      <w:r>
        <w:rPr>
          <w:spacing w:val="7"/>
        </w:rPr>
        <w:t>·融资情况：</w:t>
      </w:r>
      <w:r>
        <w:rPr>
          <w:rFonts w:ascii="SimSun" w:hAnsi="SimSun" w:eastAsia="SimSun" w:cs="SimSun"/>
          <w:spacing w:val="7"/>
        </w:rPr>
        <w:t>S&amp;</w:t>
      </w:r>
      <w:r>
        <w:rPr>
          <w:rFonts w:ascii="SimSun" w:hAnsi="SimSun" w:eastAsia="SimSun" w:cs="SimSun"/>
        </w:rPr>
        <w:t>PA</w:t>
      </w:r>
      <w:r>
        <w:rPr>
          <w:rFonts w:ascii="SimSun" w:hAnsi="SimSun" w:eastAsia="SimSun" w:cs="SimSun"/>
          <w:spacing w:val="7"/>
        </w:rPr>
        <w:t xml:space="preserve">   </w:t>
      </w:r>
      <w:r>
        <w:rPr>
          <w:spacing w:val="7"/>
        </w:rPr>
        <w:t>(稳定展望),</w:t>
      </w:r>
      <w:r>
        <w:rPr>
          <w:rFonts w:ascii="SimSun" w:hAnsi="SimSun" w:eastAsia="SimSun" w:cs="SimSun"/>
        </w:rPr>
        <w:t>Moody</w:t>
      </w:r>
      <w:r>
        <w:rPr>
          <w:rFonts w:ascii="SimSun" w:hAnsi="SimSun" w:eastAsia="SimSun" w:cs="SimSun"/>
          <w:spacing w:val="7"/>
        </w:rPr>
        <w:t>'</w:t>
      </w:r>
      <w:r>
        <w:rPr>
          <w:rFonts w:ascii="SimSun" w:hAnsi="SimSun" w:eastAsia="SimSun" w:cs="SimSun"/>
        </w:rPr>
        <w:t>s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rFonts w:ascii="SimSun" w:hAnsi="SimSun" w:eastAsia="SimSun" w:cs="SimSun"/>
        </w:rPr>
        <w:t>Baa</w:t>
      </w:r>
      <w:r>
        <w:rPr>
          <w:rFonts w:ascii="SimSun" w:hAnsi="SimSun" w:eastAsia="SimSun" w:cs="SimSun"/>
          <w:spacing w:val="7"/>
        </w:rPr>
        <w:t>2 </w:t>
      </w:r>
      <w:r>
        <w:rPr>
          <w:spacing w:val="7"/>
        </w:rPr>
        <w:t>(稳定展望),强于同行。</w:t>
      </w:r>
    </w:p>
    <w:p>
      <w:pPr>
        <w:pStyle w:val="BodyText"/>
        <w:ind w:left="356"/>
        <w:spacing w:before="230" w:line="221" w:lineRule="auto"/>
        <w:rPr/>
      </w:pPr>
      <w:r>
        <w:rPr>
          <w:spacing w:val="9"/>
        </w:rPr>
        <w:t>·</w:t>
      </w:r>
      <w:r>
        <w:rPr>
          <w:spacing w:val="-97"/>
        </w:rPr>
        <w:t xml:space="preserve"> </w:t>
      </w:r>
      <w:r>
        <w:rPr>
          <w:spacing w:val="9"/>
        </w:rPr>
        <w:t>过往五年增长幅度：2021-2025年收入年均增长-8.97%,但2025年前九个月经营利润增</w:t>
      </w:r>
    </w:p>
    <w:p>
      <w:pPr>
        <w:pStyle w:val="BodyText"/>
        <w:ind w:left="496"/>
        <w:spacing w:before="125" w:line="223" w:lineRule="auto"/>
        <w:rPr/>
      </w:pPr>
      <w:r>
        <w:rPr>
          <w:spacing w:val="12"/>
        </w:rPr>
        <w:t>7.2%至1163亿元人民币。</w:t>
      </w:r>
    </w:p>
    <w:p>
      <w:pPr>
        <w:pStyle w:val="BodyText"/>
        <w:ind w:left="356"/>
        <w:spacing w:before="246" w:line="213" w:lineRule="auto"/>
        <w:rPr/>
      </w:pPr>
      <w:r>
        <w:rPr>
          <w:spacing w:val="7"/>
        </w:rPr>
        <w:t>·</w:t>
      </w:r>
      <w:r>
        <w:rPr>
          <w:spacing w:val="-92"/>
        </w:rPr>
        <w:t xml:space="preserve"> </w:t>
      </w:r>
      <w:r>
        <w:rPr>
          <w:spacing w:val="7"/>
        </w:rPr>
        <w:t>实际分红：每股现金分红增长，2025年每股0.95元，收益率</w:t>
      </w:r>
      <w:r>
        <w:rPr>
          <w:spacing w:val="6"/>
        </w:rPr>
        <w:t>约3%。</w:t>
      </w:r>
    </w:p>
    <w:p>
      <w:pPr>
        <w:pStyle w:val="BodyText"/>
        <w:ind w:left="496" w:right="228" w:hanging="140"/>
        <w:spacing w:before="253" w:line="282" w:lineRule="auto"/>
        <w:rPr/>
      </w:pPr>
      <w:r>
        <w:rPr/>
        <w:t>·未来在中国发展潜力：本土市场主导，2025年投资高科技股。未来潜力极高，预计</w:t>
      </w:r>
      <w:r>
        <w:rPr>
          <w:rFonts w:ascii="SimSun" w:hAnsi="SimSun" w:eastAsia="SimSun" w:cs="SimSun"/>
        </w:rPr>
        <w:t>NBV</w:t>
      </w:r>
      <w:r>
        <w:rPr>
          <w:rFonts w:ascii="SimSun" w:hAnsi="SimSun" w:eastAsia="SimSun" w:cs="SimSun"/>
          <w:spacing w:val="38"/>
        </w:rPr>
        <w:t xml:space="preserve"> </w:t>
      </w:r>
      <w:r>
        <w:rPr/>
        <w:t>年</w:t>
      </w:r>
      <w:r>
        <w:rPr/>
        <w:t xml:space="preserve"> </w:t>
      </w:r>
      <w:r>
        <w:rPr>
          <w:spacing w:val="-8"/>
        </w:rPr>
        <w:t>增</w:t>
      </w:r>
      <w:r>
        <w:rPr>
          <w:spacing w:val="-42"/>
        </w:rPr>
        <w:t xml:space="preserve"> </w:t>
      </w:r>
      <w:r>
        <w:rPr>
          <w:spacing w:val="-8"/>
        </w:rPr>
        <w:t>长</w:t>
      </w:r>
      <w:r>
        <w:rPr>
          <w:spacing w:val="-53"/>
        </w:rPr>
        <w:t xml:space="preserve"> </w:t>
      </w:r>
      <w:r>
        <w:rPr>
          <w:spacing w:val="-8"/>
        </w:rPr>
        <w:t>2</w:t>
      </w:r>
      <w:r>
        <w:rPr>
          <w:spacing w:val="-52"/>
        </w:rPr>
        <w:t xml:space="preserve"> </w:t>
      </w:r>
      <w:r>
        <w:rPr>
          <w:spacing w:val="-8"/>
        </w:rPr>
        <w:t>0</w:t>
      </w:r>
      <w:r>
        <w:rPr>
          <w:spacing w:val="-55"/>
        </w:rPr>
        <w:t xml:space="preserve"> </w:t>
      </w:r>
      <w:r>
        <w:rPr>
          <w:spacing w:val="-8"/>
        </w:rPr>
        <w:t>%</w:t>
      </w:r>
      <w:r>
        <w:rPr>
          <w:spacing w:val="-61"/>
        </w:rPr>
        <w:t xml:space="preserve"> </w:t>
      </w:r>
      <w:r>
        <w:rPr>
          <w:spacing w:val="-8"/>
        </w:rPr>
        <w:t>。</w:t>
      </w:r>
    </w:p>
    <w:p>
      <w:pPr>
        <w:pStyle w:val="BodyText"/>
        <w:spacing w:before="316" w:line="222" w:lineRule="auto"/>
        <w:rPr/>
      </w:pPr>
      <w:r>
        <w:rPr>
          <w:rFonts w:ascii="SimSun" w:hAnsi="SimSun" w:eastAsia="SimSun" w:cs="SimSun"/>
          <w:b/>
          <w:bCs/>
          <w:spacing w:val="-4"/>
        </w:rPr>
        <w:t>4.Allianz</w:t>
      </w:r>
      <w:r>
        <w:rPr>
          <w:b/>
          <w:bCs/>
          <w:spacing w:val="-4"/>
        </w:rPr>
        <w:t>(德国)</w:t>
      </w:r>
    </w:p>
    <w:p>
      <w:pPr>
        <w:pStyle w:val="BodyText"/>
        <w:ind w:left="496" w:right="518" w:hanging="140"/>
        <w:spacing w:before="223" w:line="253" w:lineRule="auto"/>
        <w:rPr>
          <w:rFonts w:ascii="SimSun" w:hAnsi="SimSun" w:eastAsia="SimSun" w:cs="SimSun"/>
          <w:sz w:val="31"/>
          <w:szCs w:val="31"/>
        </w:rPr>
      </w:pPr>
      <w:r>
        <w:rPr/>
        <w:t>·融资情况：保费和投资为主，2025年发行12.5亿美元永久债</w:t>
      </w:r>
      <w:r>
        <w:rPr>
          <w:spacing w:val="-1"/>
        </w:rPr>
        <w:t>券。资本结构均衡，权益占</w:t>
      </w:r>
      <w:r>
        <w:rPr/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60%</w:t>
      </w:r>
      <w:r>
        <w:rPr>
          <w:rFonts w:ascii="SimSun" w:hAnsi="SimSun" w:eastAsia="SimSun" w:cs="SimSun"/>
          <w:sz w:val="31"/>
          <w:szCs w:val="31"/>
          <w:spacing w:val="-4"/>
        </w:rPr>
        <w:t>。</w:t>
      </w:r>
    </w:p>
    <w:p>
      <w:pPr>
        <w:pStyle w:val="BodyText"/>
        <w:ind w:left="356"/>
        <w:spacing w:before="222" w:line="212" w:lineRule="auto"/>
        <w:rPr/>
      </w:pPr>
      <w:r>
        <w:rPr>
          <w:spacing w:val="4"/>
        </w:rPr>
        <w:t>·</w:t>
      </w:r>
      <w:r>
        <w:rPr>
          <w:spacing w:val="-101"/>
        </w:rPr>
        <w:t xml:space="preserve"> </w:t>
      </w:r>
      <w:r>
        <w:rPr>
          <w:spacing w:val="4"/>
        </w:rPr>
        <w:t>信誉度：</w:t>
      </w:r>
      <w:r>
        <w:rPr>
          <w:rFonts w:ascii="Arial" w:hAnsi="Arial" w:eastAsia="Arial" w:cs="Arial"/>
          <w:spacing w:val="4"/>
        </w:rPr>
        <w:t>S&amp;</w:t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pacing w:val="54"/>
        </w:rPr>
        <w:t xml:space="preserve"> </w:t>
      </w:r>
      <w:r>
        <w:rPr>
          <w:rFonts w:ascii="Arial" w:hAnsi="Arial" w:eastAsia="Arial" w:cs="Arial"/>
        </w:rPr>
        <w:t>AA</w:t>
      </w:r>
      <w:r>
        <w:rPr>
          <w:rFonts w:ascii="Arial" w:hAnsi="Arial" w:eastAsia="Arial" w:cs="Arial"/>
          <w:spacing w:val="53"/>
          <w:w w:val="101"/>
        </w:rPr>
        <w:t xml:space="preserve"> </w:t>
      </w:r>
      <w:r>
        <w:rPr>
          <w:spacing w:val="4"/>
        </w:rPr>
        <w:t>(稳定展望),</w:t>
      </w:r>
      <w:r>
        <w:rPr>
          <w:rFonts w:ascii="Arial" w:hAnsi="Arial" w:eastAsia="Arial" w:cs="Arial"/>
        </w:rPr>
        <w:t>Moody</w:t>
      </w:r>
      <w:r>
        <w:rPr>
          <w:rFonts w:ascii="Arial" w:hAnsi="Arial" w:eastAsia="Arial" w:cs="Arial"/>
          <w:spacing w:val="4"/>
        </w:rPr>
        <w:t>'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pacing w:val="32"/>
        </w:rPr>
        <w:t xml:space="preserve">  </w:t>
      </w:r>
      <w:r>
        <w:rPr>
          <w:rFonts w:ascii="Arial" w:hAnsi="Arial" w:eastAsia="Arial" w:cs="Arial"/>
        </w:rPr>
        <w:t>Aa</w:t>
      </w:r>
      <w:r>
        <w:rPr>
          <w:rFonts w:ascii="Arial" w:hAnsi="Arial" w:eastAsia="Arial" w:cs="Arial"/>
          <w:spacing w:val="4"/>
        </w:rPr>
        <w:t>2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spacing w:val="4"/>
        </w:rPr>
        <w:t>(稳定展望</w:t>
      </w:r>
      <w:r>
        <w:rPr>
          <w:spacing w:val="3"/>
        </w:rPr>
        <w:t>)。</w:t>
      </w:r>
    </w:p>
    <w:p>
      <w:pPr>
        <w:pStyle w:val="BodyText"/>
        <w:ind w:left="496" w:right="32" w:hanging="140"/>
        <w:spacing w:before="258" w:line="273" w:lineRule="auto"/>
        <w:rPr/>
      </w:pPr>
      <w:r>
        <w:rPr>
          <w:spacing w:val="9"/>
        </w:rPr>
        <w:t>·</w:t>
      </w:r>
      <w:r>
        <w:rPr>
          <w:spacing w:val="-87"/>
        </w:rPr>
        <w:t xml:space="preserve"> </w:t>
      </w:r>
      <w:r>
        <w:rPr>
          <w:spacing w:val="9"/>
        </w:rPr>
        <w:t>过往五年增长幅度：2021-2025年收入年均增长9.5%,2025年前九个月经营利润增至42亿</w:t>
      </w:r>
      <w:r>
        <w:rPr/>
        <w:t xml:space="preserve"> </w:t>
      </w:r>
      <w:r>
        <w:rPr>
          <w:spacing w:val="-13"/>
        </w:rPr>
        <w:t>欧</w:t>
      </w:r>
      <w:r>
        <w:rPr>
          <w:spacing w:val="-28"/>
        </w:rPr>
        <w:t xml:space="preserve"> </w:t>
      </w:r>
      <w:r>
        <w:rPr>
          <w:spacing w:val="-13"/>
        </w:rPr>
        <w:t>元</w:t>
      </w:r>
      <w:r>
        <w:rPr>
          <w:spacing w:val="-44"/>
        </w:rPr>
        <w:t xml:space="preserve"> </w:t>
      </w:r>
      <w:r>
        <w:rPr>
          <w:spacing w:val="-13"/>
        </w:rPr>
        <w:t>。</w:t>
      </w:r>
    </w:p>
    <w:p>
      <w:pPr>
        <w:pStyle w:val="BodyText"/>
        <w:ind w:left="356"/>
        <w:spacing w:before="251" w:line="213" w:lineRule="auto"/>
        <w:rPr/>
      </w:pPr>
      <w:r>
        <w:rPr>
          <w:spacing w:val="2"/>
        </w:rPr>
        <w:t>·</w:t>
      </w:r>
      <w:r>
        <w:rPr>
          <w:spacing w:val="-86"/>
        </w:rPr>
        <w:t xml:space="preserve"> </w:t>
      </w:r>
      <w:r>
        <w:rPr>
          <w:spacing w:val="2"/>
        </w:rPr>
        <w:t>实际分红：每股15.4欧元，收益率约4%。</w:t>
      </w:r>
    </w:p>
    <w:p>
      <w:pPr>
        <w:pStyle w:val="BodyText"/>
        <w:ind w:left="496" w:hanging="140"/>
        <w:spacing w:before="274" w:line="273" w:lineRule="auto"/>
        <w:rPr/>
      </w:pPr>
      <w:r>
        <w:rPr>
          <w:spacing w:val="1"/>
        </w:rPr>
        <w:t>·未来在中国发展潜力：通过合资公司活跃，2025年市场</w:t>
      </w:r>
      <w:r>
        <w:rPr/>
        <w:t>份额增长。潜力中等，受益于中国保</w:t>
      </w:r>
      <w:r>
        <w:rPr/>
        <w:t xml:space="preserve"> </w:t>
      </w:r>
      <w:r>
        <w:rPr>
          <w:spacing w:val="22"/>
        </w:rPr>
        <w:t>险开放。</w:t>
      </w:r>
    </w:p>
    <w:p>
      <w:pPr>
        <w:pStyle w:val="BodyText"/>
        <w:spacing w:before="318" w:line="222" w:lineRule="auto"/>
        <w:rPr/>
      </w:pPr>
      <w:r>
        <w:rPr>
          <w:rFonts w:ascii="SimSun" w:hAnsi="SimSun" w:eastAsia="SimSun" w:cs="SimSun"/>
          <w:b/>
          <w:bCs/>
          <w:spacing w:val="-5"/>
        </w:rPr>
        <w:t>5.AXA</w:t>
      </w:r>
      <w:r>
        <w:rPr>
          <w:rFonts w:ascii="SimSun" w:hAnsi="SimSun" w:eastAsia="SimSun" w:cs="SimSun"/>
          <w:spacing w:val="17"/>
        </w:rPr>
        <w:t xml:space="preserve">  </w:t>
      </w:r>
      <w:r>
        <w:rPr>
          <w:b/>
          <w:bCs/>
          <w:spacing w:val="-5"/>
        </w:rPr>
        <w:t>(法国)</w:t>
      </w:r>
    </w:p>
    <w:p>
      <w:pPr>
        <w:pStyle w:val="BodyText"/>
        <w:ind w:left="356"/>
        <w:spacing w:before="222" w:line="213" w:lineRule="auto"/>
        <w:rPr/>
      </w:pPr>
      <w:r>
        <w:rPr>
          <w:spacing w:val="2"/>
        </w:rPr>
        <w:t>·融资情况：保费和债务融资，2025年发行子级债券。资本结构以权益为主。</w:t>
      </w:r>
    </w:p>
    <w:p>
      <w:pPr>
        <w:pStyle w:val="BodyText"/>
        <w:ind w:left="356"/>
        <w:spacing w:before="290" w:line="218" w:lineRule="auto"/>
        <w:rPr/>
      </w:pPr>
      <w:r>
        <w:rPr>
          <w:spacing w:val="7"/>
        </w:rPr>
        <w:t>·</w:t>
      </w:r>
      <w:r>
        <w:rPr>
          <w:spacing w:val="-97"/>
        </w:rPr>
        <w:t xml:space="preserve"> </w:t>
      </w:r>
      <w:r>
        <w:rPr>
          <w:spacing w:val="7"/>
        </w:rPr>
        <w:t>信誉度：</w:t>
      </w:r>
      <w:r>
        <w:rPr>
          <w:rFonts w:ascii="SimSun" w:hAnsi="SimSun" w:eastAsia="SimSun" w:cs="SimSun"/>
          <w:spacing w:val="7"/>
        </w:rPr>
        <w:t>S&amp;</w:t>
      </w:r>
      <w:r>
        <w:rPr>
          <w:rFonts w:ascii="SimSun" w:hAnsi="SimSun" w:eastAsia="SimSun" w:cs="SimSun"/>
        </w:rPr>
        <w:t>P</w:t>
      </w:r>
      <w:r>
        <w:rPr>
          <w:rFonts w:ascii="SimSun" w:hAnsi="SimSun" w:eastAsia="SimSun" w:cs="SimSun"/>
          <w:spacing w:val="55"/>
        </w:rPr>
        <w:t xml:space="preserve">  </w:t>
      </w:r>
      <w:r>
        <w:rPr>
          <w:rFonts w:ascii="SimSun" w:hAnsi="SimSun" w:eastAsia="SimSun" w:cs="SimSun"/>
        </w:rPr>
        <w:t>AA</w:t>
      </w:r>
      <w:r>
        <w:rPr>
          <w:rFonts w:ascii="SimSun" w:hAnsi="SimSun" w:eastAsia="SimSun" w:cs="SimSun"/>
          <w:spacing w:val="7"/>
        </w:rPr>
        <w:t>-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7"/>
        </w:rPr>
        <w:t>(稳定展望),</w:t>
      </w:r>
      <w:r>
        <w:rPr>
          <w:rFonts w:ascii="SimSun" w:hAnsi="SimSun" w:eastAsia="SimSun" w:cs="SimSun"/>
        </w:rPr>
        <w:t>Moody</w:t>
      </w:r>
      <w:r>
        <w:rPr>
          <w:rFonts w:ascii="SimSun" w:hAnsi="SimSun" w:eastAsia="SimSun" w:cs="SimSun"/>
          <w:spacing w:val="7"/>
        </w:rPr>
        <w:t>'</w:t>
      </w:r>
      <w:r>
        <w:rPr>
          <w:rFonts w:ascii="SimSun" w:hAnsi="SimSun" w:eastAsia="SimSun" w:cs="SimSun"/>
        </w:rPr>
        <w:t>s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rFonts w:ascii="SimSun" w:hAnsi="SimSun" w:eastAsia="SimSun" w:cs="SimSun"/>
        </w:rPr>
        <w:t>Aa</w:t>
      </w:r>
      <w:r>
        <w:rPr>
          <w:rFonts w:ascii="SimSun" w:hAnsi="SimSun" w:eastAsia="SimSun" w:cs="SimSun"/>
          <w:spacing w:val="7"/>
        </w:rPr>
        <w:t>2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7"/>
        </w:rPr>
        <w:t>(稳定</w:t>
      </w:r>
      <w:r>
        <w:rPr>
          <w:spacing w:val="6"/>
        </w:rPr>
        <w:t>展望)。</w:t>
      </w:r>
    </w:p>
    <w:p>
      <w:pPr>
        <w:pStyle w:val="BodyText"/>
        <w:ind w:left="356"/>
        <w:spacing w:before="251" w:line="222" w:lineRule="auto"/>
        <w:rPr/>
      </w:pPr>
      <w:r>
        <w:rPr>
          <w:spacing w:val="14"/>
        </w:rPr>
        <w:t>·</w:t>
      </w:r>
      <w:r>
        <w:rPr>
          <w:spacing w:val="-92"/>
        </w:rPr>
        <w:t xml:space="preserve"> </w:t>
      </w:r>
      <w:r>
        <w:rPr>
          <w:spacing w:val="14"/>
        </w:rPr>
        <w:t>过往五年增长幅度：2021-2025年收入年均增长约7%,2025年前九个月保费增7%。</w:t>
      </w:r>
    </w:p>
    <w:p>
      <w:pPr>
        <w:pStyle w:val="BodyText"/>
        <w:ind w:left="356"/>
        <w:spacing w:before="240" w:line="213" w:lineRule="auto"/>
        <w:rPr/>
      </w:pPr>
      <w:r>
        <w:rPr/>
        <w:t>·</w:t>
      </w:r>
      <w:r>
        <w:rPr>
          <w:spacing w:val="-92"/>
        </w:rPr>
        <w:t xml:space="preserve"> </w:t>
      </w:r>
      <w:r>
        <w:rPr/>
        <w:t>实际分红：每股2.15欧元，收益率约5%。</w:t>
      </w:r>
    </w:p>
    <w:p>
      <w:pPr>
        <w:pStyle w:val="BodyText"/>
        <w:ind w:left="356"/>
        <w:spacing w:before="283" w:line="213" w:lineRule="auto"/>
        <w:rPr/>
      </w:pPr>
      <w:r>
        <w:rPr/>
        <w:t>·未来在中国发展潜力：通过</w:t>
      </w:r>
      <w:r>
        <w:rPr>
          <w:rFonts w:ascii="SimSun" w:hAnsi="SimSun" w:eastAsia="SimSun" w:cs="SimSun"/>
        </w:rPr>
        <w:t>AXA</w:t>
      </w:r>
      <w:r>
        <w:rPr>
          <w:rFonts w:ascii="SimSun" w:hAnsi="SimSun" w:eastAsia="SimSun" w:cs="SimSun"/>
          <w:spacing w:val="115"/>
        </w:rPr>
        <w:t xml:space="preserve"> </w:t>
      </w:r>
      <w:r>
        <w:rPr>
          <w:rFonts w:ascii="SimSun" w:hAnsi="SimSun" w:eastAsia="SimSun" w:cs="SimSun"/>
        </w:rPr>
        <w:t>Tianping</w:t>
      </w:r>
      <w:r>
        <w:rPr/>
        <w:t>合资扩张，潜力高，</w:t>
      </w:r>
      <w:r>
        <w:rPr>
          <w:spacing w:val="-1"/>
        </w:rPr>
        <w:t>聚焦健康保险。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79" w:line="217" w:lineRule="auto"/>
        <w:rPr/>
      </w:pPr>
      <w:r>
        <w:rPr>
          <w:rFonts w:ascii="SimSun" w:hAnsi="SimSun" w:eastAsia="SimSun" w:cs="SimSun"/>
          <w:b/>
          <w:bCs/>
          <w:spacing w:val="-4"/>
        </w:rPr>
        <w:t>6.Nippon</w:t>
      </w:r>
      <w:r>
        <w:rPr>
          <w:rFonts w:ascii="SimSun" w:hAnsi="SimSun" w:eastAsia="SimSun" w:cs="SimSun"/>
          <w:spacing w:val="64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Life</w:t>
      </w:r>
      <w:r>
        <w:rPr>
          <w:rFonts w:ascii="SimSun" w:hAnsi="SimSun" w:eastAsia="SimSun" w:cs="SimSun"/>
          <w:spacing w:val="62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Insurance</w:t>
      </w:r>
      <w:r>
        <w:rPr>
          <w:b/>
          <w:bCs/>
          <w:spacing w:val="-4"/>
        </w:rPr>
        <w:t>(日本)</w:t>
      </w:r>
    </w:p>
    <w:p>
      <w:pPr>
        <w:spacing w:line="217" w:lineRule="auto"/>
        <w:sectPr>
          <w:pgSz w:w="12240" w:h="15840"/>
          <w:pgMar w:top="1188" w:right="1031" w:bottom="0" w:left="983" w:header="0" w:footer="0" w:gutter="0"/>
        </w:sectPr>
        <w:rPr/>
      </w:pPr>
    </w:p>
    <w:p>
      <w:pPr>
        <w:pStyle w:val="BodyText"/>
        <w:spacing w:before="50" w:line="213" w:lineRule="auto"/>
        <w:jc w:val="right"/>
        <w:rPr>
          <w:sz w:val="25"/>
          <w:szCs w:val="25"/>
        </w:rPr>
      </w:pPr>
      <w:r>
        <w:rPr>
          <w:sz w:val="25"/>
          <w:szCs w:val="25"/>
          <w:spacing w:val="-4"/>
        </w:rPr>
        <w:t>·融资情况：保费和债券发行，2025年发行5亿欧元子级债券。资本结构保守，权益占70%</w:t>
      </w:r>
    </w:p>
    <w:p>
      <w:pPr>
        <w:ind w:left="526"/>
        <w:spacing w:before="170" w:line="60" w:lineRule="exact"/>
        <w:rPr>
          <w:rFonts w:ascii="Arial" w:hAnsi="Arial" w:eastAsia="Arial" w:cs="Arial"/>
          <w:sz w:val="8"/>
          <w:szCs w:val="8"/>
        </w:rPr>
      </w:pPr>
      <w:r>
        <w:rPr>
          <w:rFonts w:ascii="Arial" w:hAnsi="Arial" w:eastAsia="Arial" w:cs="Arial"/>
          <w:sz w:val="8"/>
          <w:szCs w:val="8"/>
        </w:rPr>
        <w:t>o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376"/>
        <w:spacing w:before="81" w:line="218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·信誉度：</w:t>
      </w:r>
      <w:r>
        <w:rPr>
          <w:rFonts w:ascii="SimSun" w:hAnsi="SimSun" w:eastAsia="SimSun" w:cs="SimSun"/>
          <w:sz w:val="25"/>
          <w:szCs w:val="25"/>
          <w:spacing w:val="1"/>
        </w:rPr>
        <w:t>S&amp;</w:t>
      </w:r>
      <w:r>
        <w:rPr>
          <w:rFonts w:ascii="SimSun" w:hAnsi="SimSun" w:eastAsia="SimSun" w:cs="SimSun"/>
          <w:sz w:val="25"/>
          <w:szCs w:val="25"/>
        </w:rPr>
        <w:t>P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</w:t>
      </w:r>
      <w:r>
        <w:rPr>
          <w:rFonts w:ascii="SimSun" w:hAnsi="SimSun" w:eastAsia="SimSun" w:cs="SimSun"/>
          <w:sz w:val="25"/>
          <w:szCs w:val="25"/>
        </w:rPr>
        <w:t>A</w:t>
      </w:r>
      <w:r>
        <w:rPr>
          <w:rFonts w:ascii="SimSun" w:hAnsi="SimSun" w:eastAsia="SimSun" w:cs="SimSun"/>
          <w:sz w:val="25"/>
          <w:szCs w:val="25"/>
          <w:spacing w:val="1"/>
        </w:rPr>
        <w:t>+ </w:t>
      </w:r>
      <w:r>
        <w:rPr>
          <w:sz w:val="25"/>
          <w:szCs w:val="25"/>
          <w:spacing w:val="1"/>
        </w:rPr>
        <w:t>(稳定展望),</w:t>
      </w:r>
      <w:r>
        <w:rPr>
          <w:rFonts w:ascii="SimSun" w:hAnsi="SimSun" w:eastAsia="SimSun" w:cs="SimSun"/>
          <w:sz w:val="25"/>
          <w:szCs w:val="25"/>
        </w:rPr>
        <w:t>Moody</w:t>
      </w:r>
      <w:r>
        <w:rPr>
          <w:rFonts w:ascii="SimSun" w:hAnsi="SimSun" w:eastAsia="SimSun" w:cs="SimSun"/>
          <w:sz w:val="25"/>
          <w:szCs w:val="25"/>
          <w:spacing w:val="1"/>
        </w:rPr>
        <w:t>'</w:t>
      </w:r>
      <w:r>
        <w:rPr>
          <w:rFonts w:ascii="SimSun" w:hAnsi="SimSun" w:eastAsia="SimSun" w:cs="SimSun"/>
          <w:sz w:val="25"/>
          <w:szCs w:val="25"/>
        </w:rPr>
        <w:t>s</w:t>
      </w:r>
      <w:r>
        <w:rPr>
          <w:rFonts w:ascii="SimSun" w:hAnsi="SimSun" w:eastAsia="SimSun" w:cs="SimSun"/>
          <w:sz w:val="25"/>
          <w:szCs w:val="25"/>
          <w:spacing w:val="76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A</w:t>
      </w:r>
      <w:r>
        <w:rPr>
          <w:rFonts w:ascii="SimSun" w:hAnsi="SimSun" w:eastAsia="SimSun" w:cs="SimSun"/>
          <w:sz w:val="25"/>
          <w:szCs w:val="25"/>
          <w:spacing w:val="1"/>
        </w:rPr>
        <w:t>1 </w:t>
      </w:r>
      <w:r>
        <w:rPr>
          <w:sz w:val="25"/>
          <w:szCs w:val="25"/>
          <w:spacing w:val="1"/>
        </w:rPr>
        <w:t>(稳定展望)。</w:t>
      </w:r>
    </w:p>
    <w:p>
      <w:pPr>
        <w:pStyle w:val="BodyText"/>
        <w:ind w:left="376"/>
        <w:spacing w:before="228" w:line="221" w:lineRule="auto"/>
        <w:rPr>
          <w:sz w:val="25"/>
          <w:szCs w:val="25"/>
        </w:rPr>
      </w:pPr>
      <w:r>
        <w:rPr>
          <w:sz w:val="25"/>
          <w:szCs w:val="25"/>
          <w:spacing w:val="5"/>
        </w:rPr>
        <w:t>·</w:t>
      </w:r>
      <w:r>
        <w:rPr>
          <w:sz w:val="25"/>
          <w:szCs w:val="25"/>
          <w:spacing w:val="-97"/>
        </w:rPr>
        <w:t xml:space="preserve"> </w:t>
      </w:r>
      <w:r>
        <w:rPr>
          <w:sz w:val="25"/>
          <w:szCs w:val="25"/>
          <w:spacing w:val="5"/>
        </w:rPr>
        <w:t>过往五年增长幅度：2021-2025年收入增长3.8%,2025年前三月核心利润增16.5%。</w:t>
      </w:r>
    </w:p>
    <w:p>
      <w:pPr>
        <w:pStyle w:val="BodyText"/>
        <w:ind w:left="376"/>
        <w:spacing w:before="230" w:line="213" w:lineRule="auto"/>
        <w:rPr>
          <w:sz w:val="25"/>
          <w:szCs w:val="25"/>
        </w:rPr>
      </w:pPr>
      <w:r>
        <w:rPr>
          <w:sz w:val="25"/>
          <w:szCs w:val="25"/>
          <w:spacing w:val="-10"/>
        </w:rPr>
        <w:t>·实际分红：不直接分红，优先政策持有人回报。</w:t>
      </w:r>
    </w:p>
    <w:p>
      <w:pPr>
        <w:pStyle w:val="BodyText"/>
        <w:ind w:left="376"/>
        <w:spacing w:before="271" w:line="213" w:lineRule="auto"/>
        <w:rPr>
          <w:sz w:val="25"/>
          <w:szCs w:val="25"/>
        </w:rPr>
      </w:pPr>
      <w:r>
        <w:rPr>
          <w:sz w:val="25"/>
          <w:szCs w:val="25"/>
          <w:spacing w:val="-10"/>
        </w:rPr>
        <w:t>·未来在中国发展潜力：活动有限，未来通过收购扩展，潜力中等。</w:t>
      </w:r>
    </w:p>
    <w:p>
      <w:pPr>
        <w:pStyle w:val="BodyText"/>
        <w:spacing w:before="309" w:line="221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1"/>
        </w:rPr>
        <w:t>7.Prudential</w:t>
      </w:r>
      <w:r>
        <w:rPr>
          <w:rFonts w:ascii="SimSun" w:hAnsi="SimSun" w:eastAsia="SimSun" w:cs="SimSun"/>
          <w:sz w:val="25"/>
          <w:szCs w:val="25"/>
          <w:spacing w:val="-1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1"/>
        </w:rPr>
        <w:t>Financial</w:t>
      </w:r>
      <w:r>
        <w:rPr>
          <w:sz w:val="25"/>
          <w:szCs w:val="25"/>
          <w:b/>
          <w:bCs/>
          <w:spacing w:val="-11"/>
        </w:rPr>
        <w:t>(美国)</w:t>
      </w:r>
    </w:p>
    <w:p>
      <w:pPr>
        <w:pStyle w:val="BodyText"/>
        <w:ind w:left="376"/>
        <w:spacing w:before="224" w:line="213" w:lineRule="auto"/>
        <w:rPr>
          <w:sz w:val="25"/>
          <w:szCs w:val="25"/>
        </w:rPr>
      </w:pPr>
      <w:r>
        <w:rPr>
          <w:sz w:val="25"/>
          <w:szCs w:val="25"/>
          <w:spacing w:val="-6"/>
        </w:rPr>
        <w:t>·融资情况：保费和债券，2025年发行新债优化结构。</w:t>
      </w:r>
    </w:p>
    <w:p>
      <w:pPr>
        <w:pStyle w:val="BodyText"/>
        <w:ind w:left="376"/>
        <w:spacing w:before="277" w:line="21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·信誉度：</w:t>
      </w:r>
      <w:r>
        <w:rPr>
          <w:rFonts w:ascii="Arial" w:hAnsi="Arial" w:eastAsia="Arial" w:cs="Arial"/>
          <w:sz w:val="25"/>
          <w:szCs w:val="25"/>
          <w:spacing w:val="-2"/>
        </w:rPr>
        <w:t>S&amp;P  AA-</w:t>
      </w:r>
      <w:r>
        <w:rPr>
          <w:rFonts w:ascii="Arial" w:hAnsi="Arial" w:eastAsia="Arial" w:cs="Arial"/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2"/>
        </w:rPr>
        <w:t>(稳定展望),</w:t>
      </w:r>
      <w:r>
        <w:rPr>
          <w:rFonts w:ascii="Arial" w:hAnsi="Arial" w:eastAsia="Arial" w:cs="Arial"/>
          <w:sz w:val="25"/>
          <w:szCs w:val="25"/>
          <w:spacing w:val="-2"/>
        </w:rPr>
        <w:t>Moody's  A3  </w:t>
      </w:r>
      <w:r>
        <w:rPr>
          <w:sz w:val="25"/>
          <w:szCs w:val="25"/>
          <w:spacing w:val="-2"/>
        </w:rPr>
        <w:t>(稳定展望)。</w:t>
      </w:r>
    </w:p>
    <w:p>
      <w:pPr>
        <w:pStyle w:val="BodyText"/>
        <w:ind w:left="376"/>
        <w:spacing w:before="239" w:line="222" w:lineRule="auto"/>
        <w:rPr>
          <w:sz w:val="25"/>
          <w:szCs w:val="25"/>
        </w:rPr>
      </w:pPr>
      <w:r>
        <w:rPr>
          <w:sz w:val="25"/>
          <w:szCs w:val="25"/>
          <w:spacing w:val="4"/>
        </w:rPr>
        <w:t>·</w:t>
      </w:r>
      <w:r>
        <w:rPr>
          <w:sz w:val="25"/>
          <w:szCs w:val="25"/>
          <w:spacing w:val="-89"/>
        </w:rPr>
        <w:t xml:space="preserve"> </w:t>
      </w:r>
      <w:r>
        <w:rPr>
          <w:sz w:val="25"/>
          <w:szCs w:val="25"/>
          <w:spacing w:val="4"/>
        </w:rPr>
        <w:t>过往五年增长幅度：2021-2025年收入年均增长-34.7%,但2025年恢复。</w:t>
      </w:r>
    </w:p>
    <w:p>
      <w:pPr>
        <w:pStyle w:val="BodyText"/>
        <w:ind w:left="376"/>
        <w:spacing w:before="238" w:line="213" w:lineRule="auto"/>
        <w:rPr>
          <w:sz w:val="25"/>
          <w:szCs w:val="25"/>
        </w:rPr>
      </w:pPr>
      <w:r>
        <w:rPr>
          <w:sz w:val="25"/>
          <w:szCs w:val="25"/>
          <w:spacing w:val="-4"/>
        </w:rPr>
        <w:t>·</w:t>
      </w:r>
      <w:r>
        <w:rPr>
          <w:sz w:val="25"/>
          <w:szCs w:val="25"/>
          <w:spacing w:val="-103"/>
        </w:rPr>
        <w:t xml:space="preserve"> </w:t>
      </w:r>
      <w:r>
        <w:rPr>
          <w:sz w:val="25"/>
          <w:szCs w:val="25"/>
          <w:spacing w:val="-4"/>
        </w:rPr>
        <w:t>实际分红：每股1.35美元，收益率约4%。</w:t>
      </w:r>
    </w:p>
    <w:p>
      <w:pPr>
        <w:pStyle w:val="BodyText"/>
        <w:ind w:left="376"/>
        <w:spacing w:before="241" w:line="213" w:lineRule="auto"/>
        <w:rPr>
          <w:sz w:val="25"/>
          <w:szCs w:val="25"/>
        </w:rPr>
      </w:pPr>
      <w:r>
        <w:rPr>
          <w:sz w:val="25"/>
          <w:szCs w:val="25"/>
          <w:spacing w:val="-10"/>
        </w:rPr>
        <w:t>·未来在中国发展潜力：通过合资活跃，潜力高，聚焦年轻消费者。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82" w:line="221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8.MetLife</w:t>
      </w:r>
      <w:r>
        <w:rPr>
          <w:rFonts w:ascii="SimSun" w:hAnsi="SimSun" w:eastAsia="SimSun" w:cs="SimSun"/>
          <w:sz w:val="25"/>
          <w:szCs w:val="25"/>
          <w:spacing w:val="-9"/>
        </w:rPr>
        <w:t xml:space="preserve"> </w:t>
      </w:r>
      <w:r>
        <w:rPr>
          <w:sz w:val="25"/>
          <w:szCs w:val="25"/>
          <w:b/>
          <w:bCs/>
          <w:spacing w:val="-8"/>
        </w:rPr>
        <w:t>(美国)</w:t>
      </w:r>
    </w:p>
    <w:p>
      <w:pPr>
        <w:pStyle w:val="BodyText"/>
        <w:ind w:left="376"/>
        <w:spacing w:before="224" w:line="213" w:lineRule="auto"/>
        <w:rPr>
          <w:sz w:val="25"/>
          <w:szCs w:val="25"/>
        </w:rPr>
      </w:pPr>
      <w:r>
        <w:rPr>
          <w:sz w:val="25"/>
          <w:szCs w:val="25"/>
          <w:spacing w:val="-5"/>
        </w:rPr>
        <w:t>·融资情况：保费和绿色债券，2025年发行新债。</w:t>
      </w:r>
    </w:p>
    <w:p>
      <w:pPr>
        <w:pStyle w:val="BodyText"/>
        <w:ind w:left="376"/>
        <w:spacing w:before="268" w:line="218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·信誉度：</w:t>
      </w:r>
      <w:r>
        <w:rPr>
          <w:rFonts w:ascii="SimSun" w:hAnsi="SimSun" w:eastAsia="SimSun" w:cs="SimSun"/>
          <w:sz w:val="25"/>
          <w:szCs w:val="25"/>
          <w:spacing w:val="1"/>
        </w:rPr>
        <w:t>S&amp;</w:t>
      </w:r>
      <w:r>
        <w:rPr>
          <w:rFonts w:ascii="SimSun" w:hAnsi="SimSun" w:eastAsia="SimSun" w:cs="SimSun"/>
          <w:sz w:val="25"/>
          <w:szCs w:val="25"/>
        </w:rPr>
        <w:t>P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</w:t>
      </w:r>
      <w:r>
        <w:rPr>
          <w:rFonts w:ascii="SimSun" w:hAnsi="SimSun" w:eastAsia="SimSun" w:cs="SimSun"/>
          <w:sz w:val="25"/>
          <w:szCs w:val="25"/>
        </w:rPr>
        <w:t>AA</w:t>
      </w:r>
      <w:r>
        <w:rPr>
          <w:rFonts w:ascii="SimSun" w:hAnsi="SimSun" w:eastAsia="SimSun" w:cs="SimSun"/>
          <w:sz w:val="25"/>
          <w:szCs w:val="25"/>
          <w:spacing w:val="1"/>
        </w:rPr>
        <w:t>- </w:t>
      </w:r>
      <w:r>
        <w:rPr>
          <w:sz w:val="25"/>
          <w:szCs w:val="25"/>
          <w:spacing w:val="1"/>
        </w:rPr>
        <w:t>(稳定展望),</w:t>
      </w:r>
      <w:r>
        <w:rPr>
          <w:rFonts w:ascii="SimSun" w:hAnsi="SimSun" w:eastAsia="SimSun" w:cs="SimSun"/>
          <w:sz w:val="25"/>
          <w:szCs w:val="25"/>
        </w:rPr>
        <w:t>Moody</w:t>
      </w:r>
      <w:r>
        <w:rPr>
          <w:rFonts w:ascii="SimSun" w:hAnsi="SimSun" w:eastAsia="SimSun" w:cs="SimSun"/>
          <w:sz w:val="25"/>
          <w:szCs w:val="25"/>
          <w:spacing w:val="1"/>
        </w:rPr>
        <w:t>'</w:t>
      </w:r>
      <w:r>
        <w:rPr>
          <w:rFonts w:ascii="SimSun" w:hAnsi="SimSun" w:eastAsia="SimSun" w:cs="SimSun"/>
          <w:sz w:val="25"/>
          <w:szCs w:val="25"/>
        </w:rPr>
        <w:t>s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</w:t>
      </w:r>
      <w:r>
        <w:rPr>
          <w:rFonts w:ascii="SimSun" w:hAnsi="SimSun" w:eastAsia="SimSun" w:cs="SimSun"/>
          <w:sz w:val="25"/>
          <w:szCs w:val="25"/>
        </w:rPr>
        <w:t>A</w:t>
      </w:r>
      <w:r>
        <w:rPr>
          <w:rFonts w:ascii="SimSun" w:hAnsi="SimSun" w:eastAsia="SimSun" w:cs="SimSun"/>
          <w:sz w:val="25"/>
          <w:szCs w:val="25"/>
          <w:spacing w:val="1"/>
        </w:rPr>
        <w:t>3 </w:t>
      </w:r>
      <w:r>
        <w:rPr>
          <w:sz w:val="25"/>
          <w:szCs w:val="25"/>
          <w:spacing w:val="1"/>
        </w:rPr>
        <w:t>(稳定展望)。</w:t>
      </w:r>
    </w:p>
    <w:p>
      <w:pPr>
        <w:pStyle w:val="BodyText"/>
        <w:ind w:left="376"/>
        <w:spacing w:before="229" w:line="221" w:lineRule="auto"/>
        <w:rPr>
          <w:sz w:val="25"/>
          <w:szCs w:val="25"/>
        </w:rPr>
      </w:pPr>
      <w:r>
        <w:rPr>
          <w:sz w:val="25"/>
          <w:szCs w:val="25"/>
          <w:spacing w:val="6"/>
        </w:rPr>
        <w:t>·</w:t>
      </w:r>
      <w:r>
        <w:rPr>
          <w:sz w:val="25"/>
          <w:szCs w:val="25"/>
          <w:spacing w:val="-106"/>
        </w:rPr>
        <w:t xml:space="preserve"> </w:t>
      </w:r>
      <w:r>
        <w:rPr>
          <w:sz w:val="25"/>
          <w:szCs w:val="25"/>
          <w:spacing w:val="6"/>
        </w:rPr>
        <w:t>过往五年增长幅度：2021-2025年收入增长0.82%,2025年达710</w:t>
      </w:r>
      <w:r>
        <w:rPr>
          <w:sz w:val="25"/>
          <w:szCs w:val="25"/>
          <w:spacing w:val="5"/>
        </w:rPr>
        <w:t>亿美元。</w:t>
      </w:r>
    </w:p>
    <w:p>
      <w:pPr>
        <w:pStyle w:val="BodyText"/>
        <w:ind w:left="376"/>
        <w:spacing w:before="240" w:line="213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</w:t>
      </w:r>
      <w:r>
        <w:rPr>
          <w:sz w:val="25"/>
          <w:szCs w:val="25"/>
          <w:spacing w:val="-97"/>
        </w:rPr>
        <w:t xml:space="preserve"> </w:t>
      </w:r>
      <w:r>
        <w:rPr>
          <w:sz w:val="25"/>
          <w:szCs w:val="25"/>
          <w:spacing w:val="-1"/>
        </w:rPr>
        <w:t>实际分红：每股0.5675美元，收益率约3%。</w:t>
      </w:r>
    </w:p>
    <w:p>
      <w:pPr>
        <w:pStyle w:val="BodyText"/>
        <w:ind w:left="376"/>
        <w:spacing w:before="252" w:line="213" w:lineRule="auto"/>
        <w:rPr>
          <w:sz w:val="25"/>
          <w:szCs w:val="25"/>
        </w:rPr>
      </w:pPr>
      <w:r>
        <w:rPr>
          <w:sz w:val="25"/>
          <w:szCs w:val="25"/>
          <w:spacing w:val="-10"/>
        </w:rPr>
        <w:t>·未来在中国发展潜力：通过合资扩张，潜力中等，受贸易影响。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81" w:line="217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5"/>
        </w:rPr>
        <w:t>9.Japan</w:t>
      </w:r>
      <w:r>
        <w:rPr>
          <w:rFonts w:ascii="SimSun" w:hAnsi="SimSun" w:eastAsia="SimSun" w:cs="SimSun"/>
          <w:sz w:val="25"/>
          <w:szCs w:val="25"/>
          <w:spacing w:val="-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5"/>
        </w:rPr>
        <w:t>Post</w:t>
      </w:r>
      <w:r>
        <w:rPr>
          <w:rFonts w:ascii="SimSun" w:hAnsi="SimSun" w:eastAsia="SimSun" w:cs="SimSun"/>
          <w:sz w:val="25"/>
          <w:szCs w:val="25"/>
          <w:spacing w:val="2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5"/>
        </w:rPr>
        <w:t>Insurance</w:t>
      </w:r>
      <w:r>
        <w:rPr>
          <w:sz w:val="25"/>
          <w:szCs w:val="25"/>
          <w:b/>
          <w:bCs/>
          <w:spacing w:val="-6"/>
        </w:rPr>
        <w:t>(日本)</w:t>
      </w:r>
    </w:p>
    <w:p>
      <w:pPr>
        <w:pStyle w:val="BodyText"/>
        <w:ind w:left="376"/>
        <w:spacing w:before="224" w:line="213" w:lineRule="auto"/>
        <w:rPr>
          <w:sz w:val="25"/>
          <w:szCs w:val="25"/>
        </w:rPr>
      </w:pPr>
      <w:r>
        <w:rPr>
          <w:sz w:val="25"/>
          <w:szCs w:val="25"/>
          <w:spacing w:val="-5"/>
        </w:rPr>
        <w:t>·融资情况：保费和政府支持，2025年投资侧车。</w:t>
      </w:r>
    </w:p>
    <w:p>
      <w:pPr>
        <w:pStyle w:val="BodyText"/>
        <w:ind w:left="376"/>
        <w:spacing w:before="278" w:line="218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·信誉度：</w:t>
      </w:r>
      <w:r>
        <w:rPr>
          <w:rFonts w:ascii="SimSun" w:hAnsi="SimSun" w:eastAsia="SimSun" w:cs="SimSun"/>
          <w:sz w:val="25"/>
          <w:szCs w:val="25"/>
          <w:spacing w:val="1"/>
        </w:rPr>
        <w:t>S&amp;</w:t>
      </w:r>
      <w:r>
        <w:rPr>
          <w:rFonts w:ascii="SimSun" w:hAnsi="SimSun" w:eastAsia="SimSun" w:cs="SimSun"/>
          <w:sz w:val="25"/>
          <w:szCs w:val="25"/>
        </w:rPr>
        <w:t>P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</w:t>
      </w:r>
      <w:r>
        <w:rPr>
          <w:rFonts w:ascii="SimSun" w:hAnsi="SimSun" w:eastAsia="SimSun" w:cs="SimSun"/>
          <w:sz w:val="25"/>
          <w:szCs w:val="25"/>
        </w:rPr>
        <w:t>A</w:t>
      </w:r>
      <w:r>
        <w:rPr>
          <w:rFonts w:ascii="SimSun" w:hAnsi="SimSun" w:eastAsia="SimSun" w:cs="SimSun"/>
          <w:sz w:val="25"/>
          <w:szCs w:val="25"/>
          <w:spacing w:val="1"/>
        </w:rPr>
        <w:t>+ </w:t>
      </w:r>
      <w:r>
        <w:rPr>
          <w:sz w:val="25"/>
          <w:szCs w:val="25"/>
          <w:spacing w:val="1"/>
        </w:rPr>
        <w:t>(稳定展望),</w:t>
      </w:r>
      <w:r>
        <w:rPr>
          <w:rFonts w:ascii="SimSun" w:hAnsi="SimSun" w:eastAsia="SimSun" w:cs="SimSun"/>
          <w:sz w:val="25"/>
          <w:szCs w:val="25"/>
        </w:rPr>
        <w:t>Moody</w:t>
      </w:r>
      <w:r>
        <w:rPr>
          <w:rFonts w:ascii="SimSun" w:hAnsi="SimSun" w:eastAsia="SimSun" w:cs="SimSun"/>
          <w:sz w:val="25"/>
          <w:szCs w:val="25"/>
          <w:spacing w:val="1"/>
        </w:rPr>
        <w:t>'</w:t>
      </w:r>
      <w:r>
        <w:rPr>
          <w:rFonts w:ascii="SimSun" w:hAnsi="SimSun" w:eastAsia="SimSun" w:cs="SimSun"/>
          <w:sz w:val="25"/>
          <w:szCs w:val="25"/>
        </w:rPr>
        <w:t>s</w:t>
      </w:r>
      <w:r>
        <w:rPr>
          <w:rFonts w:ascii="SimSun" w:hAnsi="SimSun" w:eastAsia="SimSun" w:cs="SimSun"/>
          <w:sz w:val="25"/>
          <w:szCs w:val="25"/>
          <w:spacing w:val="76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A</w:t>
      </w:r>
      <w:r>
        <w:rPr>
          <w:rFonts w:ascii="SimSun" w:hAnsi="SimSun" w:eastAsia="SimSun" w:cs="SimSun"/>
          <w:sz w:val="25"/>
          <w:szCs w:val="25"/>
          <w:spacing w:val="1"/>
        </w:rPr>
        <w:t>1 </w:t>
      </w:r>
      <w:r>
        <w:rPr>
          <w:sz w:val="25"/>
          <w:szCs w:val="25"/>
          <w:spacing w:val="1"/>
        </w:rPr>
        <w:t>(稳定展望)。</w:t>
      </w:r>
    </w:p>
    <w:p>
      <w:pPr>
        <w:pStyle w:val="BodyText"/>
        <w:ind w:left="376"/>
        <w:spacing w:before="229" w:line="222" w:lineRule="auto"/>
        <w:rPr>
          <w:sz w:val="25"/>
          <w:szCs w:val="25"/>
        </w:rPr>
      </w:pPr>
      <w:r>
        <w:rPr>
          <w:sz w:val="25"/>
          <w:szCs w:val="25"/>
          <w:spacing w:val="8"/>
        </w:rPr>
        <w:t>·</w:t>
      </w:r>
      <w:r>
        <w:rPr>
          <w:sz w:val="25"/>
          <w:szCs w:val="25"/>
          <w:spacing w:val="-103"/>
        </w:rPr>
        <w:t xml:space="preserve"> </w:t>
      </w:r>
      <w:r>
        <w:rPr>
          <w:sz w:val="25"/>
          <w:szCs w:val="25"/>
          <w:spacing w:val="8"/>
        </w:rPr>
        <w:t>过往五年增长幅度：2021-2025年收入增长-1.8</w:t>
      </w:r>
      <w:r>
        <w:rPr>
          <w:sz w:val="25"/>
          <w:szCs w:val="25"/>
          <w:spacing w:val="7"/>
        </w:rPr>
        <w:t>%,2025年净利增49%。</w:t>
      </w:r>
    </w:p>
    <w:p>
      <w:pPr>
        <w:pStyle w:val="BodyText"/>
        <w:ind w:left="376"/>
        <w:spacing w:before="228" w:line="213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</w:t>
      </w:r>
      <w:r>
        <w:rPr>
          <w:sz w:val="25"/>
          <w:szCs w:val="25"/>
          <w:spacing w:val="-102"/>
        </w:rPr>
        <w:t xml:space="preserve"> </w:t>
      </w:r>
      <w:r>
        <w:rPr>
          <w:sz w:val="25"/>
          <w:szCs w:val="25"/>
          <w:spacing w:val="-2"/>
        </w:rPr>
        <w:t>实际分红：每股124日元，收益率约3</w:t>
      </w:r>
      <w:r>
        <w:rPr>
          <w:sz w:val="25"/>
          <w:szCs w:val="25"/>
          <w:spacing w:val="-3"/>
        </w:rPr>
        <w:t>%。</w:t>
      </w:r>
    </w:p>
    <w:p>
      <w:pPr>
        <w:pStyle w:val="BodyText"/>
        <w:ind w:left="376"/>
        <w:spacing w:before="242" w:line="213" w:lineRule="auto"/>
        <w:rPr>
          <w:sz w:val="25"/>
          <w:szCs w:val="25"/>
        </w:rPr>
      </w:pPr>
      <w:r>
        <w:rPr>
          <w:sz w:val="25"/>
          <w:szCs w:val="25"/>
          <w:spacing w:val="-10"/>
        </w:rPr>
        <w:t>·未来在中国发展潜力：活动有限，未来通过联盟扩展，潜力低。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82" w:line="222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10.Assicurazioni</w:t>
      </w:r>
      <w:r>
        <w:rPr>
          <w:rFonts w:ascii="SimSun" w:hAnsi="SimSun" w:eastAsia="SimSun" w:cs="SimSun"/>
          <w:sz w:val="25"/>
          <w:szCs w:val="25"/>
          <w:spacing w:val="-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Generali</w:t>
      </w:r>
      <w:r>
        <w:rPr>
          <w:sz w:val="25"/>
          <w:szCs w:val="25"/>
          <w:b/>
          <w:bCs/>
          <w:spacing w:val="-9"/>
        </w:rPr>
        <w:t>(意大利)</w:t>
      </w:r>
    </w:p>
    <w:p>
      <w:pPr>
        <w:spacing w:line="222" w:lineRule="auto"/>
        <w:sectPr>
          <w:pgSz w:w="12240" w:h="15840"/>
          <w:pgMar w:top="1176" w:right="1301" w:bottom="0" w:left="973" w:header="0" w:footer="0" w:gutter="0"/>
        </w:sectPr>
        <w:rPr>
          <w:sz w:val="25"/>
          <w:szCs w:val="25"/>
        </w:rPr>
      </w:pPr>
    </w:p>
    <w:p>
      <w:pPr>
        <w:pStyle w:val="BodyText"/>
        <w:ind w:left="389"/>
        <w:spacing w:before="46" w:line="213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·</w:t>
      </w:r>
      <w:r>
        <w:rPr>
          <w:sz w:val="23"/>
          <w:szCs w:val="23"/>
          <w:spacing w:val="-74"/>
        </w:rPr>
        <w:t xml:space="preserve"> </w:t>
      </w:r>
      <w:r>
        <w:rPr>
          <w:sz w:val="23"/>
          <w:szCs w:val="23"/>
          <w:spacing w:val="12"/>
        </w:rPr>
        <w:t>融资情况：保费和绿色债券，2025年发行5亿欧元子级债。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89"/>
        <w:spacing w:before="75" w:line="218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·</w:t>
      </w:r>
      <w:r>
        <w:rPr>
          <w:sz w:val="23"/>
          <w:szCs w:val="23"/>
          <w:spacing w:val="-74"/>
        </w:rPr>
        <w:t xml:space="preserve"> </w:t>
      </w:r>
      <w:r>
        <w:rPr>
          <w:sz w:val="23"/>
          <w:szCs w:val="23"/>
          <w:spacing w:val="-2"/>
        </w:rPr>
        <w:t>信誉度：</w:t>
      </w:r>
      <w:r>
        <w:rPr>
          <w:rFonts w:ascii="SimSun" w:hAnsi="SimSun" w:eastAsia="SimSun" w:cs="SimSun"/>
          <w:sz w:val="23"/>
          <w:szCs w:val="23"/>
          <w:spacing w:val="-2"/>
        </w:rPr>
        <w:t>S&amp;PA</w:t>
      </w:r>
      <w:r>
        <w:rPr>
          <w:rFonts w:ascii="SimSun" w:hAnsi="SimSun" w:eastAsia="SimSun" w:cs="SimSun"/>
          <w:sz w:val="23"/>
          <w:szCs w:val="23"/>
          <w:spacing w:val="25"/>
        </w:rPr>
        <w:t xml:space="preserve">   </w:t>
      </w:r>
      <w:r>
        <w:rPr>
          <w:sz w:val="23"/>
          <w:szCs w:val="23"/>
          <w:spacing w:val="-2"/>
        </w:rPr>
        <w:t>(稳定展望),</w:t>
      </w:r>
      <w:r>
        <w:rPr>
          <w:rFonts w:ascii="SimSun" w:hAnsi="SimSun" w:eastAsia="SimSun" w:cs="SimSun"/>
          <w:sz w:val="23"/>
          <w:szCs w:val="23"/>
          <w:spacing w:val="-2"/>
        </w:rPr>
        <w:t>Moody's</w:t>
      </w:r>
      <w:r>
        <w:rPr>
          <w:rFonts w:ascii="SimSun" w:hAnsi="SimSun" w:eastAsia="SimSun" w:cs="SimSun"/>
          <w:sz w:val="23"/>
          <w:szCs w:val="23"/>
          <w:spacing w:val="5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"/>
        </w:rPr>
        <w:t>A2 </w:t>
      </w:r>
      <w:r>
        <w:rPr>
          <w:sz w:val="23"/>
          <w:szCs w:val="23"/>
          <w:spacing w:val="-2"/>
        </w:rPr>
        <w:t>(</w:t>
      </w:r>
      <w:r>
        <w:rPr>
          <w:sz w:val="23"/>
          <w:szCs w:val="23"/>
          <w:spacing w:val="-52"/>
        </w:rPr>
        <w:t xml:space="preserve"> </w:t>
      </w:r>
      <w:r>
        <w:rPr>
          <w:sz w:val="23"/>
          <w:szCs w:val="23"/>
          <w:spacing w:val="-2"/>
        </w:rPr>
        <w:t>稳</w:t>
      </w:r>
      <w:r>
        <w:rPr>
          <w:sz w:val="23"/>
          <w:szCs w:val="23"/>
          <w:spacing w:val="-53"/>
        </w:rPr>
        <w:t xml:space="preserve"> </w:t>
      </w:r>
      <w:r>
        <w:rPr>
          <w:sz w:val="23"/>
          <w:szCs w:val="23"/>
          <w:spacing w:val="-2"/>
        </w:rPr>
        <w:t>定</w:t>
      </w:r>
      <w:r>
        <w:rPr>
          <w:sz w:val="23"/>
          <w:szCs w:val="23"/>
          <w:spacing w:val="-47"/>
        </w:rPr>
        <w:t xml:space="preserve"> </w:t>
      </w:r>
      <w:r>
        <w:rPr>
          <w:sz w:val="23"/>
          <w:szCs w:val="23"/>
          <w:spacing w:val="-2"/>
        </w:rPr>
        <w:t>展</w:t>
      </w:r>
      <w:r>
        <w:rPr>
          <w:sz w:val="23"/>
          <w:szCs w:val="23"/>
          <w:spacing w:val="-44"/>
        </w:rPr>
        <w:t xml:space="preserve"> </w:t>
      </w:r>
      <w:r>
        <w:rPr>
          <w:sz w:val="23"/>
          <w:szCs w:val="23"/>
          <w:spacing w:val="-2"/>
        </w:rPr>
        <w:t>望</w:t>
      </w:r>
      <w:r>
        <w:rPr>
          <w:sz w:val="23"/>
          <w:szCs w:val="23"/>
          <w:spacing w:val="-54"/>
        </w:rPr>
        <w:t xml:space="preserve"> </w:t>
      </w:r>
      <w:r>
        <w:rPr>
          <w:sz w:val="23"/>
          <w:szCs w:val="23"/>
          <w:spacing w:val="-2"/>
        </w:rPr>
        <w:t>)</w:t>
      </w:r>
      <w:r>
        <w:rPr>
          <w:sz w:val="23"/>
          <w:szCs w:val="23"/>
          <w:spacing w:val="-59"/>
        </w:rPr>
        <w:t xml:space="preserve"> </w:t>
      </w:r>
      <w:r>
        <w:rPr>
          <w:sz w:val="23"/>
          <w:szCs w:val="23"/>
          <w:spacing w:val="-2"/>
        </w:rPr>
        <w:t>。</w:t>
      </w:r>
    </w:p>
    <w:p>
      <w:pPr>
        <w:pStyle w:val="BodyText"/>
        <w:ind w:left="389"/>
        <w:spacing w:before="252" w:line="222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·</w:t>
      </w:r>
      <w:r>
        <w:rPr>
          <w:sz w:val="23"/>
          <w:szCs w:val="23"/>
          <w:spacing w:val="-74"/>
        </w:rPr>
        <w:t xml:space="preserve"> </w:t>
      </w:r>
      <w:r>
        <w:rPr>
          <w:sz w:val="23"/>
          <w:szCs w:val="23"/>
          <w:spacing w:val="18"/>
        </w:rPr>
        <w:t>过往五年增长幅度：2021-2025年收入增长13.1%,2025年前九月保费增3.7%。</w:t>
      </w:r>
    </w:p>
    <w:p>
      <w:pPr>
        <w:pStyle w:val="BodyText"/>
        <w:ind w:left="389"/>
        <w:spacing w:before="253" w:line="21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·</w:t>
      </w:r>
      <w:r>
        <w:rPr>
          <w:sz w:val="23"/>
          <w:szCs w:val="23"/>
          <w:spacing w:val="-80"/>
        </w:rPr>
        <w:t xml:space="preserve"> </w:t>
      </w:r>
      <w:r>
        <w:rPr>
          <w:sz w:val="23"/>
          <w:szCs w:val="23"/>
          <w:spacing w:val="9"/>
        </w:rPr>
        <w:t>实际分红：每股1.43欧元，收益率约4%。</w:t>
      </w:r>
    </w:p>
    <w:p>
      <w:pPr>
        <w:pStyle w:val="BodyText"/>
        <w:ind w:left="389"/>
        <w:spacing w:before="264" w:line="21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93"/>
        </w:rPr>
        <w:t xml:space="preserve"> </w:t>
      </w:r>
      <w:r>
        <w:rPr>
          <w:sz w:val="23"/>
          <w:szCs w:val="23"/>
          <w:spacing w:val="8"/>
        </w:rPr>
        <w:t>未来在中国发展潜力：通过</w:t>
      </w:r>
      <w:r>
        <w:rPr>
          <w:rFonts w:ascii="SimSun" w:hAnsi="SimSun" w:eastAsia="SimSun" w:cs="SimSun"/>
          <w:sz w:val="23"/>
          <w:szCs w:val="23"/>
        </w:rPr>
        <w:t>Generali</w:t>
      </w:r>
      <w:r>
        <w:rPr>
          <w:rFonts w:ascii="SimSun" w:hAnsi="SimSun" w:eastAsia="SimSun" w:cs="SimSun"/>
          <w:sz w:val="23"/>
          <w:szCs w:val="23"/>
          <w:spacing w:val="48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China</w:t>
      </w:r>
      <w:r>
        <w:rPr>
          <w:sz w:val="23"/>
          <w:szCs w:val="23"/>
          <w:spacing w:val="8"/>
        </w:rPr>
        <w:t>活跃，潜力高，聚焦可持续保险。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5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5"/>
        </w:rPr>
        <w:t>增长与分红比较表</w:t>
      </w:r>
    </w:p>
    <w:p>
      <w:pPr>
        <w:pStyle w:val="BodyText"/>
        <w:ind w:left="23"/>
        <w:spacing w:before="285" w:line="22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  <w:position w:val="2"/>
        </w:rPr>
        <w:t>公司</w:t>
      </w:r>
      <w:r>
        <w:rPr>
          <w:sz w:val="23"/>
          <w:szCs w:val="23"/>
          <w:spacing w:val="3"/>
          <w:position w:val="2"/>
        </w:rPr>
        <w:t xml:space="preserve">               </w:t>
      </w:r>
      <w:r>
        <w:rPr>
          <w:sz w:val="23"/>
          <w:szCs w:val="23"/>
          <w:b/>
          <w:bCs/>
          <w:spacing w:val="-9"/>
        </w:rPr>
        <w:t>5年平均收入增长(%)</w:t>
      </w:r>
      <w:r>
        <w:rPr>
          <w:sz w:val="23"/>
          <w:szCs w:val="23"/>
          <w:spacing w:val="88"/>
        </w:rPr>
        <w:t xml:space="preserve"> </w:t>
      </w:r>
      <w:r>
        <w:rPr>
          <w:sz w:val="23"/>
          <w:szCs w:val="23"/>
          <w:b/>
          <w:bCs/>
          <w:spacing w:val="-9"/>
        </w:rPr>
        <w:t>2025年分红水平(每股)</w:t>
      </w:r>
      <w:r>
        <w:rPr>
          <w:sz w:val="23"/>
          <w:szCs w:val="23"/>
          <w:spacing w:val="78"/>
        </w:rPr>
        <w:t xml:space="preserve"> </w:t>
      </w:r>
      <w:r>
        <w:rPr>
          <w:sz w:val="23"/>
          <w:szCs w:val="23"/>
          <w:b/>
          <w:bCs/>
          <w:spacing w:val="-9"/>
        </w:rPr>
        <w:t>中国潜力评分(</w:t>
      </w:r>
      <w:r>
        <w:rPr>
          <w:sz w:val="23"/>
          <w:szCs w:val="23"/>
          <w:b/>
          <w:bCs/>
          <w:spacing w:val="-10"/>
        </w:rPr>
        <w:t>1-10)</w:t>
      </w:r>
    </w:p>
    <w:p>
      <w:pPr>
        <w:spacing w:line="373" w:lineRule="auto"/>
        <w:rPr>
          <w:rFonts w:ascii="Arial"/>
          <w:sz w:val="21"/>
        </w:rPr>
      </w:pPr>
      <w:r/>
    </w:p>
    <w:sdt>
      <w:sdtPr>
        <w:rPr>
          <w:rFonts w:ascii="SimSun" w:hAnsi="SimSun" w:eastAsia="SimSun" w:cs="SimSun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0"/>
          <w:szCs w:val="20"/>
        </w:rPr>
      </w:sdtEndPr>
      <w:sdtContent>
        <w:p>
          <w:pPr>
            <w:ind w:left="42"/>
            <w:spacing w:before="66" w:line="241" w:lineRule="auto"/>
            <w:rPr>
              <w:rFonts w:ascii="SimSun" w:hAnsi="SimSun" w:eastAsia="SimSun" w:cs="SimSun"/>
              <w:sz w:val="20"/>
              <w:szCs w:val="20"/>
            </w:rPr>
          </w:pPr>
          <w:r>
            <w:rPr>
              <w:rFonts w:ascii="SimSun" w:hAnsi="SimSun" w:eastAsia="SimSun" w:cs="SimSun"/>
              <w:sz w:val="20"/>
              <w:szCs w:val="20"/>
              <w:b/>
              <w:bCs/>
              <w:spacing w:val="-1"/>
            </w:rPr>
            <w:t>Berkshire</w:t>
          </w:r>
          <w:r>
            <w:rPr>
              <w:rFonts w:ascii="SimSun" w:hAnsi="SimSun" w:eastAsia="SimSun" w:cs="SimSun"/>
              <w:sz w:val="20"/>
              <w:szCs w:val="20"/>
              <w:spacing w:val="-1"/>
            </w:rPr>
            <w:t xml:space="preserve"> </w:t>
          </w:r>
          <w:r>
            <w:rPr>
              <w:rFonts w:ascii="SimSun" w:hAnsi="SimSun" w:eastAsia="SimSun" w:cs="SimSun"/>
              <w:sz w:val="20"/>
              <w:szCs w:val="20"/>
              <w:b/>
              <w:bCs/>
              <w:spacing w:val="-1"/>
            </w:rPr>
            <w:t>Hathaway</w:t>
          </w:r>
          <w:r>
            <w:rPr>
              <w:rFonts w:ascii="SimSun" w:hAnsi="SimSun" w:eastAsia="SimSun" w:cs="SimSun"/>
              <w:sz w:val="20"/>
              <w:szCs w:val="20"/>
              <w:spacing w:val="23"/>
            </w:rPr>
            <w:t xml:space="preserve">    </w:t>
          </w:r>
          <w:r>
            <w:rPr>
              <w:rFonts w:ascii="SimSun" w:hAnsi="SimSun" w:eastAsia="SimSun" w:cs="SimSun"/>
              <w:sz w:val="20"/>
              <w:szCs w:val="20"/>
              <w:spacing w:val="-1"/>
              <w:position w:val="-2"/>
            </w:rPr>
            <w:t>7.48                   </w:t>
          </w:r>
          <w:r>
            <w:rPr>
              <w:rFonts w:ascii="SimSun" w:hAnsi="SimSun" w:eastAsia="SimSun" w:cs="SimSun"/>
              <w:sz w:val="20"/>
              <w:szCs w:val="20"/>
              <w:spacing w:val="-1"/>
            </w:rPr>
            <w:t>无常规                 </w:t>
          </w:r>
          <w:hyperlink w:history="true" w:anchor="bookmark1">
            <w:r>
              <w:rPr>
                <w:rFonts w:ascii="SimSun" w:hAnsi="SimSun" w:eastAsia="SimSun" w:cs="SimSun"/>
                <w:sz w:val="20"/>
                <w:szCs w:val="20"/>
                <w:spacing w:val="-1"/>
                <w:position w:val="-2"/>
              </w:rPr>
              <w:t>5</w:t>
            </w:r>
          </w:hyperlink>
        </w:p>
        <w:p>
          <w:pPr>
            <w:ind w:left="42"/>
            <w:spacing w:before="267" w:line="238" w:lineRule="auto"/>
            <w:rPr>
              <w:rFonts w:ascii="SimSun" w:hAnsi="SimSun" w:eastAsia="SimSun" w:cs="SimSun"/>
              <w:sz w:val="20"/>
              <w:szCs w:val="20"/>
            </w:rPr>
          </w:pPr>
          <w:r>
            <w:rPr>
              <w:rFonts w:ascii="SimSun" w:hAnsi="SimSun" w:eastAsia="SimSun" w:cs="SimSun"/>
              <w:sz w:val="20"/>
              <w:szCs w:val="20"/>
              <w:b/>
              <w:bCs/>
              <w:spacing w:val="-1"/>
            </w:rPr>
            <w:t>China</w:t>
          </w:r>
          <w:r>
            <w:rPr>
              <w:rFonts w:ascii="SimSun" w:hAnsi="SimSun" w:eastAsia="SimSun" w:cs="SimSun"/>
              <w:sz w:val="20"/>
              <w:szCs w:val="20"/>
              <w:spacing w:val="-1"/>
            </w:rPr>
            <w:t xml:space="preserve"> </w:t>
          </w:r>
          <w:r>
            <w:rPr>
              <w:rFonts w:ascii="SimSun" w:hAnsi="SimSun" w:eastAsia="SimSun" w:cs="SimSun"/>
              <w:sz w:val="20"/>
              <w:szCs w:val="20"/>
              <w:b/>
              <w:bCs/>
              <w:spacing w:val="-1"/>
            </w:rPr>
            <w:t>Life</w:t>
          </w:r>
          <w:r>
            <w:rPr>
              <w:rFonts w:ascii="SimSun" w:hAnsi="SimSun" w:eastAsia="SimSun" w:cs="SimSun"/>
              <w:sz w:val="20"/>
              <w:szCs w:val="20"/>
              <w:spacing w:val="-1"/>
            </w:rPr>
            <w:t xml:space="preserve">           </w:t>
          </w:r>
          <w:r>
            <w:rPr>
              <w:rFonts w:ascii="SimSun" w:hAnsi="SimSun" w:eastAsia="SimSun" w:cs="SimSun"/>
              <w:sz w:val="20"/>
              <w:szCs w:val="20"/>
              <w:spacing w:val="-2"/>
            </w:rPr>
            <w:t xml:space="preserve"> 5                      </w:t>
          </w:r>
          <w:r>
            <w:rPr>
              <w:rFonts w:ascii="SimSun" w:hAnsi="SimSun" w:eastAsia="SimSun" w:cs="SimSun"/>
              <w:sz w:val="20"/>
              <w:szCs w:val="20"/>
              <w:spacing w:val="-2"/>
              <w:position w:val="1"/>
            </w:rPr>
            <w:t>0.26港元</w:t>
          </w:r>
          <w:r>
            <w:rPr>
              <w:rFonts w:ascii="SimSun" w:hAnsi="SimSun" w:eastAsia="SimSun" w:cs="SimSun"/>
              <w:sz w:val="20"/>
              <w:szCs w:val="20"/>
              <w:spacing w:val="1"/>
              <w:position w:val="1"/>
            </w:rPr>
            <w:t xml:space="preserve">                </w:t>
          </w:r>
          <w:hyperlink w:history="true" w:anchor="bookmark2"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9</w:t>
            </w:r>
          </w:hyperlink>
        </w:p>
      </w:sdtContent>
    </w:sdt>
    <w:p>
      <w:pPr>
        <w:spacing w:line="109" w:lineRule="exact"/>
        <w:rPr/>
      </w:pPr>
      <w:r/>
    </w:p>
    <w:tbl>
      <w:tblPr>
        <w:tblStyle w:val="TableNormal"/>
        <w:tblW w:w="927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91"/>
        <w:gridCol w:w="1449"/>
        <w:gridCol w:w="2600"/>
        <w:gridCol w:w="3139"/>
      </w:tblGrid>
      <w:tr>
        <w:trPr>
          <w:trHeight w:val="603" w:hRule="atLeast"/>
        </w:trPr>
        <w:tc>
          <w:tcPr>
            <w:tcW w:w="20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"/>
              <w:spacing w:before="224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Ping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An</w:t>
            </w:r>
          </w:p>
        </w:tc>
        <w:tc>
          <w:tcPr>
            <w:tcW w:w="14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9"/>
              <w:spacing w:before="222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-8.97</w:t>
            </w:r>
          </w:p>
        </w:tc>
        <w:tc>
          <w:tcPr>
            <w:tcW w:w="26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49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0.95元</w:t>
            </w:r>
          </w:p>
        </w:tc>
        <w:tc>
          <w:tcPr>
            <w:tcW w:w="31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9"/>
              <w:spacing w:before="222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10</w:t>
            </w:r>
          </w:p>
        </w:tc>
      </w:tr>
      <w:tr>
        <w:trPr>
          <w:trHeight w:val="579" w:hRule="atLeast"/>
        </w:trPr>
        <w:tc>
          <w:tcPr>
            <w:tcW w:w="20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"/>
              <w:spacing w:before="235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Allianz</w:t>
            </w:r>
          </w:p>
        </w:tc>
        <w:tc>
          <w:tcPr>
            <w:tcW w:w="14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9"/>
              <w:spacing w:before="209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9.5</w:t>
            </w:r>
          </w:p>
        </w:tc>
        <w:tc>
          <w:tcPr>
            <w:tcW w:w="26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49"/>
              <w:spacing w:before="19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15.4欧元</w:t>
            </w:r>
          </w:p>
        </w:tc>
        <w:tc>
          <w:tcPr>
            <w:tcW w:w="31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9"/>
              <w:spacing w:before="20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>
        <w:trPr>
          <w:trHeight w:val="608" w:hRule="atLeast"/>
        </w:trPr>
        <w:tc>
          <w:tcPr>
            <w:tcW w:w="20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"/>
              <w:spacing w:before="261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AXA</w:t>
            </w:r>
          </w:p>
        </w:tc>
        <w:tc>
          <w:tcPr>
            <w:tcW w:w="14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9"/>
              <w:spacing w:before="2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6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49"/>
              <w:spacing w:before="21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2.15欧元</w:t>
            </w:r>
          </w:p>
        </w:tc>
        <w:tc>
          <w:tcPr>
            <w:tcW w:w="31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9"/>
              <w:spacing w:before="23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>
        <w:trPr>
          <w:trHeight w:val="615" w:hRule="atLeast"/>
        </w:trPr>
        <w:tc>
          <w:tcPr>
            <w:tcW w:w="209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"/>
              <w:spacing w:before="236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Nippon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Life</w:t>
            </w:r>
          </w:p>
        </w:tc>
        <w:tc>
          <w:tcPr>
            <w:tcW w:w="144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9"/>
              <w:spacing w:before="232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3.8</w:t>
            </w:r>
          </w:p>
        </w:tc>
        <w:tc>
          <w:tcPr>
            <w:tcW w:w="260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49"/>
              <w:spacing w:before="21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无直接</w:t>
            </w:r>
          </w:p>
        </w:tc>
        <w:tc>
          <w:tcPr>
            <w:tcW w:w="313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69"/>
              <w:spacing w:before="2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>
        <w:trPr>
          <w:trHeight w:val="611" w:hRule="atLeast"/>
        </w:trPr>
        <w:tc>
          <w:tcPr>
            <w:tcW w:w="20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2"/>
              <w:spacing w:before="234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Prudential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Financial</w:t>
            </w:r>
          </w:p>
        </w:tc>
        <w:tc>
          <w:tcPr>
            <w:tcW w:w="144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9"/>
              <w:spacing w:before="238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-34.7</w:t>
            </w:r>
          </w:p>
        </w:tc>
        <w:tc>
          <w:tcPr>
            <w:tcW w:w="260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49"/>
              <w:spacing w:before="21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1.35美元</w:t>
            </w:r>
          </w:p>
        </w:tc>
        <w:tc>
          <w:tcPr>
            <w:tcW w:w="313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69"/>
              <w:spacing w:before="2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>
        <w:trPr>
          <w:trHeight w:val="494" w:hRule="atLeast"/>
        </w:trPr>
        <w:tc>
          <w:tcPr>
            <w:tcW w:w="20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"/>
              <w:spacing w:before="207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MetLife</w:t>
            </w:r>
          </w:p>
        </w:tc>
        <w:tc>
          <w:tcPr>
            <w:tcW w:w="14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9"/>
              <w:spacing w:before="177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0.82</w:t>
            </w:r>
          </w:p>
        </w:tc>
        <w:tc>
          <w:tcPr>
            <w:tcW w:w="26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49"/>
              <w:spacing w:before="15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0.5675美元</w:t>
            </w:r>
          </w:p>
        </w:tc>
        <w:tc>
          <w:tcPr>
            <w:tcW w:w="31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69"/>
              <w:spacing w:before="1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</w:tbl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0"/>
          <w:szCs w:val="20"/>
        </w:rPr>
      </w:sdtEndPr>
      <w:sdtContent>
        <w:p>
          <w:pPr>
            <w:ind w:left="42"/>
            <w:spacing w:before="263" w:line="229" w:lineRule="auto"/>
            <w:rPr>
              <w:rFonts w:ascii="SimSun" w:hAnsi="SimSun" w:eastAsia="SimSun" w:cs="SimSun"/>
              <w:sz w:val="20"/>
              <w:szCs w:val="20"/>
            </w:rPr>
          </w:pPr>
          <w:r>
            <w:rPr>
              <w:rFonts w:ascii="SimSun" w:hAnsi="SimSun" w:eastAsia="SimSun" w:cs="SimSun"/>
              <w:sz w:val="20"/>
              <w:szCs w:val="20"/>
              <w:b/>
              <w:bCs/>
              <w:spacing w:val="-2"/>
              <w:position w:val="1"/>
            </w:rPr>
            <w:t>Japan</w:t>
          </w:r>
          <w:r>
            <w:rPr>
              <w:rFonts w:ascii="SimSun" w:hAnsi="SimSun" w:eastAsia="SimSun" w:cs="SimSun"/>
              <w:sz w:val="20"/>
              <w:szCs w:val="20"/>
              <w:spacing w:val="-2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20"/>
              <w:szCs w:val="20"/>
              <w:b/>
              <w:bCs/>
              <w:spacing w:val="-2"/>
              <w:position w:val="1"/>
            </w:rPr>
            <w:t>Post</w:t>
          </w:r>
          <w:r>
            <w:rPr>
              <w:rFonts w:ascii="SimSun" w:hAnsi="SimSun" w:eastAsia="SimSun" w:cs="SimSun"/>
              <w:sz w:val="20"/>
              <w:szCs w:val="20"/>
              <w:spacing w:val="8"/>
              <w:position w:val="1"/>
            </w:rPr>
            <w:t xml:space="preserve">           </w:t>
          </w:r>
          <w:r>
            <w:rPr>
              <w:rFonts w:ascii="SimSun" w:hAnsi="SimSun" w:eastAsia="SimSun" w:cs="SimSun"/>
              <w:sz w:val="20"/>
              <w:szCs w:val="20"/>
              <w:spacing w:val="-2"/>
              <w:position w:val="-1"/>
            </w:rPr>
            <w:t>-1.8</w:t>
          </w:r>
          <w:r>
            <w:rPr>
              <w:rFonts w:ascii="SimSun" w:hAnsi="SimSun" w:eastAsia="SimSun" w:cs="SimSun"/>
              <w:sz w:val="20"/>
              <w:szCs w:val="20"/>
              <w:spacing w:val="1"/>
              <w:position w:val="-1"/>
            </w:rPr>
            <w:t xml:space="preserve">                   </w:t>
          </w:r>
          <w:r>
            <w:rPr>
              <w:rFonts w:ascii="SimSun" w:hAnsi="SimSun" w:eastAsia="SimSun" w:cs="SimSun"/>
              <w:sz w:val="20"/>
              <w:szCs w:val="20"/>
              <w:spacing w:val="-2"/>
            </w:rPr>
            <w:t>124日元</w:t>
          </w:r>
          <w:r>
            <w:rPr>
              <w:rFonts w:ascii="SimSun" w:hAnsi="SimSun" w:eastAsia="SimSun" w:cs="SimSun"/>
              <w:sz w:val="20"/>
              <w:szCs w:val="20"/>
              <w:spacing w:val="5"/>
            </w:rPr>
            <w:t xml:space="preserve">                </w:t>
          </w:r>
          <w:hyperlink w:history="true" w:anchor="bookmark3">
            <w:r>
              <w:rPr>
                <w:rFonts w:ascii="SimSun" w:hAnsi="SimSun" w:eastAsia="SimSun" w:cs="SimSun"/>
                <w:sz w:val="20"/>
                <w:szCs w:val="20"/>
                <w:spacing w:val="-2"/>
                <w:position w:val="-1"/>
              </w:rPr>
              <w:t>4</w:t>
            </w:r>
          </w:hyperlink>
        </w:p>
        <w:p>
          <w:pPr>
            <w:ind w:left="42"/>
            <w:spacing w:before="302" w:line="238" w:lineRule="auto"/>
            <w:rPr>
              <w:rFonts w:ascii="SimSun" w:hAnsi="SimSun" w:eastAsia="SimSun" w:cs="SimSun"/>
              <w:sz w:val="20"/>
              <w:szCs w:val="20"/>
            </w:rPr>
          </w:pPr>
          <w:r>
            <w:rPr>
              <w:rFonts w:ascii="SimSun" w:hAnsi="SimSun" w:eastAsia="SimSun" w:cs="SimSun"/>
              <w:sz w:val="20"/>
              <w:szCs w:val="20"/>
              <w:b/>
              <w:bCs/>
            </w:rPr>
            <w:t>Generali</w:t>
          </w:r>
          <w:r>
            <w:rPr>
              <w:rFonts w:ascii="SimSun" w:hAnsi="SimSun" w:eastAsia="SimSun" w:cs="SimSun"/>
              <w:sz w:val="20"/>
              <w:szCs w:val="20"/>
              <w:spacing w:val="5"/>
            </w:rPr>
            <w:t xml:space="preserve">             </w:t>
          </w:r>
          <w:r>
            <w:rPr>
              <w:rFonts w:ascii="SimSun" w:hAnsi="SimSun" w:eastAsia="SimSun" w:cs="SimSun"/>
              <w:sz w:val="20"/>
              <w:szCs w:val="20"/>
            </w:rPr>
            <w:t>13.1                  </w:t>
          </w:r>
          <w:r>
            <w:rPr>
              <w:rFonts w:ascii="SimSun" w:hAnsi="SimSun" w:eastAsia="SimSun" w:cs="SimSun"/>
              <w:sz w:val="20"/>
              <w:szCs w:val="20"/>
              <w:spacing w:val="-1"/>
            </w:rPr>
            <w:t xml:space="preserve"> </w:t>
          </w:r>
          <w:r>
            <w:rPr>
              <w:rFonts w:ascii="SimSun" w:hAnsi="SimSun" w:eastAsia="SimSun" w:cs="SimSun"/>
              <w:sz w:val="20"/>
              <w:szCs w:val="20"/>
              <w:spacing w:val="-1"/>
              <w:position w:val="1"/>
            </w:rPr>
            <w:t>1.43欧元                </w:t>
          </w:r>
          <w:hyperlink w:history="true" w:anchor="bookmark4"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8</w:t>
            </w:r>
          </w:hyperlink>
        </w:p>
      </w:sdtContent>
    </w:sdt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6" w:line="21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数据来源：</w:t>
      </w:r>
      <w:r>
        <w:rPr>
          <w:sz w:val="23"/>
          <w:szCs w:val="23"/>
          <w:spacing w:val="-5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Macrotrends    [web:60</w:t>
      </w:r>
      <w:r>
        <w:rPr>
          <w:rFonts w:ascii="SimSun" w:hAnsi="SimSun" w:eastAsia="SimSun" w:cs="SimSun"/>
          <w:sz w:val="23"/>
          <w:szCs w:val="23"/>
          <w:spacing w:val="-2"/>
        </w:rPr>
        <w:t>,209</w:t>
      </w:r>
      <w:r>
        <w:rPr>
          <w:sz w:val="23"/>
          <w:szCs w:val="23"/>
          <w:spacing w:val="-2"/>
        </w:rPr>
        <w:t>等]、公司报告。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5" w:line="221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评级与潜力比较表</w:t>
      </w:r>
    </w:p>
    <w:p>
      <w:pPr>
        <w:spacing w:line="221" w:lineRule="auto"/>
        <w:sectPr>
          <w:pgSz w:w="12240" w:h="15840"/>
          <w:pgMar w:top="1171" w:right="1836" w:bottom="0" w:left="959" w:header="0" w:footer="0" w:gutter="0"/>
        </w:sectPr>
        <w:rPr>
          <w:sz w:val="23"/>
          <w:szCs w:val="23"/>
        </w:rPr>
      </w:pPr>
    </w:p>
    <w:p>
      <w:pPr>
        <w:pStyle w:val="BodyText"/>
        <w:ind w:left="23"/>
        <w:spacing w:before="52" w:line="224" w:lineRule="auto"/>
        <w:rPr>
          <w:sz w:val="23"/>
          <w:szCs w:val="23"/>
        </w:rPr>
      </w:pPr>
      <w:bookmarkStart w:name="bookmark4" w:id="1"/>
      <w:bookmarkEnd w:id="1"/>
      <w:r>
        <w:rPr>
          <w:sz w:val="23"/>
          <w:szCs w:val="23"/>
          <w:b/>
          <w:bCs/>
          <w:spacing w:val="-6"/>
        </w:rPr>
        <w:t>公司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left="32"/>
        <w:spacing w:before="65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Berkshire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Hathaway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7" w:line="221" w:lineRule="auto"/>
        <w:rPr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13"/>
        </w:rPr>
        <w:t>S&amp;P</w:t>
      </w:r>
      <w:r>
        <w:rPr>
          <w:sz w:val="23"/>
          <w:szCs w:val="23"/>
          <w:b/>
          <w:bCs/>
          <w:spacing w:val="-13"/>
        </w:rPr>
        <w:t>评级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ind w:left="101"/>
        <w:spacing w:before="65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AA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7" w:line="212" w:lineRule="auto"/>
        <w:rPr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6"/>
        </w:rPr>
        <w:t>Moody's</w:t>
      </w:r>
      <w:r>
        <w:rPr>
          <w:sz w:val="23"/>
          <w:szCs w:val="23"/>
          <w:b/>
          <w:bCs/>
          <w:spacing w:val="-6"/>
        </w:rPr>
        <w:t>评级</w:t>
      </w:r>
      <w:r>
        <w:rPr>
          <w:sz w:val="23"/>
          <w:szCs w:val="23"/>
          <w:spacing w:val="-6"/>
        </w:rPr>
        <w:t xml:space="preserve">  </w:t>
      </w:r>
      <w:r>
        <w:rPr>
          <w:sz w:val="23"/>
          <w:szCs w:val="23"/>
          <w:b/>
          <w:bCs/>
          <w:spacing w:val="-6"/>
        </w:rPr>
        <w:t>5年利润增长(%)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ind w:left="152"/>
        <w:spacing w:before="65" w:line="221" w:lineRule="auto"/>
        <w:outlineLvl w:val="0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Aa2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 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5.4</w:t>
      </w:r>
    </w:p>
    <w:p>
      <w:pPr>
        <w:spacing w:line="221" w:lineRule="auto"/>
        <w:sectPr>
          <w:pgSz w:w="12240" w:h="15840"/>
          <w:pgMar w:top="1105" w:right="1100" w:bottom="0" w:left="959" w:header="0" w:footer="0" w:gutter="0"/>
          <w:cols w:equalWidth="0" w:num="3">
            <w:col w:w="2131" w:space="100"/>
            <w:col w:w="1011" w:space="100"/>
            <w:col w:w="684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49" w:lineRule="exact"/>
        <w:rPr/>
      </w:pPr>
      <w:r/>
    </w:p>
    <w:tbl>
      <w:tblPr>
        <w:tblStyle w:val="TableNormal"/>
        <w:tblW w:w="620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98"/>
        <w:gridCol w:w="889"/>
        <w:gridCol w:w="1433"/>
        <w:gridCol w:w="1789"/>
      </w:tblGrid>
      <w:tr>
        <w:trPr>
          <w:trHeight w:val="603" w:hRule="atLeast"/>
        </w:trPr>
        <w:tc>
          <w:tcPr>
            <w:tcW w:w="20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"/>
              <w:spacing w:before="219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China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Life</w:t>
            </w:r>
          </w:p>
        </w:tc>
        <w:tc>
          <w:tcPr>
            <w:tcW w:w="88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4"/>
              <w:spacing w:before="253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A+</w:t>
            </w:r>
          </w:p>
        </w:tc>
        <w:tc>
          <w:tcPr>
            <w:tcW w:w="14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55"/>
              <w:spacing w:before="253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A1</w:t>
            </w:r>
          </w:p>
        </w:tc>
        <w:tc>
          <w:tcPr>
            <w:tcW w:w="178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42"/>
              <w:spacing w:before="220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23.7</w:t>
            </w:r>
          </w:p>
        </w:tc>
      </w:tr>
      <w:tr>
        <w:trPr>
          <w:trHeight w:val="629" w:hRule="atLeast"/>
        </w:trPr>
        <w:tc>
          <w:tcPr>
            <w:tcW w:w="209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2"/>
              <w:spacing w:before="231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Ping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An</w:t>
            </w:r>
          </w:p>
        </w:tc>
        <w:tc>
          <w:tcPr>
            <w:tcW w:w="88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4"/>
              <w:spacing w:before="260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</w:p>
        </w:tc>
        <w:tc>
          <w:tcPr>
            <w:tcW w:w="143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55"/>
              <w:spacing w:before="261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Baa2</w:t>
            </w:r>
          </w:p>
        </w:tc>
        <w:tc>
          <w:tcPr>
            <w:tcW w:w="178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42"/>
              <w:spacing w:before="227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11.8</w:t>
            </w:r>
          </w:p>
        </w:tc>
      </w:tr>
      <w:tr>
        <w:trPr>
          <w:trHeight w:val="610" w:hRule="atLeast"/>
        </w:trPr>
        <w:tc>
          <w:tcPr>
            <w:tcW w:w="2098" w:type="dxa"/>
            <w:vAlign w:val="top"/>
          </w:tcPr>
          <w:p>
            <w:pPr>
              <w:pStyle w:val="TableText"/>
              <w:ind w:left="32"/>
              <w:spacing w:before="236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Allianz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134"/>
              <w:spacing w:before="241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AA</w:t>
            </w:r>
          </w:p>
        </w:tc>
        <w:tc>
          <w:tcPr>
            <w:tcW w:w="1433" w:type="dxa"/>
            <w:vAlign w:val="top"/>
          </w:tcPr>
          <w:p>
            <w:pPr>
              <w:pStyle w:val="TableText"/>
              <w:ind w:left="505"/>
              <w:spacing w:before="241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Aa2</w:t>
            </w:r>
          </w:p>
        </w:tc>
        <w:tc>
          <w:tcPr>
            <w:tcW w:w="1789" w:type="dxa"/>
            <w:vAlign w:val="top"/>
          </w:tcPr>
          <w:p>
            <w:pPr>
              <w:pStyle w:val="TableText"/>
              <w:ind w:left="692"/>
              <w:spacing w:before="208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9.5</w:t>
            </w:r>
          </w:p>
        </w:tc>
      </w:tr>
      <w:tr>
        <w:trPr>
          <w:trHeight w:val="587" w:hRule="atLeast"/>
        </w:trPr>
        <w:tc>
          <w:tcPr>
            <w:tcW w:w="209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2"/>
              <w:spacing w:before="241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AXA</w:t>
            </w:r>
          </w:p>
        </w:tc>
        <w:tc>
          <w:tcPr>
            <w:tcW w:w="88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4"/>
              <w:spacing w:before="241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AA-</w:t>
            </w:r>
          </w:p>
        </w:tc>
        <w:tc>
          <w:tcPr>
            <w:tcW w:w="14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05"/>
              <w:spacing w:before="241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Aa2</w:t>
            </w:r>
          </w:p>
        </w:tc>
        <w:tc>
          <w:tcPr>
            <w:tcW w:w="178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42"/>
              <w:spacing w:before="208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10.7</w:t>
            </w:r>
          </w:p>
        </w:tc>
      </w:tr>
      <w:tr>
        <w:trPr>
          <w:trHeight w:val="589" w:hRule="atLeast"/>
        </w:trPr>
        <w:tc>
          <w:tcPr>
            <w:tcW w:w="20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"/>
              <w:spacing w:before="227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Nippon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Life</w:t>
            </w:r>
          </w:p>
        </w:tc>
        <w:tc>
          <w:tcPr>
            <w:tcW w:w="88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4"/>
              <w:spacing w:before="254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A+</w:t>
            </w:r>
          </w:p>
        </w:tc>
        <w:tc>
          <w:tcPr>
            <w:tcW w:w="14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55"/>
              <w:spacing w:before="254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A1</w:t>
            </w:r>
          </w:p>
        </w:tc>
        <w:tc>
          <w:tcPr>
            <w:tcW w:w="178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2"/>
              <w:spacing w:before="221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-12.4</w:t>
            </w:r>
          </w:p>
        </w:tc>
      </w:tr>
      <w:tr>
        <w:trPr>
          <w:trHeight w:val="618" w:hRule="atLeast"/>
        </w:trPr>
        <w:tc>
          <w:tcPr>
            <w:tcW w:w="20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"/>
              <w:spacing w:before="231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Prudential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Financial</w:t>
            </w:r>
          </w:p>
        </w:tc>
        <w:tc>
          <w:tcPr>
            <w:tcW w:w="88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4"/>
              <w:spacing w:before="265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AA-</w:t>
            </w:r>
          </w:p>
        </w:tc>
        <w:tc>
          <w:tcPr>
            <w:tcW w:w="14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55"/>
              <w:spacing w:before="263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A3</w:t>
            </w:r>
          </w:p>
        </w:tc>
        <w:tc>
          <w:tcPr>
            <w:tcW w:w="178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42"/>
              <w:spacing w:before="23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-7</w:t>
            </w:r>
          </w:p>
        </w:tc>
      </w:tr>
      <w:tr>
        <w:trPr>
          <w:trHeight w:val="584" w:hRule="atLeast"/>
        </w:trPr>
        <w:tc>
          <w:tcPr>
            <w:tcW w:w="209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2"/>
              <w:spacing w:before="257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MetLife</w:t>
            </w:r>
          </w:p>
        </w:tc>
        <w:tc>
          <w:tcPr>
            <w:tcW w:w="88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4"/>
              <w:spacing w:before="257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AA-</w:t>
            </w:r>
          </w:p>
        </w:tc>
        <w:tc>
          <w:tcPr>
            <w:tcW w:w="143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55"/>
              <w:spacing w:before="255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A3</w:t>
            </w:r>
          </w:p>
        </w:tc>
        <w:tc>
          <w:tcPr>
            <w:tcW w:w="178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42"/>
              <w:spacing w:before="224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-9.6</w:t>
            </w:r>
          </w:p>
        </w:tc>
      </w:tr>
      <w:tr>
        <w:trPr>
          <w:trHeight w:val="539" w:hRule="atLeast"/>
        </w:trPr>
        <w:tc>
          <w:tcPr>
            <w:tcW w:w="209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2"/>
              <w:spacing w:before="207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Japan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Post</w:t>
            </w:r>
          </w:p>
        </w:tc>
        <w:tc>
          <w:tcPr>
            <w:tcW w:w="88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4"/>
              <w:spacing w:before="233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A+</w:t>
            </w:r>
          </w:p>
        </w:tc>
        <w:tc>
          <w:tcPr>
            <w:tcW w:w="14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55"/>
              <w:spacing w:before="233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A1</w:t>
            </w:r>
          </w:p>
        </w:tc>
        <w:tc>
          <w:tcPr>
            <w:tcW w:w="178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92"/>
              <w:spacing w:before="200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-13.7</w:t>
            </w:r>
          </w:p>
        </w:tc>
      </w:tr>
    </w:tbl>
    <w:p>
      <w:pPr>
        <w:ind w:left="20"/>
        <w:spacing w:before="252" w:line="19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2"/>
        </w:rPr>
        <w:t>Generali                      A               A2                 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14.9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5" w:line="212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数据来源：评级机构报告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[</w:t>
      </w:r>
      <w:r>
        <w:rPr>
          <w:rFonts w:ascii="Times New Roman" w:hAnsi="Times New Roman" w:eastAsia="Times New Roman" w:cs="Times New Roman"/>
          <w:sz w:val="23"/>
          <w:szCs w:val="23"/>
        </w:rPr>
        <w:t>web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:41,92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5"/>
        </w:rPr>
        <w:t>等]。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5" w:line="22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9"/>
        </w:rPr>
        <w:t>前景展望</w:t>
      </w:r>
    </w:p>
    <w:p>
      <w:pPr>
        <w:pStyle w:val="BodyText"/>
        <w:ind w:left="20" w:right="692"/>
        <w:spacing w:before="219" w:line="359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11"/>
        </w:rPr>
        <w:t>基于收集数据，在未来资产规模方面，最有希望保持或提升排名的2-3家公司为：</w:t>
      </w:r>
      <w:r>
        <w:rPr>
          <w:rFonts w:ascii="SimSun" w:hAnsi="SimSun" w:eastAsia="SimSun" w:cs="SimSun"/>
          <w:sz w:val="23"/>
          <w:szCs w:val="23"/>
        </w:rPr>
        <w:t>Ping</w:t>
      </w:r>
      <w:r>
        <w:rPr>
          <w:rFonts w:ascii="SimSun" w:hAnsi="SimSun" w:eastAsia="SimSun" w:cs="SimSun"/>
          <w:sz w:val="23"/>
          <w:szCs w:val="23"/>
          <w:spacing w:val="89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An </w:t>
      </w:r>
      <w:r>
        <w:rPr>
          <w:rFonts w:ascii="Arial" w:hAnsi="Arial" w:eastAsia="Arial" w:cs="Arial"/>
          <w:sz w:val="23"/>
          <w:szCs w:val="23"/>
          <w:spacing w:val="-2"/>
        </w:rPr>
        <w:t>Insurance</w:t>
      </w:r>
      <w:r>
        <w:rPr>
          <w:rFonts w:ascii="SimSun" w:hAnsi="SimSun" w:eastAsia="SimSun" w:cs="SimSun"/>
          <w:sz w:val="23"/>
          <w:szCs w:val="23"/>
          <w:spacing w:val="-2"/>
        </w:rPr>
        <w:t>、</w:t>
      </w:r>
      <w:r>
        <w:rPr>
          <w:rFonts w:ascii="Arial" w:hAnsi="Arial" w:eastAsia="Arial" w:cs="Arial"/>
          <w:sz w:val="23"/>
          <w:szCs w:val="23"/>
          <w:spacing w:val="-2"/>
        </w:rPr>
        <w:t>China</w:t>
      </w:r>
      <w:r>
        <w:rPr>
          <w:rFonts w:ascii="Arial" w:hAnsi="Arial" w:eastAsia="Arial" w:cs="Arial"/>
          <w:sz w:val="23"/>
          <w:szCs w:val="23"/>
          <w:spacing w:val="19"/>
        </w:rPr>
        <w:t xml:space="preserve">   </w:t>
      </w:r>
      <w:r>
        <w:rPr>
          <w:rFonts w:ascii="Arial" w:hAnsi="Arial" w:eastAsia="Arial" w:cs="Arial"/>
          <w:sz w:val="23"/>
          <w:szCs w:val="23"/>
          <w:spacing w:val="-2"/>
        </w:rPr>
        <w:t>Life</w:t>
      </w:r>
      <w:r>
        <w:rPr>
          <w:rFonts w:ascii="Arial" w:hAnsi="Arial" w:eastAsia="Arial" w:cs="Arial"/>
          <w:sz w:val="23"/>
          <w:szCs w:val="23"/>
          <w:spacing w:val="16"/>
          <w:w w:val="101"/>
        </w:rPr>
        <w:t xml:space="preserve">   </w:t>
      </w:r>
      <w:r>
        <w:rPr>
          <w:rFonts w:ascii="Arial" w:hAnsi="Arial" w:eastAsia="Arial" w:cs="Arial"/>
          <w:sz w:val="23"/>
          <w:szCs w:val="23"/>
          <w:spacing w:val="-2"/>
        </w:rPr>
        <w:t>Insurance</w:t>
      </w:r>
      <w:r>
        <w:rPr>
          <w:sz w:val="23"/>
          <w:szCs w:val="23"/>
          <w:spacing w:val="-2"/>
        </w:rPr>
        <w:t>和</w:t>
      </w:r>
      <w:r>
        <w:rPr>
          <w:rFonts w:ascii="Arial" w:hAnsi="Arial" w:eastAsia="Arial" w:cs="Arial"/>
          <w:sz w:val="23"/>
          <w:szCs w:val="23"/>
          <w:spacing w:val="-2"/>
        </w:rPr>
        <w:t>Allianz</w:t>
      </w:r>
      <w:r>
        <w:rPr>
          <w:rFonts w:ascii="SimSun" w:hAnsi="SimSun" w:eastAsia="SimSun" w:cs="SimSun"/>
          <w:sz w:val="23"/>
          <w:szCs w:val="23"/>
          <w:spacing w:val="-2"/>
        </w:rPr>
        <w:t>。</w:t>
      </w:r>
    </w:p>
    <w:p>
      <w:pPr>
        <w:pStyle w:val="BodyText"/>
        <w:ind w:left="519" w:right="125" w:hanging="130"/>
        <w:spacing w:line="305" w:lineRule="auto"/>
        <w:rPr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15"/>
        </w:rPr>
        <w:t>·</w:t>
      </w:r>
      <w:r>
        <w:rPr>
          <w:rFonts w:ascii="Arial" w:hAnsi="Arial" w:eastAsia="Arial" w:cs="Arial"/>
          <w:sz w:val="23"/>
          <w:szCs w:val="23"/>
        </w:rPr>
        <w:t>Ping</w:t>
      </w:r>
      <w:r>
        <w:rPr>
          <w:rFonts w:ascii="Arial" w:hAnsi="Arial" w:eastAsia="Arial" w:cs="Arial"/>
          <w:sz w:val="23"/>
          <w:szCs w:val="23"/>
          <w:spacing w:val="4"/>
        </w:rPr>
        <w:t xml:space="preserve">    </w:t>
      </w:r>
      <w:r>
        <w:rPr>
          <w:rFonts w:ascii="Arial" w:hAnsi="Arial" w:eastAsia="Arial" w:cs="Arial"/>
          <w:sz w:val="23"/>
          <w:szCs w:val="23"/>
        </w:rPr>
        <w:t>An</w:t>
      </w:r>
      <w:r>
        <w:rPr>
          <w:rFonts w:ascii="Arial" w:hAnsi="Arial" w:eastAsia="Arial" w:cs="Arial"/>
          <w:sz w:val="23"/>
          <w:szCs w:val="23"/>
          <w:spacing w:val="15"/>
        </w:rPr>
        <w:t xml:space="preserve">    </w:t>
      </w:r>
      <w:r>
        <w:rPr>
          <w:rFonts w:ascii="Arial" w:hAnsi="Arial" w:eastAsia="Arial" w:cs="Arial"/>
          <w:sz w:val="23"/>
          <w:szCs w:val="23"/>
        </w:rPr>
        <w:t>Insurance</w:t>
      </w:r>
      <w:r>
        <w:rPr>
          <w:rFonts w:ascii="Arial" w:hAnsi="Arial" w:eastAsia="Arial" w:cs="Arial"/>
          <w:sz w:val="23"/>
          <w:szCs w:val="23"/>
          <w:spacing w:val="15"/>
        </w:rPr>
        <w:t>:</w:t>
      </w:r>
      <w:r>
        <w:rPr>
          <w:rFonts w:ascii="Arial" w:hAnsi="Arial" w:eastAsia="Arial" w:cs="Arial"/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15"/>
        </w:rPr>
        <w:t>作为科技驱动型保险公司，2025年经营利润增长7.2%,在中国市场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1"/>
        </w:rPr>
        <w:t>主导数字化转型，预计资产规模年增10%以上，受惠于高科技投资和</w:t>
      </w:r>
      <w:r>
        <w:rPr>
          <w:rFonts w:ascii="SimSun" w:hAnsi="SimSun" w:eastAsia="SimSun" w:cs="SimSun"/>
          <w:sz w:val="23"/>
          <w:szCs w:val="23"/>
        </w:rPr>
        <w:t>NBV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11"/>
        </w:rPr>
        <w:t>增</w:t>
      </w:r>
      <w:r>
        <w:rPr>
          <w:sz w:val="23"/>
          <w:szCs w:val="23"/>
          <w:spacing w:val="-39"/>
        </w:rPr>
        <w:t xml:space="preserve"> </w:t>
      </w:r>
      <w:r>
        <w:rPr>
          <w:sz w:val="23"/>
          <w:szCs w:val="23"/>
          <w:spacing w:val="11"/>
        </w:rPr>
        <w:t>长</w:t>
      </w:r>
      <w:r>
        <w:rPr>
          <w:sz w:val="23"/>
          <w:szCs w:val="23"/>
          <w:spacing w:val="-50"/>
        </w:rPr>
        <w:t xml:space="preserve"> </w:t>
      </w:r>
      <w:r>
        <w:rPr>
          <w:sz w:val="23"/>
          <w:szCs w:val="23"/>
          <w:spacing w:val="11"/>
        </w:rPr>
        <w:t>2</w:t>
      </w:r>
      <w:r>
        <w:rPr>
          <w:sz w:val="23"/>
          <w:szCs w:val="23"/>
          <w:spacing w:val="-51"/>
        </w:rPr>
        <w:t xml:space="preserve"> </w:t>
      </w:r>
      <w:r>
        <w:rPr>
          <w:sz w:val="23"/>
          <w:szCs w:val="23"/>
          <w:spacing w:val="11"/>
        </w:rPr>
        <w:t>0</w:t>
      </w:r>
      <w:r>
        <w:rPr>
          <w:sz w:val="23"/>
          <w:szCs w:val="23"/>
          <w:spacing w:val="-52"/>
        </w:rPr>
        <w:t xml:space="preserve"> </w:t>
      </w:r>
      <w:r>
        <w:rPr>
          <w:sz w:val="23"/>
          <w:szCs w:val="23"/>
          <w:spacing w:val="11"/>
        </w:rPr>
        <w:t>%</w:t>
      </w:r>
      <w:r>
        <w:rPr>
          <w:sz w:val="23"/>
          <w:szCs w:val="23"/>
          <w:spacing w:val="-58"/>
        </w:rPr>
        <w:t xml:space="preserve"> </w:t>
      </w:r>
      <w:r>
        <w:rPr>
          <w:sz w:val="23"/>
          <w:szCs w:val="23"/>
          <w:spacing w:val="11"/>
        </w:rPr>
        <w:t>。</w:t>
      </w:r>
    </w:p>
    <w:p>
      <w:pPr>
        <w:pStyle w:val="BodyText"/>
        <w:ind w:left="519" w:right="397" w:hanging="130"/>
        <w:spacing w:before="284" w:line="267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6"/>
        </w:rPr>
        <w:t>·China</w:t>
      </w:r>
      <w:r>
        <w:rPr>
          <w:rFonts w:ascii="SimSun" w:hAnsi="SimSun" w:eastAsia="SimSun" w:cs="SimSun"/>
          <w:sz w:val="23"/>
          <w:szCs w:val="23"/>
          <w:spacing w:val="5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Life</w:t>
      </w:r>
      <w:r>
        <w:rPr>
          <w:rFonts w:ascii="SimSun" w:hAnsi="SimSun" w:eastAsia="SimSun" w:cs="SimSun"/>
          <w:sz w:val="23"/>
          <w:szCs w:val="23"/>
          <w:spacing w:val="6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Insurance:</w:t>
      </w:r>
      <w:r>
        <w:rPr>
          <w:rFonts w:ascii="SimSun" w:hAnsi="SimSun" w:eastAsia="SimSun" w:cs="SimSun"/>
          <w:sz w:val="23"/>
          <w:szCs w:val="23"/>
          <w:spacing w:val="-42"/>
        </w:rPr>
        <w:t xml:space="preserve"> </w:t>
      </w:r>
      <w:r>
        <w:rPr>
          <w:sz w:val="23"/>
          <w:szCs w:val="23"/>
          <w:spacing w:val="29"/>
        </w:rPr>
        <w:t>本土优势显著,2025年净利增60%,资产规模已超16</w:t>
      </w:r>
      <w:r>
        <w:rPr>
          <w:sz w:val="23"/>
          <w:szCs w:val="23"/>
          <w:spacing w:val="28"/>
        </w:rPr>
        <w:t>400亿美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2"/>
        </w:rPr>
        <w:t>元，未来受益于中国养老需求，增长潜力最高。</w:t>
      </w:r>
    </w:p>
    <w:p>
      <w:pPr>
        <w:pStyle w:val="BodyText"/>
        <w:ind w:left="519" w:hanging="130"/>
        <w:spacing w:before="285" w:line="279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·</w:t>
      </w:r>
      <w:r>
        <w:rPr>
          <w:rFonts w:ascii="SimSun" w:hAnsi="SimSun" w:eastAsia="SimSun" w:cs="SimSun"/>
          <w:sz w:val="23"/>
          <w:szCs w:val="23"/>
        </w:rPr>
        <w:t>Allianz</w:t>
      </w:r>
      <w:r>
        <w:rPr>
          <w:rFonts w:ascii="SimSun" w:hAnsi="SimSun" w:eastAsia="SimSun" w:cs="SimSun"/>
          <w:sz w:val="23"/>
          <w:szCs w:val="23"/>
          <w:spacing w:val="16"/>
        </w:rPr>
        <w:t>: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sz w:val="23"/>
          <w:szCs w:val="23"/>
          <w:spacing w:val="16"/>
        </w:rPr>
        <w:t>全球多元化布局，2025年经营利润增</w:t>
      </w:r>
      <w:r>
        <w:rPr>
          <w:sz w:val="23"/>
          <w:szCs w:val="23"/>
          <w:spacing w:val="15"/>
        </w:rPr>
        <w:t>3.8%,欧洲和中国市场扩张强劲，资产缓冲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3"/>
        </w:rPr>
        <w:t>强，预计保持前五排名。</w:t>
      </w:r>
    </w:p>
    <w:p>
      <w:pPr>
        <w:pStyle w:val="BodyText"/>
        <w:ind w:left="520" w:right="32"/>
        <w:spacing w:before="155" w:line="333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这些公司受益于亚洲增长和可持续投资，但需警惕地缘风</w:t>
      </w:r>
      <w:r>
        <w:rPr>
          <w:sz w:val="23"/>
          <w:szCs w:val="23"/>
          <w:spacing w:val="10"/>
        </w:rPr>
        <w:t>险。整体行业展望积极，全球保险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1"/>
        </w:rPr>
        <w:t>市场2025年增长8</w:t>
      </w:r>
      <w:r>
        <w:rPr>
          <w:sz w:val="23"/>
          <w:szCs w:val="23"/>
          <w:spacing w:val="-66"/>
        </w:rPr>
        <w:t xml:space="preserve"> </w:t>
      </w:r>
      <w:r>
        <w:rPr>
          <w:sz w:val="23"/>
          <w:szCs w:val="23"/>
          <w:spacing w:val="21"/>
        </w:rPr>
        <w:t>.6%。</w:t>
      </w:r>
    </w:p>
    <w:p>
      <w:pPr>
        <w:ind w:left="20"/>
        <w:spacing w:before="214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3"/>
        </w:rPr>
        <w:t>Key</w:t>
      </w:r>
      <w:r>
        <w:rPr>
          <w:rFonts w:ascii="Arial" w:hAnsi="Arial" w:eastAsia="Arial" w:cs="Arial"/>
          <w:sz w:val="23"/>
          <w:szCs w:val="23"/>
          <w:b/>
          <w:bCs/>
          <w:spacing w:val="20"/>
        </w:rPr>
        <w:t xml:space="preserve">  </w:t>
      </w:r>
      <w:r>
        <w:rPr>
          <w:rFonts w:ascii="Arial" w:hAnsi="Arial" w:eastAsia="Arial" w:cs="Arial"/>
          <w:sz w:val="23"/>
          <w:szCs w:val="23"/>
          <w:b/>
          <w:bCs/>
          <w:spacing w:val="-3"/>
        </w:rPr>
        <w:t>Citations:</w:t>
      </w:r>
    </w:p>
    <w:p>
      <w:pPr>
        <w:spacing w:line="198" w:lineRule="auto"/>
        <w:sectPr>
          <w:type w:val="continuous"/>
          <w:pgSz w:w="12240" w:h="15840"/>
          <w:pgMar w:top="1105" w:right="1100" w:bottom="0" w:left="959" w:header="0" w:footer="0" w:gutter="0"/>
          <w:cols w:equalWidth="0" w:num="1">
            <w:col w:w="10180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before="68" w:line="340" w:lineRule="exact"/>
        <w:jc w:val="right"/>
        <w:rPr>
          <w:rFonts w:ascii="Arial" w:hAnsi="Arial" w:eastAsia="Arial" w:cs="Arial"/>
          <w:sz w:val="25"/>
          <w:szCs w:val="25"/>
        </w:rPr>
      </w:pPr>
      <w:bookmarkStart w:name="bookmark2" w:id="2"/>
      <w:bookmarkEnd w:id="2"/>
      <w:r>
        <w:rPr>
          <w:rFonts w:ascii="Arial" w:hAnsi="Arial" w:eastAsia="Arial" w:cs="Arial"/>
          <w:sz w:val="25"/>
          <w:szCs w:val="25"/>
          <w:spacing w:val="-2"/>
          <w:position w:val="4"/>
        </w:rPr>
        <w:t>·Insurance</w:t>
      </w:r>
      <w:r>
        <w:rPr>
          <w:rFonts w:ascii="Arial" w:hAnsi="Arial" w:eastAsia="Arial" w:cs="Arial"/>
          <w:sz w:val="25"/>
          <w:szCs w:val="25"/>
          <w:spacing w:val="5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Information</w:t>
      </w:r>
      <w:r>
        <w:rPr>
          <w:rFonts w:ascii="Arial" w:hAnsi="Arial" w:eastAsia="Arial" w:cs="Arial"/>
          <w:sz w:val="25"/>
          <w:szCs w:val="25"/>
          <w:spacing w:val="6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Institute</w:t>
      </w:r>
      <w:r>
        <w:rPr>
          <w:rFonts w:ascii="Arial" w:hAnsi="Arial" w:eastAsia="Arial" w:cs="Arial"/>
          <w:sz w:val="25"/>
          <w:szCs w:val="25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-Top</w:t>
      </w:r>
      <w:r>
        <w:rPr>
          <w:rFonts w:ascii="Arial" w:hAnsi="Arial" w:eastAsia="Arial" w:cs="Arial"/>
          <w:sz w:val="25"/>
          <w:szCs w:val="25"/>
          <w:spacing w:val="4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Global</w:t>
      </w:r>
      <w:r>
        <w:rPr>
          <w:rFonts w:ascii="Arial" w:hAnsi="Arial" w:eastAsia="Arial" w:cs="Arial"/>
          <w:sz w:val="25"/>
          <w:szCs w:val="25"/>
          <w:spacing w:val="5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Ins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urance</w:t>
      </w:r>
      <w:r>
        <w:rPr>
          <w:rFonts w:ascii="Arial" w:hAnsi="Arial" w:eastAsia="Arial" w:cs="Arial"/>
          <w:sz w:val="25"/>
          <w:szCs w:val="25"/>
          <w:spacing w:val="48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Companies</w:t>
      </w:r>
      <w:r>
        <w:rPr>
          <w:rFonts w:ascii="Arial" w:hAnsi="Arial" w:eastAsia="Arial" w:cs="Arial"/>
          <w:sz w:val="25"/>
          <w:szCs w:val="25"/>
          <w:spacing w:val="5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By</w:t>
      </w:r>
      <w:r>
        <w:rPr>
          <w:rFonts w:ascii="Arial" w:hAnsi="Arial" w:eastAsia="Arial" w:cs="Arial"/>
          <w:sz w:val="25"/>
          <w:szCs w:val="25"/>
          <w:spacing w:val="5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Revenues,2024</w:t>
      </w:r>
    </w:p>
    <w:p>
      <w:pPr>
        <w:spacing w:before="199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·Macrotrends</w:t>
      </w:r>
      <w:r>
        <w:rPr>
          <w:rFonts w:ascii="Arial" w:hAnsi="Arial" w:eastAsia="Arial" w:cs="Arial"/>
          <w:sz w:val="25"/>
          <w:szCs w:val="25"/>
          <w:spacing w:val="6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-Berkshire  Hathaw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ay  Revenue  2012-2025</w:t>
      </w:r>
    </w:p>
    <w:p>
      <w:pPr>
        <w:spacing w:before="219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  <w:position w:val="4"/>
        </w:rPr>
        <w:t>·China</w:t>
      </w:r>
      <w:r>
        <w:rPr>
          <w:rFonts w:ascii="Arial" w:hAnsi="Arial" w:eastAsia="Arial" w:cs="Arial"/>
          <w:sz w:val="25"/>
          <w:szCs w:val="25"/>
          <w:spacing w:val="75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Life  Insurance</w:t>
      </w:r>
      <w:r>
        <w:rPr>
          <w:rFonts w:ascii="Arial" w:hAnsi="Arial" w:eastAsia="Arial" w:cs="Arial"/>
          <w:sz w:val="25"/>
          <w:szCs w:val="25"/>
          <w:spacing w:val="5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-Credit  Ratings</w:t>
      </w:r>
    </w:p>
    <w:p>
      <w:pPr>
        <w:spacing w:before="180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·Ping</w:t>
      </w:r>
      <w:r>
        <w:rPr>
          <w:rFonts w:ascii="Arial" w:hAnsi="Arial" w:eastAsia="Arial" w:cs="Arial"/>
          <w:sz w:val="25"/>
          <w:szCs w:val="25"/>
          <w:spacing w:val="6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An  Insurance-Convertib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  Bond</w:t>
      </w:r>
      <w:r>
        <w:rPr>
          <w:rFonts w:ascii="Arial" w:hAnsi="Arial" w:eastAsia="Arial" w:cs="Arial"/>
          <w:sz w:val="25"/>
          <w:szCs w:val="25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Issuance</w:t>
      </w:r>
    </w:p>
    <w:p>
      <w:pPr>
        <w:spacing w:before="285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·Allianz-Financial   Stren</w:t>
      </w:r>
      <w:r>
        <w:rPr>
          <w:rFonts w:ascii="Arial" w:hAnsi="Arial" w:eastAsia="Arial" w:cs="Arial"/>
          <w:sz w:val="25"/>
          <w:szCs w:val="25"/>
          <w:spacing w:val="-2"/>
        </w:rPr>
        <w:t>gth   Ratings</w:t>
      </w:r>
    </w:p>
    <w:p>
      <w:pPr>
        <w:spacing w:before="29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·AXA-Financial   Strength   Ratings</w:t>
      </w:r>
    </w:p>
    <w:p>
      <w:pPr>
        <w:spacing w:before="31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·Moody's-Nippon   Life</w:t>
      </w:r>
      <w:r>
        <w:rPr>
          <w:rFonts w:ascii="Arial" w:hAnsi="Arial" w:eastAsia="Arial" w:cs="Arial"/>
          <w:sz w:val="25"/>
          <w:szCs w:val="25"/>
          <w:spacing w:val="10"/>
        </w:rPr>
        <w:t xml:space="preserve">   </w:t>
      </w:r>
      <w:r>
        <w:rPr>
          <w:rFonts w:ascii="Arial" w:hAnsi="Arial" w:eastAsia="Arial" w:cs="Arial"/>
          <w:sz w:val="25"/>
          <w:szCs w:val="25"/>
          <w:spacing w:val="-2"/>
        </w:rPr>
        <w:t>Ratings</w:t>
      </w:r>
    </w:p>
    <w:p>
      <w:pPr>
        <w:spacing w:before="295" w:line="196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·Prudential</w:t>
      </w:r>
      <w:r>
        <w:rPr>
          <w:rFonts w:ascii="Arial" w:hAnsi="Arial" w:eastAsia="Arial" w:cs="Arial"/>
          <w:sz w:val="25"/>
          <w:szCs w:val="25"/>
          <w:spacing w:val="11"/>
        </w:rPr>
        <w:t xml:space="preserve">    </w:t>
      </w:r>
      <w:r>
        <w:rPr>
          <w:rFonts w:ascii="Arial" w:hAnsi="Arial" w:eastAsia="Arial" w:cs="Arial"/>
          <w:sz w:val="25"/>
          <w:szCs w:val="25"/>
          <w:spacing w:val="-2"/>
        </w:rPr>
        <w:t>Financial-Ratings</w:t>
      </w:r>
    </w:p>
    <w:p>
      <w:pPr>
        <w:spacing w:before="30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</w:rPr>
        <w:t>·MetLife</w:t>
      </w:r>
      <w:r>
        <w:rPr>
          <w:rFonts w:ascii="Arial" w:hAnsi="Arial" w:eastAsia="Arial" w:cs="Arial"/>
          <w:sz w:val="25"/>
          <w:szCs w:val="25"/>
          <w:spacing w:val="6"/>
        </w:rPr>
        <w:t xml:space="preserve">    </w:t>
      </w:r>
      <w:r>
        <w:rPr>
          <w:rFonts w:ascii="Arial" w:hAnsi="Arial" w:eastAsia="Arial" w:cs="Arial"/>
          <w:sz w:val="25"/>
          <w:szCs w:val="25"/>
          <w:spacing w:val="-3"/>
        </w:rPr>
        <w:t>-Ratings</w:t>
      </w:r>
    </w:p>
    <w:p>
      <w:pPr>
        <w:spacing w:before="237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  <w:position w:val="4"/>
        </w:rPr>
        <w:t>·Japan</w:t>
      </w:r>
      <w:r>
        <w:rPr>
          <w:rFonts w:ascii="Arial" w:hAnsi="Arial" w:eastAsia="Arial" w:cs="Arial"/>
          <w:sz w:val="25"/>
          <w:szCs w:val="25"/>
          <w:spacing w:val="5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Post</w:t>
      </w:r>
      <w:r>
        <w:rPr>
          <w:rFonts w:ascii="Arial" w:hAnsi="Arial" w:eastAsia="Arial" w:cs="Arial"/>
          <w:sz w:val="25"/>
          <w:szCs w:val="25"/>
          <w:spacing w:val="5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Insurance</w:t>
      </w:r>
      <w:r>
        <w:rPr>
          <w:rFonts w:ascii="Arial" w:hAnsi="Arial" w:eastAsia="Arial" w:cs="Arial"/>
          <w:sz w:val="25"/>
          <w:szCs w:val="25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-Ratings</w:t>
      </w:r>
    </w:p>
    <w:p>
      <w:pPr>
        <w:spacing w:before="264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</w:rPr>
        <w:t>·Moody's</w:t>
      </w:r>
      <w:r>
        <w:rPr>
          <w:rFonts w:ascii="Arial" w:hAnsi="Arial" w:eastAsia="Arial" w:cs="Arial"/>
          <w:sz w:val="25"/>
          <w:szCs w:val="25"/>
          <w:spacing w:val="2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3"/>
        </w:rPr>
        <w:t>-Generali</w:t>
      </w:r>
      <w:r>
        <w:rPr>
          <w:rFonts w:ascii="Arial" w:hAnsi="Arial" w:eastAsia="Arial" w:cs="Arial"/>
          <w:sz w:val="25"/>
          <w:szCs w:val="25"/>
          <w:spacing w:val="22"/>
          <w:w w:val="101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3"/>
        </w:rPr>
        <w:t>Ratings</w:t>
      </w:r>
    </w:p>
    <w:p>
      <w:pPr>
        <w:spacing w:before="238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·Statista</w:t>
      </w:r>
      <w:r>
        <w:rPr>
          <w:rFonts w:ascii="Arial" w:hAnsi="Arial" w:eastAsia="Arial" w:cs="Arial"/>
          <w:sz w:val="25"/>
          <w:szCs w:val="25"/>
          <w:spacing w:val="5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-Leading  Insurance</w:t>
      </w:r>
      <w:r>
        <w:rPr>
          <w:rFonts w:ascii="Arial" w:hAnsi="Arial" w:eastAsia="Arial" w:cs="Arial"/>
          <w:sz w:val="25"/>
          <w:szCs w:val="25"/>
          <w:spacing w:val="5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Companies</w:t>
      </w:r>
      <w:r>
        <w:rPr>
          <w:rFonts w:ascii="Arial" w:hAnsi="Arial" w:eastAsia="Arial" w:cs="Arial"/>
          <w:sz w:val="25"/>
          <w:szCs w:val="25"/>
          <w:spacing w:val="5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Globally</w:t>
      </w:r>
      <w:r>
        <w:rPr>
          <w:rFonts w:ascii="Arial" w:hAnsi="Arial" w:eastAsia="Arial" w:cs="Arial"/>
          <w:sz w:val="25"/>
          <w:szCs w:val="25"/>
          <w:spacing w:val="5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2024</w:t>
      </w:r>
    </w:p>
    <w:p>
      <w:pPr>
        <w:spacing w:before="209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1"/>
        </w:rPr>
        <w:t>·Forbes</w:t>
      </w:r>
      <w:r>
        <w:rPr>
          <w:rFonts w:ascii="Arial" w:hAnsi="Arial" w:eastAsia="Arial" w:cs="Arial"/>
          <w:sz w:val="25"/>
          <w:szCs w:val="25"/>
          <w:spacing w:val="10"/>
          <w:position w:val="1"/>
        </w:rPr>
        <w:t xml:space="preserve">   </w:t>
      </w:r>
      <w:r>
        <w:rPr>
          <w:rFonts w:ascii="Arial" w:hAnsi="Arial" w:eastAsia="Arial" w:cs="Arial"/>
          <w:sz w:val="25"/>
          <w:szCs w:val="25"/>
          <w:spacing w:val="-2"/>
          <w:position w:val="1"/>
        </w:rPr>
        <w:t>-Global</w:t>
      </w:r>
      <w:r>
        <w:rPr>
          <w:rFonts w:ascii="Arial" w:hAnsi="Arial" w:eastAsia="Arial" w:cs="Arial"/>
          <w:sz w:val="25"/>
          <w:szCs w:val="25"/>
          <w:spacing w:val="9"/>
          <w:position w:val="1"/>
        </w:rPr>
        <w:t xml:space="preserve">   </w:t>
      </w:r>
      <w:r>
        <w:rPr>
          <w:rFonts w:ascii="Arial" w:hAnsi="Arial" w:eastAsia="Arial" w:cs="Arial"/>
          <w:sz w:val="25"/>
          <w:szCs w:val="25"/>
          <w:spacing w:val="-2"/>
          <w:position w:val="1"/>
        </w:rPr>
        <w:t>200020</w:t>
      </w:r>
      <w:r>
        <w:rPr>
          <w:rFonts w:ascii="Arial" w:hAnsi="Arial" w:eastAsia="Arial" w:cs="Arial"/>
          <w:sz w:val="25"/>
          <w:szCs w:val="25"/>
          <w:spacing w:val="-3"/>
          <w:position w:val="1"/>
        </w:rPr>
        <w:t>25</w:t>
      </w:r>
    </w:p>
    <w:p>
      <w:pPr>
        <w:spacing w:before="180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·Insurance</w:t>
      </w:r>
      <w:r>
        <w:rPr>
          <w:rFonts w:ascii="Arial" w:hAnsi="Arial" w:eastAsia="Arial" w:cs="Arial"/>
          <w:sz w:val="25"/>
          <w:szCs w:val="25"/>
          <w:spacing w:val="6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Asia-China  Life  Premiums  Projection</w:t>
      </w:r>
    </w:p>
    <w:p>
      <w:pPr>
        <w:spacing w:before="212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  <w:position w:val="4"/>
        </w:rPr>
        <w:t>·IAIS</w:t>
      </w:r>
      <w:r>
        <w:rPr>
          <w:rFonts w:ascii="Arial" w:hAnsi="Arial" w:eastAsia="Arial" w:cs="Arial"/>
          <w:sz w:val="25"/>
          <w:szCs w:val="25"/>
          <w:spacing w:val="5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-Global</w:t>
      </w:r>
      <w:r>
        <w:rPr>
          <w:rFonts w:ascii="Arial" w:hAnsi="Arial" w:eastAsia="Arial" w:cs="Arial"/>
          <w:sz w:val="25"/>
          <w:szCs w:val="25"/>
          <w:spacing w:val="6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Insurance</w:t>
      </w:r>
      <w:r>
        <w:rPr>
          <w:rFonts w:ascii="Arial" w:hAnsi="Arial" w:eastAsia="Arial" w:cs="Arial"/>
          <w:sz w:val="25"/>
          <w:szCs w:val="25"/>
          <w:spacing w:val="6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Market</w:t>
      </w:r>
      <w:r>
        <w:rPr>
          <w:rFonts w:ascii="Arial" w:hAnsi="Arial" w:eastAsia="Arial" w:cs="Arial"/>
          <w:sz w:val="25"/>
          <w:szCs w:val="25"/>
          <w:spacing w:val="6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Report</w:t>
      </w:r>
      <w:r>
        <w:rPr>
          <w:rFonts w:ascii="Arial" w:hAnsi="Arial" w:eastAsia="Arial" w:cs="Arial"/>
          <w:sz w:val="25"/>
          <w:szCs w:val="25"/>
          <w:spacing w:val="5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2025</w:t>
      </w:r>
    </w:p>
    <w:sectPr>
      <w:pgSz w:w="12240" w:h="15840"/>
      <w:pgMar w:top="1069" w:right="1137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2026-03-15T23:59:41</vt:filetime>
  </property>
  <property fmtid="{D5CDD505-2E9C-101B-9397-08002B2CF9AE}" pid="4" name="UsrData">
    <vt:lpwstr>69b6d76a7fe946001fc13ba4wl</vt:lpwstr>
  </property>
</Properties>
</file>