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714"/>
        <w:spacing w:before="49" w:line="369" w:lineRule="auto"/>
        <w:rPr/>
      </w:pPr>
      <w:r>
        <w:rPr>
          <w:spacing w:val="-1"/>
        </w:rPr>
        <w:t>基于多维指标的国际顶级保险公司综合实力横向比较</w:t>
      </w:r>
      <w:r>
        <w:rPr>
          <w:spacing w:val="11"/>
        </w:rPr>
        <w:t xml:space="preserve"> </w:t>
      </w:r>
      <w:r>
        <w:rPr>
          <w:spacing w:val="-1"/>
        </w:rPr>
        <w:t>及其在中国市场语境下的未来资产排名预测研究</w:t>
      </w:r>
    </w:p>
    <w:p>
      <w:pPr>
        <w:pStyle w:val="BodyText"/>
        <w:spacing w:before="1" w:line="220" w:lineRule="auto"/>
        <w:rPr>
          <w:rFonts w:ascii="SimSun" w:hAnsi="SimSun" w:eastAsia="SimSun" w:cs="SimSun"/>
        </w:rPr>
      </w:pPr>
      <w:r>
        <w:rPr>
          <w:spacing w:val="-3"/>
        </w:rPr>
        <w:t>报告编号：</w:t>
      </w:r>
      <w:r>
        <w:rPr>
          <w:rFonts w:ascii="SimSun" w:hAnsi="SimSun" w:eastAsia="SimSun" w:cs="SimSun"/>
          <w:spacing w:val="-3"/>
        </w:rPr>
        <w:t>IIF-2026-01</w:t>
      </w:r>
    </w:p>
    <w:p>
      <w:pPr>
        <w:pStyle w:val="BodyText"/>
        <w:spacing w:before="152" w:line="221" w:lineRule="auto"/>
        <w:rPr/>
      </w:pPr>
      <w:r>
        <w:rPr>
          <w:spacing w:val="1"/>
        </w:rPr>
        <w:t>编制单位：独立保险行业研究智库</w:t>
      </w:r>
    </w:p>
    <w:p>
      <w:pPr>
        <w:pStyle w:val="BodyText"/>
        <w:spacing w:before="122" w:line="221" w:lineRule="auto"/>
        <w:rPr/>
      </w:pPr>
      <w:r>
        <w:rPr>
          <w:spacing w:val="13"/>
        </w:rPr>
        <w:t>编制日期：2026年2月</w:t>
      </w:r>
    </w:p>
    <w:p>
      <w:pPr>
        <w:pStyle w:val="BodyText"/>
        <w:spacing w:before="122" w:line="221" w:lineRule="auto"/>
        <w:rPr/>
      </w:pPr>
      <w:r>
        <w:rPr>
          <w:spacing w:val="10"/>
        </w:rPr>
        <w:t>密级：公开参考(内部深度版)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摘要</w:t>
      </w:r>
    </w:p>
    <w:p>
      <w:pPr>
        <w:pStyle w:val="BodyText"/>
        <w:ind w:right="131"/>
        <w:spacing w:before="210" w:line="326" w:lineRule="auto"/>
        <w:jc w:val="both"/>
        <w:rPr/>
      </w:pPr>
      <w:r>
        <w:rPr/>
        <w:t>本报告选取全球保险资产规模前十的代表性公司，从偿付能力、盈利能力、增长动能、资产负债</w:t>
      </w:r>
      <w:r>
        <w:rPr>
          <w:spacing w:val="12"/>
        </w:rPr>
        <w:t xml:space="preserve"> </w:t>
      </w:r>
      <w:r>
        <w:rPr/>
        <w:t>管理能力、中国市场渗透与战略布局五个核心维度进行系统比较。研究发现：传统欧美巨头在资</w:t>
      </w:r>
      <w:r>
        <w:rPr>
          <w:spacing w:val="9"/>
        </w:rPr>
        <w:t xml:space="preserve"> </w:t>
      </w:r>
      <w:r>
        <w:rPr>
          <w:spacing w:val="5"/>
        </w:rPr>
        <w:t>本实力与风险管理上仍占据优势，但亚洲头部险企(尤其中国与日本公司)在增长速度、内含价</w:t>
      </w:r>
      <w:r>
        <w:rPr>
          <w:spacing w:val="18"/>
        </w:rPr>
        <w:t xml:space="preserve"> </w:t>
      </w:r>
      <w:r>
        <w:rPr/>
        <w:t>值</w:t>
      </w:r>
      <w:r>
        <w:rPr/>
        <w:t xml:space="preserve"> </w:t>
      </w:r>
      <w:r>
        <w:rPr>
          <w:rFonts w:ascii="SimSun" w:hAnsi="SimSun" w:eastAsia="SimSun" w:cs="SimSun"/>
        </w:rPr>
        <w:t>(Embedded   Value)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增速以及对中国市场的战略纵深上展</w:t>
      </w:r>
      <w:r>
        <w:rPr>
          <w:spacing w:val="-1"/>
        </w:rPr>
        <w:t>现出显著赶超态势。</w:t>
      </w:r>
    </w:p>
    <w:p>
      <w:pPr>
        <w:pStyle w:val="BodyText"/>
        <w:spacing w:before="114" w:line="320" w:lineRule="auto"/>
        <w:tabs>
          <w:tab w:val="left" w:pos="158"/>
        </w:tabs>
        <w:rPr/>
      </w:pPr>
      <w:r>
        <w:rPr>
          <w:spacing w:val="3"/>
        </w:rPr>
        <w:t>基于当前趋势与多重情景假设，报告预测：到2030年，中国市场语境下的全球保险资产排名前三</w:t>
      </w:r>
      <w:r>
        <w:rPr>
          <w:spacing w:val="11"/>
        </w:rPr>
        <w:t xml:space="preserve"> </w:t>
      </w:r>
      <w:r>
        <w:rPr>
          <w:spacing w:val="-3"/>
        </w:rPr>
        <w:t>序列中，中国平安、中国人寿与安盛集团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(AXA)</w:t>
      </w:r>
      <w:r>
        <w:rPr>
          <w:rFonts w:ascii="SimSun" w:hAnsi="SimSun" w:eastAsia="SimSun" w:cs="SimSun"/>
          <w:spacing w:val="41"/>
        </w:rPr>
        <w:t xml:space="preserve">  </w:t>
      </w:r>
      <w:r>
        <w:rPr>
          <w:spacing w:val="-3"/>
        </w:rPr>
        <w:t>最有可能位列前三，而安联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(Allianz)、</w:t>
      </w:r>
      <w:r>
        <w:rPr>
          <w:spacing w:val="-3"/>
        </w:rPr>
        <w:t>保诚</w:t>
      </w:r>
      <w:r>
        <w:rPr/>
        <w:t xml:space="preserve"> 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-2"/>
        </w:rPr>
        <w:t>(Prudential)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2"/>
        </w:rPr>
        <w:t>与日本三大生命险企的相对位次可能出现明显分化。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一、引言与研究方法</w:t>
      </w:r>
    </w:p>
    <w:p>
      <w:pPr>
        <w:pStyle w:val="BodyText"/>
        <w:ind w:left="163"/>
        <w:spacing w:before="200" w:line="221" w:lineRule="auto"/>
        <w:outlineLvl w:val="3"/>
        <w:rPr/>
      </w:pPr>
      <w:r>
        <w:rPr>
          <w:b/>
          <w:bCs/>
          <w:spacing w:val="11"/>
        </w:rPr>
        <w:t>(一)研究背景</w:t>
      </w:r>
    </w:p>
    <w:p>
      <w:pPr>
        <w:pStyle w:val="BodyText"/>
        <w:ind w:right="84"/>
        <w:spacing w:before="226" w:line="328" w:lineRule="auto"/>
        <w:jc w:val="both"/>
        <w:rPr/>
      </w:pPr>
      <w:r>
        <w:rPr>
          <w:spacing w:val="3"/>
        </w:rPr>
        <w:t>据瑞士再保险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Swiss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</w:rPr>
        <w:t>Re</w:t>
      </w:r>
      <w:r>
        <w:rPr>
          <w:rFonts w:ascii="SimSun" w:hAnsi="SimSun" w:eastAsia="SimSun" w:cs="SimSun"/>
          <w:spacing w:val="3"/>
        </w:rPr>
        <w:t>)</w:t>
      </w:r>
      <w:r>
        <w:rPr>
          <w:rFonts w:ascii="SimSun" w:hAnsi="SimSun" w:eastAsia="SimSun" w:cs="SimSun"/>
        </w:rPr>
        <w:t>sigma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rFonts w:ascii="SimSun" w:hAnsi="SimSun" w:eastAsia="SimSun" w:cs="SimSun"/>
          <w:spacing w:val="3"/>
        </w:rPr>
        <w:t>4/2025</w:t>
      </w:r>
      <w:r>
        <w:rPr>
          <w:spacing w:val="3"/>
        </w:rPr>
        <w:t>报告，2024年全球保费收入已突破8.5万亿美</w:t>
      </w:r>
      <w:r>
        <w:rPr>
          <w:spacing w:val="2"/>
        </w:rPr>
        <w:t>元，其</w:t>
      </w:r>
      <w:r>
        <w:rPr/>
        <w:t xml:space="preserve">  </w:t>
      </w:r>
      <w:r>
        <w:rPr>
          <w:spacing w:val="7"/>
        </w:rPr>
        <w:t>中亚太地区占比首次超过38%。中国作为全球第二大保险市场，其保费增速与结构转型(寿</w:t>
      </w:r>
      <w:r>
        <w:rPr>
          <w:spacing w:val="6"/>
        </w:rPr>
        <w:t>险向</w:t>
      </w:r>
      <w:r>
        <w:rPr/>
        <w:t xml:space="preserve"> </w:t>
      </w:r>
      <w:r>
        <w:rPr>
          <w:spacing w:val="2"/>
        </w:rPr>
        <w:t>健康/养老险转型、财产险向责任险与巨灾险转型)正深刻重塑全球保险版图。</w:t>
      </w:r>
    </w:p>
    <w:p>
      <w:pPr>
        <w:pStyle w:val="BodyText"/>
        <w:ind w:left="163"/>
        <w:spacing w:before="198" w:line="222" w:lineRule="auto"/>
        <w:outlineLvl w:val="3"/>
        <w:rPr/>
      </w:pPr>
      <w:r>
        <w:rPr>
          <w:b/>
          <w:bCs/>
          <w:spacing w:val="10"/>
        </w:rPr>
        <w:t>(二)研究对象</w:t>
      </w:r>
    </w:p>
    <w:p>
      <w:pPr>
        <w:pStyle w:val="BodyText"/>
        <w:ind w:right="9"/>
        <w:spacing w:before="215" w:line="333" w:lineRule="auto"/>
        <w:rPr/>
      </w:pPr>
      <w:r>
        <w:rPr>
          <w:spacing w:val="6"/>
        </w:rPr>
        <w:t>本报告选取2025年末保险资产规模全球前十的代表性公司(按合并口径</w:t>
      </w:r>
      <w:r>
        <w:rPr>
          <w:spacing w:val="5"/>
        </w:rPr>
        <w:t>排序，数据来源于各公司</w:t>
      </w:r>
      <w:r>
        <w:rPr/>
        <w:t xml:space="preserve"> </w:t>
      </w:r>
      <w:r>
        <w:rPr>
          <w:spacing w:val="5"/>
        </w:rPr>
        <w:t>2025年报及</w:t>
      </w:r>
      <w:r>
        <w:rPr>
          <w:rFonts w:ascii="SimSun" w:hAnsi="SimSun" w:eastAsia="SimSun" w:cs="SimSun"/>
        </w:rPr>
        <w:t>AM</w:t>
      </w:r>
      <w:r>
        <w:rPr>
          <w:rFonts w:ascii="SimSun" w:hAnsi="SimSun" w:eastAsia="SimSun" w:cs="SimSun"/>
          <w:spacing w:val="70"/>
        </w:rPr>
        <w:t xml:space="preserve"> </w:t>
      </w:r>
      <w:r>
        <w:rPr>
          <w:rFonts w:ascii="SimSun" w:hAnsi="SimSun" w:eastAsia="SimSun" w:cs="SimSun"/>
        </w:rPr>
        <w:t>Best</w:t>
      </w:r>
      <w:r>
        <w:rPr>
          <w:rFonts w:ascii="SimSun" w:hAnsi="SimSun" w:eastAsia="SimSun" w:cs="SimSun"/>
          <w:spacing w:val="5"/>
        </w:rPr>
        <w:t>、S&amp;</w:t>
      </w:r>
      <w:r>
        <w:rPr>
          <w:rFonts w:ascii="SimSun" w:hAnsi="SimSun" w:eastAsia="SimSun" w:cs="SimSun"/>
        </w:rPr>
        <w:t>P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</w:rPr>
        <w:t>Global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rFonts w:ascii="SimSun" w:hAnsi="SimSun" w:eastAsia="SimSun" w:cs="SimSun"/>
        </w:rPr>
        <w:t>Ratings</w:t>
      </w:r>
      <w:r>
        <w:rPr>
          <w:spacing w:val="5"/>
        </w:rPr>
        <w:t>最新评级报告):</w:t>
      </w:r>
    </w:p>
    <w:p>
      <w:pPr>
        <w:spacing w:line="333" w:lineRule="auto"/>
        <w:sectPr>
          <w:pgSz w:w="12240" w:h="15840"/>
          <w:pgMar w:top="1149" w:right="1045" w:bottom="0" w:left="970" w:header="0" w:footer="0" w:gutter="0"/>
        </w:sectPr>
        <w:rPr/>
      </w:pPr>
    </w:p>
    <w:p>
      <w:pPr>
        <w:pStyle w:val="BodyText"/>
        <w:ind w:left="339"/>
        <w:spacing w:before="48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7"/>
        </w:rPr>
        <w:t>1.</w:t>
      </w:r>
      <w:r>
        <w:rPr>
          <w:rFonts w:ascii="SimSun" w:hAnsi="SimSun" w:eastAsia="SimSun" w:cs="SimSun"/>
          <w:spacing w:val="19"/>
        </w:rPr>
        <w:t xml:space="preserve">  </w:t>
      </w:r>
      <w:r>
        <w:rPr>
          <w:spacing w:val="-7"/>
        </w:rPr>
        <w:t>安联集团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7"/>
        </w:rPr>
        <w:t>(Allianz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-7"/>
        </w:rPr>
        <w:t>SE)</w:t>
      </w:r>
    </w:p>
    <w:p>
      <w:pPr>
        <w:pStyle w:val="BodyText"/>
        <w:ind w:left="339"/>
        <w:spacing w:before="250" w:line="221" w:lineRule="auto"/>
        <w:rPr/>
      </w:pPr>
      <w:r>
        <w:rPr>
          <w:rFonts w:ascii="SimSun" w:hAnsi="SimSun" w:eastAsia="SimSun" w:cs="SimSun"/>
          <w:spacing w:val="12"/>
        </w:rPr>
        <w:t>2.</w:t>
      </w:r>
      <w:r>
        <w:rPr>
          <w:rFonts w:ascii="SimSun" w:hAnsi="SimSun" w:eastAsia="SimSun" w:cs="SimSun"/>
          <w:spacing w:val="13"/>
        </w:rPr>
        <w:t xml:space="preserve">  </w:t>
      </w:r>
      <w:r>
        <w:rPr>
          <w:spacing w:val="12"/>
        </w:rPr>
        <w:t>中国平安保险(集团)股份有限公司</w:t>
      </w:r>
    </w:p>
    <w:p>
      <w:pPr>
        <w:pStyle w:val="BodyText"/>
        <w:ind w:left="339"/>
        <w:spacing w:before="254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3.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spacing w:val="-4"/>
        </w:rPr>
        <w:t>安盛集团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(AXA)</w:t>
      </w:r>
    </w:p>
    <w:p>
      <w:pPr>
        <w:pStyle w:val="BodyText"/>
        <w:ind w:left="339"/>
        <w:spacing w:before="284" w:line="21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4.</w:t>
      </w:r>
      <w:r>
        <w:rPr>
          <w:rFonts w:ascii="SimSun" w:hAnsi="SimSun" w:eastAsia="SimSun" w:cs="SimSun"/>
          <w:spacing w:val="116"/>
        </w:rPr>
        <w:t xml:space="preserve"> </w:t>
      </w:r>
      <w:r>
        <w:rPr>
          <w:spacing w:val="-1"/>
        </w:rPr>
        <w:t>日本生命保险相互会社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(Nippon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rFonts w:ascii="SimSun" w:hAnsi="SimSun" w:eastAsia="SimSun" w:cs="SimSun"/>
          <w:spacing w:val="-1"/>
        </w:rPr>
        <w:t>Life)</w:t>
      </w:r>
    </w:p>
    <w:p>
      <w:pPr>
        <w:pStyle w:val="BodyText"/>
        <w:ind w:left="339"/>
        <w:spacing w:before="233" w:line="221" w:lineRule="auto"/>
        <w:rPr/>
      </w:pPr>
      <w:r>
        <w:rPr>
          <w:rFonts w:ascii="SimSun" w:hAnsi="SimSun" w:eastAsia="SimSun" w:cs="SimSun"/>
        </w:rPr>
        <w:t>5.  </w:t>
      </w:r>
      <w:r>
        <w:rPr/>
        <w:t>中国人寿保险股份有限公司</w:t>
      </w:r>
    </w:p>
    <w:p>
      <w:pPr>
        <w:pStyle w:val="BodyText"/>
        <w:ind w:left="339"/>
        <w:spacing w:before="195" w:line="327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2"/>
          <w:position w:val="2"/>
        </w:rPr>
        <w:t>6.</w:t>
      </w:r>
      <w:r>
        <w:rPr>
          <w:rFonts w:ascii="Arial" w:hAnsi="Arial" w:eastAsia="Arial" w:cs="Arial"/>
          <w:spacing w:val="9"/>
          <w:position w:val="2"/>
        </w:rPr>
        <w:t xml:space="preserve">    </w:t>
      </w:r>
      <w:r>
        <w:rPr>
          <w:spacing w:val="-2"/>
          <w:position w:val="2"/>
        </w:rPr>
        <w:t>保诚集团</w:t>
      </w:r>
      <w:r>
        <w:rPr>
          <w:spacing w:val="-2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(Prudential</w:t>
      </w:r>
      <w:r>
        <w:rPr>
          <w:rFonts w:ascii="Arial" w:hAnsi="Arial" w:eastAsia="Arial" w:cs="Arial"/>
          <w:spacing w:val="11"/>
          <w:position w:val="2"/>
        </w:rPr>
        <w:t xml:space="preserve">   </w:t>
      </w:r>
      <w:r>
        <w:rPr>
          <w:rFonts w:ascii="Arial" w:hAnsi="Arial" w:eastAsia="Arial" w:cs="Arial"/>
          <w:spacing w:val="-2"/>
          <w:position w:val="2"/>
        </w:rPr>
        <w:t>plc)</w:t>
      </w:r>
    </w:p>
    <w:p>
      <w:pPr>
        <w:pStyle w:val="BodyText"/>
        <w:ind w:left="339"/>
        <w:spacing w:before="272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7.  </w:t>
      </w:r>
      <w:r>
        <w:rPr>
          <w:spacing w:val="-2"/>
        </w:rPr>
        <w:t>德国安顾保险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(Munich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rFonts w:ascii="SimSun" w:hAnsi="SimSun" w:eastAsia="SimSun" w:cs="SimSun"/>
          <w:spacing w:val="-2"/>
        </w:rPr>
        <w:t>Re)</w:t>
      </w:r>
    </w:p>
    <w:p>
      <w:pPr>
        <w:pStyle w:val="BodyText"/>
        <w:ind w:left="339"/>
        <w:spacing w:before="240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8.  </w:t>
      </w:r>
      <w:r>
        <w:rPr>
          <w:spacing w:val="-1"/>
        </w:rPr>
        <w:t>美国大都会人寿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1"/>
        </w:rPr>
        <w:t>(MetLife)</w:t>
      </w:r>
    </w:p>
    <w:p>
      <w:pPr>
        <w:pStyle w:val="BodyText"/>
        <w:ind w:left="339"/>
        <w:spacing w:before="205" w:line="327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2"/>
          <w:position w:val="2"/>
        </w:rPr>
        <w:t>9.</w:t>
      </w:r>
      <w:r>
        <w:rPr>
          <w:rFonts w:ascii="Arial" w:hAnsi="Arial" w:eastAsia="Arial" w:cs="Arial"/>
          <w:spacing w:val="7"/>
          <w:position w:val="2"/>
        </w:rPr>
        <w:t xml:space="preserve">    </w:t>
      </w:r>
      <w:r>
        <w:rPr>
          <w:spacing w:val="-2"/>
          <w:position w:val="2"/>
        </w:rPr>
        <w:t>友邦保险</w:t>
      </w:r>
      <w:r>
        <w:rPr>
          <w:spacing w:val="-2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(AIA</w:t>
      </w:r>
      <w:r>
        <w:rPr>
          <w:rFonts w:ascii="Arial" w:hAnsi="Arial" w:eastAsia="Arial" w:cs="Arial"/>
          <w:spacing w:val="30"/>
          <w:position w:val="2"/>
        </w:rPr>
        <w:t xml:space="preserve">  </w:t>
      </w:r>
      <w:r>
        <w:rPr>
          <w:rFonts w:ascii="Arial" w:hAnsi="Arial" w:eastAsia="Arial" w:cs="Arial"/>
          <w:spacing w:val="-2"/>
          <w:position w:val="2"/>
        </w:rPr>
        <w:t>Group)</w:t>
      </w:r>
    </w:p>
    <w:p>
      <w:pPr>
        <w:pStyle w:val="BodyText"/>
        <w:ind w:left="339"/>
        <w:spacing w:before="260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5"/>
        </w:rPr>
        <w:t>10. </w:t>
      </w:r>
      <w:r>
        <w:rPr>
          <w:spacing w:val="-5"/>
        </w:rPr>
        <w:t>美国保德信金融集团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-5"/>
        </w:rPr>
        <w:t>(Prudential Finan</w:t>
      </w:r>
      <w:r>
        <w:rPr>
          <w:rFonts w:ascii="SimSun" w:hAnsi="SimSun" w:eastAsia="SimSun" w:cs="SimSun"/>
          <w:spacing w:val="-6"/>
        </w:rPr>
        <w:t>cial)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79" w:line="221" w:lineRule="auto"/>
        <w:outlineLvl w:val="3"/>
        <w:rPr/>
      </w:pPr>
      <w:r>
        <w:rPr>
          <w:b/>
          <w:bCs/>
          <w:spacing w:val="6"/>
        </w:rPr>
        <w:t>(三)评价维度与方法论</w:t>
      </w:r>
    </w:p>
    <w:p>
      <w:pPr>
        <w:pStyle w:val="BodyText"/>
        <w:spacing w:before="237" w:line="222" w:lineRule="auto"/>
        <w:rPr/>
      </w:pPr>
      <w:r>
        <w:rPr>
          <w:spacing w:val="10"/>
        </w:rPr>
        <w:t>采用五维加权评分体系(满分100分):</w:t>
      </w:r>
    </w:p>
    <w:p>
      <w:pPr>
        <w:pStyle w:val="BodyText"/>
        <w:ind w:left="339"/>
        <w:spacing w:before="241" w:line="222" w:lineRule="auto"/>
        <w:rPr/>
      </w:pPr>
      <w:r>
        <w:rPr>
          <w:rFonts w:ascii="SimSun" w:hAnsi="SimSun" w:eastAsia="SimSun" w:cs="SimSun"/>
          <w:spacing w:val="16"/>
        </w:rPr>
        <w:t>1.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16"/>
        </w:rPr>
        <w:t>资本与偿付能力(权重25%)</w:t>
      </w:r>
    </w:p>
    <w:p>
      <w:pPr>
        <w:pStyle w:val="BodyText"/>
        <w:ind w:left="339"/>
        <w:spacing w:before="261" w:line="222" w:lineRule="auto"/>
        <w:rPr/>
      </w:pPr>
      <w:r>
        <w:rPr>
          <w:rFonts w:ascii="SimSun" w:hAnsi="SimSun" w:eastAsia="SimSun" w:cs="SimSun"/>
          <w:spacing w:val="15"/>
        </w:rPr>
        <w:t>2.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15"/>
        </w:rPr>
        <w:t>盈利能力与价值创造(权重25%)</w:t>
      </w:r>
    </w:p>
    <w:p>
      <w:pPr>
        <w:pStyle w:val="BodyText"/>
        <w:ind w:left="339"/>
        <w:spacing w:before="231" w:line="221" w:lineRule="auto"/>
        <w:rPr/>
      </w:pPr>
      <w:r>
        <w:rPr>
          <w:rFonts w:ascii="SimSun" w:hAnsi="SimSun" w:eastAsia="SimSun" w:cs="SimSun"/>
          <w:spacing w:val="16"/>
        </w:rPr>
        <w:t>3.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6"/>
        </w:rPr>
        <w:t>增长动能与新业务价值(权重20%)</w:t>
      </w:r>
    </w:p>
    <w:p>
      <w:pPr>
        <w:pStyle w:val="BodyText"/>
        <w:ind w:left="339"/>
        <w:spacing w:before="263" w:line="221" w:lineRule="auto"/>
        <w:rPr/>
      </w:pPr>
      <w:r>
        <w:rPr>
          <w:rFonts w:ascii="SimSun" w:hAnsi="SimSun" w:eastAsia="SimSun" w:cs="SimSun"/>
          <w:spacing w:val="11"/>
        </w:rPr>
        <w:t>4.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11"/>
        </w:rPr>
        <w:t>资产负债管理与久期匹配能力(权重15%)</w:t>
      </w:r>
    </w:p>
    <w:p>
      <w:pPr>
        <w:pStyle w:val="BodyText"/>
        <w:ind w:left="339"/>
        <w:spacing w:before="263" w:line="222" w:lineRule="auto"/>
        <w:rPr/>
      </w:pPr>
      <w:r>
        <w:rPr>
          <w:rFonts w:ascii="SimSun" w:hAnsi="SimSun" w:eastAsia="SimSun" w:cs="SimSun"/>
          <w:spacing w:val="9"/>
        </w:rPr>
        <w:t>5.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9"/>
        </w:rPr>
        <w:t>中国市场战略布局与本土化深度(权重15%)</w:t>
      </w:r>
    </w:p>
    <w:p>
      <w:pPr>
        <w:pStyle w:val="BodyText"/>
        <w:spacing w:before="316" w:line="313" w:lineRule="auto"/>
        <w:rPr/>
      </w:pPr>
      <w:r>
        <w:rPr>
          <w:spacing w:val="5"/>
        </w:rPr>
        <w:t>数据主要来源于：各公司2023-2025年年报、瑞士再保险</w:t>
      </w:r>
      <w:r>
        <w:rPr>
          <w:rFonts w:ascii="SimSun" w:hAnsi="SimSun" w:eastAsia="SimSun" w:cs="SimSun"/>
        </w:rPr>
        <w:t>sigma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5"/>
        </w:rPr>
        <w:t>系列、</w:t>
      </w:r>
      <w:r>
        <w:rPr>
          <w:rFonts w:ascii="SimSun" w:hAnsi="SimSun" w:eastAsia="SimSun" w:cs="SimSun"/>
        </w:rPr>
        <w:t>AM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</w:rPr>
        <w:t>Best</w:t>
      </w:r>
      <w:r>
        <w:rPr>
          <w:spacing w:val="5"/>
        </w:rPr>
        <w:t>评级报告、</w:t>
      </w:r>
      <w:r>
        <w:rPr>
          <w:rFonts w:ascii="SimSun" w:hAnsi="SimSun" w:eastAsia="SimSun" w:cs="SimSun"/>
          <w:spacing w:val="5"/>
        </w:rPr>
        <w:t>S&amp;P</w:t>
      </w:r>
      <w:r>
        <w:rPr>
          <w:rFonts w:ascii="SimSun" w:hAnsi="SimSun" w:eastAsia="SimSun" w:cs="SimSun"/>
        </w:rPr>
        <w:t xml:space="preserve"> </w:t>
      </w:r>
      <w:r>
        <w:rPr/>
        <w:t>全球保险评级、中国银保监会偿付能力信息披露平</w:t>
      </w:r>
      <w:r>
        <w:rPr>
          <w:spacing w:val="-1"/>
        </w:rPr>
        <w:t>台、穆迪投资者服务等。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二、核心指标横向比较</w:t>
      </w:r>
    </w:p>
    <w:p>
      <w:pPr>
        <w:pStyle w:val="BodyText"/>
        <w:ind w:left="153"/>
        <w:spacing w:before="188" w:line="222" w:lineRule="auto"/>
        <w:outlineLvl w:val="3"/>
        <w:rPr/>
      </w:pPr>
      <w:r>
        <w:rPr>
          <w:b/>
          <w:bCs/>
          <w:spacing w:val="8"/>
        </w:rPr>
        <w:t>(一)总览表：全球十大保险集团五维核心指标对比(2025年末数据)</w:t>
      </w:r>
    </w:p>
    <w:p>
      <w:pPr>
        <w:spacing w:line="222" w:lineRule="auto"/>
        <w:sectPr>
          <w:pgSz w:w="12240" w:h="15840"/>
          <w:pgMar w:top="1250" w:right="1220" w:bottom="0" w:left="980" w:header="0" w:footer="0" w:gutter="0"/>
        </w:sectPr>
        <w:rPr/>
      </w:pPr>
    </w:p>
    <w:tbl>
      <w:tblPr>
        <w:tblStyle w:val="TableNormal"/>
        <w:tblW w:w="1020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42"/>
        <w:gridCol w:w="881"/>
        <w:gridCol w:w="1227"/>
        <w:gridCol w:w="1440"/>
        <w:gridCol w:w="1603"/>
        <w:gridCol w:w="1409"/>
        <w:gridCol w:w="1682"/>
        <w:gridCol w:w="1425"/>
      </w:tblGrid>
      <w:tr>
        <w:trPr>
          <w:trHeight w:val="1643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71" w:line="221" w:lineRule="auto"/>
              <w:rPr/>
            </w:pPr>
            <w:r>
              <w:rPr>
                <w:b/>
                <w:bCs/>
                <w:spacing w:val="-3"/>
              </w:rPr>
              <w:t>排</w:t>
            </w:r>
          </w:p>
          <w:p>
            <w:pPr>
              <w:pStyle w:val="TableText"/>
              <w:ind w:left="158"/>
              <w:spacing w:before="37" w:line="223" w:lineRule="auto"/>
              <w:rPr/>
            </w:pPr>
            <w:r>
              <w:rPr>
                <w:b/>
                <w:bCs/>
                <w:spacing w:val="-3"/>
              </w:rPr>
              <w:t>名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2" w:line="241" w:lineRule="auto"/>
              <w:rPr/>
            </w:pPr>
            <w:r>
              <w:rPr/>
              <w:t>1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71" w:line="221" w:lineRule="auto"/>
              <w:rPr/>
            </w:pPr>
            <w:r>
              <w:rPr>
                <w:b/>
                <w:bCs/>
                <w:spacing w:val="-11"/>
              </w:rPr>
              <w:t>公</w:t>
            </w:r>
            <w:r>
              <w:rPr>
                <w:spacing w:val="-24"/>
              </w:rPr>
              <w:t xml:space="preserve"> </w:t>
            </w:r>
            <w:r>
              <w:rPr>
                <w:b/>
                <w:bCs/>
                <w:spacing w:val="-11"/>
              </w:rPr>
              <w:t>司</w:t>
            </w:r>
          </w:p>
          <w:p>
            <w:pPr>
              <w:pStyle w:val="TableText"/>
              <w:ind w:left="259"/>
              <w:spacing w:before="36" w:line="221" w:lineRule="auto"/>
              <w:rPr/>
            </w:pPr>
            <w:r>
              <w:rPr>
                <w:b/>
                <w:bCs/>
                <w:spacing w:val="-6"/>
              </w:rPr>
              <w:t>名称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72" w:line="221" w:lineRule="auto"/>
              <w:rPr/>
            </w:pPr>
            <w:r>
              <w:rPr>
                <w:spacing w:val="4"/>
              </w:rPr>
              <w:t>安联</w:t>
            </w:r>
          </w:p>
        </w:tc>
        <w:tc>
          <w:tcPr>
            <w:tcW w:w="1227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ind w:left="240" w:right="199"/>
              <w:spacing w:before="281" w:line="245" w:lineRule="auto"/>
              <w:jc w:val="both"/>
              <w:rPr/>
            </w:pPr>
            <w:r>
              <w:rPr>
                <w:b/>
                <w:bCs/>
                <w:spacing w:val="-17"/>
              </w:rPr>
              <w:t>总</w:t>
            </w:r>
            <w:r>
              <w:rPr>
                <w:spacing w:val="-20"/>
              </w:rPr>
              <w:t xml:space="preserve"> </w:t>
            </w:r>
            <w:r>
              <w:rPr>
                <w:b/>
                <w:bCs/>
                <w:spacing w:val="-17"/>
              </w:rPr>
              <w:t>资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-17"/>
              </w:rPr>
              <w:t>产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(万亿美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元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8"/>
              </w:rPr>
              <w:t>)</w:t>
            </w:r>
          </w:p>
          <w:p>
            <w:pPr>
              <w:pStyle w:val="TableText"/>
              <w:ind w:left="227"/>
              <w:spacing w:before="278" w:line="239" w:lineRule="auto"/>
              <w:rPr/>
            </w:pPr>
            <w:r>
              <w:rPr>
                <w:spacing w:val="-5"/>
              </w:rPr>
              <w:t>1.12</w:t>
            </w:r>
          </w:p>
          <w:p>
            <w:pPr>
              <w:pStyle w:val="TableText"/>
              <w:ind w:left="227"/>
              <w:spacing w:before="245" w:line="239" w:lineRule="auto"/>
              <w:rPr/>
            </w:pPr>
            <w:r>
              <w:rPr>
                <w:spacing w:val="-5"/>
              </w:rPr>
              <w:t>1.68</w:t>
            </w:r>
          </w:p>
        </w:tc>
        <w:tc>
          <w:tcPr>
            <w:tcW w:w="1440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ind w:left="223" w:right="128"/>
              <w:spacing w:before="281" w:line="251" w:lineRule="auto"/>
              <w:rPr/>
            </w:pPr>
            <w:r>
              <w:rPr>
                <w:b/>
                <w:bCs/>
                <w:spacing w:val="-5"/>
              </w:rPr>
              <w:t>核心偿付能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"/>
              </w:rPr>
              <w:t>力充足率</w:t>
            </w:r>
            <w:r>
              <w:rPr/>
              <w:t xml:space="preserve">  </w:t>
            </w:r>
            <w:r>
              <w:rPr>
                <w:b/>
                <w:bCs/>
                <w:spacing w:val="-13"/>
              </w:rPr>
              <w:t>(%)</w:t>
            </w:r>
          </w:p>
          <w:p>
            <w:pPr>
              <w:pStyle w:val="TableText"/>
              <w:ind w:left="209"/>
              <w:spacing w:before="246"/>
              <w:rPr/>
            </w:pPr>
            <w:r>
              <w:rPr>
                <w:spacing w:val="-3"/>
              </w:rPr>
              <w:t>206</w:t>
            </w:r>
          </w:p>
          <w:p>
            <w:pPr>
              <w:pStyle w:val="TableText"/>
              <w:ind w:left="209"/>
              <w:spacing w:before="253"/>
              <w:rPr/>
            </w:pPr>
            <w:r>
              <w:rPr>
                <w:spacing w:val="-3"/>
              </w:rPr>
              <w:t>238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3" w:right="174"/>
              <w:spacing w:before="271" w:line="241" w:lineRule="auto"/>
              <w:jc w:val="both"/>
              <w:rPr/>
            </w:pPr>
            <w:r>
              <w:rPr>
                <w:b/>
                <w:bCs/>
                <w:spacing w:val="16"/>
              </w:rPr>
              <w:t>2025年新业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1"/>
              </w:rPr>
              <w:t>务价值(亿美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8"/>
              </w:rPr>
              <w:t>元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8"/>
              </w:rPr>
              <w:t>)</w:t>
            </w:r>
          </w:p>
          <w:p>
            <w:pPr>
              <w:pStyle w:val="TableText"/>
              <w:ind w:left="203"/>
              <w:spacing w:before="210" w:line="239" w:lineRule="auto"/>
              <w:rPr/>
            </w:pPr>
            <w:r>
              <w:rPr>
                <w:b/>
                <w:bCs/>
                <w:spacing w:val="-5"/>
              </w:rPr>
              <w:t>38.4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0" w:right="407"/>
              <w:spacing w:before="269" w:line="250" w:lineRule="auto"/>
              <w:jc w:val="both"/>
              <w:rPr/>
            </w:pPr>
            <w:r>
              <w:rPr>
                <w:b/>
                <w:bCs/>
                <w:spacing w:val="-5"/>
              </w:rPr>
              <w:t>过去5年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CAGR(保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28"/>
              </w:rPr>
              <w:t>费)(%)</w:t>
            </w:r>
          </w:p>
          <w:p>
            <w:pPr>
              <w:pStyle w:val="TableText"/>
              <w:ind w:left="210"/>
              <w:spacing w:before="180" w:line="239" w:lineRule="auto"/>
              <w:rPr/>
            </w:pPr>
            <w:r>
              <w:rPr>
                <w:b/>
                <w:bCs/>
                <w:spacing w:val="-5"/>
              </w:rPr>
              <w:t>4.8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1" w:right="68"/>
              <w:spacing w:before="71" w:line="238" w:lineRule="auto"/>
              <w:rPr/>
            </w:pPr>
            <w:r>
              <w:rPr>
                <w:b/>
                <w:bCs/>
                <w:spacing w:val="-1"/>
              </w:rPr>
              <w:t>中国市场保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24"/>
              </w:rPr>
              <w:t>费占比(%)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1"/>
              <w:spacing w:before="72" w:line="239" w:lineRule="auto"/>
              <w:rPr/>
            </w:pPr>
            <w:r>
              <w:rPr>
                <w:b/>
                <w:bCs/>
                <w:spacing w:val="-5"/>
              </w:rPr>
              <w:t>8.2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pStyle w:val="TableText"/>
              <w:ind w:left="139"/>
              <w:spacing w:before="270" w:line="219" w:lineRule="auto"/>
              <w:rPr/>
            </w:pPr>
            <w:r>
              <w:rPr>
                <w:b/>
                <w:bCs/>
                <w:spacing w:val="-1"/>
              </w:rPr>
              <w:t>中国市场战</w:t>
            </w:r>
          </w:p>
          <w:p>
            <w:pPr>
              <w:pStyle w:val="TableText"/>
              <w:ind w:left="139" w:right="176"/>
              <w:spacing w:before="7" w:line="272" w:lineRule="auto"/>
              <w:rPr/>
            </w:pPr>
            <w:r>
              <w:rPr>
                <w:b/>
                <w:bCs/>
                <w:spacing w:val="20"/>
              </w:rPr>
              <w:t>略得分(满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8"/>
              </w:rPr>
              <w:t>分10)</w:t>
            </w:r>
          </w:p>
          <w:p>
            <w:pPr>
              <w:pStyle w:val="TableText"/>
              <w:ind w:left="129"/>
              <w:spacing w:before="155" w:line="239" w:lineRule="auto"/>
              <w:rPr/>
            </w:pPr>
            <w:r>
              <w:rPr>
                <w:b/>
                <w:bCs/>
                <w:spacing w:val="-6"/>
              </w:rPr>
              <w:t>7.8</w:t>
            </w:r>
          </w:p>
        </w:tc>
      </w:tr>
      <w:tr>
        <w:trPr>
          <w:trHeight w:val="82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2" w:line="241" w:lineRule="auto"/>
              <w:rPr/>
            </w:pPr>
            <w:r>
              <w:rPr/>
              <w:t>2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8"/>
              <w:spacing w:before="281" w:line="220" w:lineRule="auto"/>
              <w:rPr/>
            </w:pPr>
            <w:r>
              <w:rPr>
                <w:spacing w:val="31"/>
              </w:rPr>
              <w:t>中国</w:t>
            </w:r>
          </w:p>
          <w:p>
            <w:pPr>
              <w:pStyle w:val="TableText"/>
              <w:ind w:left="208"/>
              <w:spacing w:before="18" w:line="215" w:lineRule="auto"/>
              <w:rPr/>
            </w:pPr>
            <w:r>
              <w:rPr>
                <w:spacing w:val="11"/>
              </w:rPr>
              <w:t>平安</w:t>
            </w:r>
          </w:p>
        </w:tc>
        <w:tc>
          <w:tcPr>
            <w:tcW w:w="1227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0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71" w:line="239" w:lineRule="auto"/>
              <w:rPr/>
            </w:pPr>
            <w:r>
              <w:rPr>
                <w:b/>
                <w:bCs/>
                <w:spacing w:val="-5"/>
              </w:rPr>
              <w:t>62.1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71" w:line="239" w:lineRule="auto"/>
              <w:rPr/>
            </w:pPr>
            <w:r>
              <w:rPr>
                <w:b/>
                <w:bCs/>
                <w:spacing w:val="-7"/>
              </w:rPr>
              <w:t>11.4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1"/>
              <w:spacing w:before="71" w:line="239" w:lineRule="auto"/>
              <w:rPr/>
            </w:pPr>
            <w:r>
              <w:rPr>
                <w:b/>
                <w:bCs/>
                <w:spacing w:val="-5"/>
              </w:rPr>
              <w:t>92.6</w:t>
            </w:r>
          </w:p>
        </w:tc>
        <w:tc>
          <w:tcPr>
            <w:tcW w:w="1425" w:type="dxa"/>
            <w:vAlign w:val="top"/>
            <w:tcBorders>
              <w:left w:val="nil"/>
              <w:righ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71" w:line="239" w:lineRule="auto"/>
              <w:rPr/>
            </w:pPr>
            <w:r>
              <w:rPr>
                <w:b/>
                <w:bCs/>
                <w:spacing w:val="-5"/>
              </w:rPr>
              <w:t>9.6</w:t>
            </w:r>
          </w:p>
        </w:tc>
      </w:tr>
      <w:tr>
        <w:trPr>
          <w:trHeight w:val="52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pStyle w:val="TableText"/>
              <w:ind w:left="215"/>
              <w:spacing w:before="183"/>
              <w:rPr/>
            </w:pPr>
            <w:r>
              <w:rPr/>
              <w:t>3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7"/>
              <w:spacing w:before="163" w:line="221" w:lineRule="auto"/>
              <w:rPr/>
            </w:pPr>
            <w:r>
              <w:rPr>
                <w:spacing w:val="6"/>
              </w:rPr>
              <w:t>安盛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7"/>
              <w:spacing w:before="183" w:line="239" w:lineRule="auto"/>
              <w:rPr/>
            </w:pPr>
            <w:r>
              <w:rPr>
                <w:spacing w:val="-2"/>
              </w:rPr>
              <w:t>0.98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0"/>
              <w:spacing w:before="183"/>
              <w:rPr/>
            </w:pPr>
            <w:r>
              <w:rPr>
                <w:spacing w:val="-6"/>
              </w:rPr>
              <w:t>198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183" w:line="239" w:lineRule="auto"/>
              <w:rPr/>
            </w:pPr>
            <w:r>
              <w:rPr>
                <w:spacing w:val="-3"/>
              </w:rPr>
              <w:t>29.7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0"/>
              <w:spacing w:before="181" w:line="239" w:lineRule="auto"/>
              <w:rPr/>
            </w:pPr>
            <w:r>
              <w:rPr>
                <w:b/>
                <w:bCs/>
                <w:spacing w:val="-6"/>
              </w:rPr>
              <w:t>5.2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71"/>
              <w:spacing w:before="181" w:line="239" w:lineRule="auto"/>
              <w:rPr/>
            </w:pPr>
            <w:r>
              <w:rPr>
                <w:b/>
                <w:bCs/>
                <w:spacing w:val="-7"/>
              </w:rPr>
              <w:t>11.4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181" w:line="239" w:lineRule="auto"/>
              <w:rPr/>
            </w:pPr>
            <w:r>
              <w:rPr>
                <w:b/>
                <w:bCs/>
                <w:spacing w:val="-5"/>
              </w:rPr>
              <w:t>8.4</w:t>
            </w:r>
          </w:p>
        </w:tc>
      </w:tr>
      <w:tr>
        <w:trPr>
          <w:trHeight w:val="78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1" w:line="241" w:lineRule="auto"/>
              <w:rPr/>
            </w:pPr>
            <w:r>
              <w:rPr/>
              <w:t>4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7" w:right="212"/>
              <w:spacing w:before="261" w:line="217" w:lineRule="auto"/>
              <w:rPr/>
            </w:pPr>
            <w:r>
              <w:rPr>
                <w:spacing w:val="5"/>
              </w:rPr>
              <w:t>日本</w:t>
            </w:r>
            <w:r>
              <w:rPr/>
              <w:t xml:space="preserve"> </w:t>
            </w:r>
            <w:r>
              <w:rPr>
                <w:spacing w:val="-3"/>
              </w:rPr>
              <w:t>生命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72" w:line="239" w:lineRule="auto"/>
              <w:rPr/>
            </w:pPr>
            <w:r>
              <w:rPr>
                <w:spacing w:val="-2"/>
              </w:rPr>
              <w:t>0.92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0" w:right="349"/>
              <w:spacing w:before="261" w:line="217" w:lineRule="auto"/>
              <w:rPr/>
            </w:pPr>
            <w:r>
              <w:rPr>
                <w:spacing w:val="-2"/>
              </w:rPr>
              <w:t>912(日本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标准)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2" w:line="239" w:lineRule="auto"/>
              <w:rPr/>
            </w:pPr>
            <w:r>
              <w:rPr>
                <w:spacing w:val="-5"/>
              </w:rPr>
              <w:t>18.6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0"/>
              <w:spacing w:before="312" w:line="239" w:lineRule="auto"/>
              <w:rPr/>
            </w:pPr>
            <w:r>
              <w:rPr>
                <w:b/>
                <w:bCs/>
                <w:spacing w:val="-5"/>
              </w:rPr>
              <w:t>2.9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8"/>
              <w:spacing w:before="72" w:line="239" w:lineRule="auto"/>
              <w:rPr/>
            </w:pPr>
            <w:r>
              <w:rPr>
                <w:spacing w:val="-3"/>
              </w:rPr>
              <w:t>3.1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312" w:line="239" w:lineRule="auto"/>
              <w:rPr/>
            </w:pPr>
            <w:r>
              <w:rPr>
                <w:b/>
                <w:bCs/>
                <w:spacing w:val="-6"/>
              </w:rPr>
              <w:t>5.2</w:t>
            </w:r>
          </w:p>
        </w:tc>
      </w:tr>
      <w:tr>
        <w:trPr>
          <w:trHeight w:val="82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1"/>
              <w:rPr/>
            </w:pPr>
            <w:r>
              <w:rPr/>
              <w:t>5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7"/>
              <w:spacing w:before="294" w:line="220" w:lineRule="auto"/>
              <w:rPr/>
            </w:pPr>
            <w:r>
              <w:rPr>
                <w:spacing w:val="26"/>
              </w:rPr>
              <w:t>中国</w:t>
            </w:r>
          </w:p>
          <w:p>
            <w:pPr>
              <w:pStyle w:val="TableText"/>
              <w:ind w:left="217"/>
              <w:spacing w:before="27" w:line="197" w:lineRule="auto"/>
              <w:rPr/>
            </w:pPr>
            <w:r>
              <w:rPr>
                <w:spacing w:val="5"/>
              </w:rPr>
              <w:t>人寿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72" w:line="239" w:lineRule="auto"/>
              <w:rPr/>
            </w:pPr>
            <w:r>
              <w:rPr>
                <w:spacing w:val="-5"/>
              </w:rPr>
              <w:t>1.41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71"/>
              <w:rPr/>
            </w:pPr>
            <w:r>
              <w:rPr>
                <w:spacing w:val="-3"/>
              </w:rPr>
              <w:t>245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2" w:line="239" w:lineRule="auto"/>
              <w:rPr/>
            </w:pPr>
            <w:r>
              <w:rPr>
                <w:spacing w:val="-2"/>
              </w:rPr>
              <w:t>41.8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71" w:line="239" w:lineRule="auto"/>
              <w:rPr/>
            </w:pPr>
            <w:r>
              <w:rPr>
                <w:b/>
                <w:bCs/>
                <w:spacing w:val="-5"/>
              </w:rPr>
              <w:t>8.7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2" w:line="239" w:lineRule="auto"/>
              <w:rPr/>
            </w:pPr>
            <w:r>
              <w:rPr>
                <w:spacing w:val="-2"/>
              </w:rPr>
              <w:t>95.8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2" w:line="239" w:lineRule="auto"/>
              <w:rPr/>
            </w:pPr>
            <w:r>
              <w:rPr>
                <w:spacing w:val="-3"/>
              </w:rPr>
              <w:t>8.9</w:t>
            </w:r>
          </w:p>
        </w:tc>
      </w:tr>
      <w:tr>
        <w:trPr>
          <w:trHeight w:val="52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pStyle w:val="TableText"/>
              <w:ind w:left="215"/>
              <w:spacing w:before="186"/>
              <w:rPr/>
            </w:pPr>
            <w:r>
              <w:rPr/>
              <w:t>6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7"/>
              <w:spacing w:before="165" w:line="220" w:lineRule="auto"/>
              <w:rPr/>
            </w:pPr>
            <w:r>
              <w:rPr>
                <w:spacing w:val="6"/>
              </w:rPr>
              <w:t>保诚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57"/>
              <w:spacing w:before="186" w:line="239" w:lineRule="auto"/>
              <w:rPr/>
            </w:pPr>
            <w:r>
              <w:rPr>
                <w:spacing w:val="-2"/>
              </w:rPr>
              <w:t>0.76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0"/>
              <w:spacing w:before="186"/>
              <w:rPr/>
            </w:pPr>
            <w:r>
              <w:rPr>
                <w:spacing w:val="-3"/>
              </w:rPr>
              <w:t>215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186" w:line="239" w:lineRule="auto"/>
              <w:rPr/>
            </w:pPr>
            <w:r>
              <w:rPr>
                <w:spacing w:val="-3"/>
              </w:rPr>
              <w:t>34.2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0"/>
              <w:spacing w:before="184" w:line="239" w:lineRule="auto"/>
              <w:rPr/>
            </w:pPr>
            <w:r>
              <w:rPr>
                <w:b/>
                <w:bCs/>
                <w:spacing w:val="-5"/>
              </w:rPr>
              <w:t>6.1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68"/>
              <w:spacing w:before="186" w:line="239" w:lineRule="auto"/>
              <w:rPr/>
            </w:pPr>
            <w:r>
              <w:rPr>
                <w:spacing w:val="-2"/>
              </w:rPr>
              <w:t>42.3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pStyle w:val="TableText"/>
              <w:ind w:left="125"/>
              <w:spacing w:before="186" w:line="239" w:lineRule="auto"/>
              <w:rPr/>
            </w:pPr>
            <w:r>
              <w:rPr>
                <w:spacing w:val="-3"/>
              </w:rPr>
              <w:t>8.1</w:t>
            </w:r>
          </w:p>
        </w:tc>
      </w:tr>
      <w:tr>
        <w:trPr>
          <w:trHeight w:val="109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2"/>
              <w:rPr/>
            </w:pPr>
            <w:r>
              <w:rPr/>
              <w:t>7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8"/>
              <w:spacing w:before="287" w:line="221" w:lineRule="auto"/>
              <w:rPr/>
            </w:pPr>
            <w:r>
              <w:rPr>
                <w:spacing w:val="14"/>
              </w:rPr>
              <w:t>慕尼</w:t>
            </w:r>
          </w:p>
          <w:p>
            <w:pPr>
              <w:pStyle w:val="TableText"/>
              <w:ind w:left="208"/>
              <w:spacing w:before="26" w:line="220" w:lineRule="auto"/>
              <w:rPr/>
            </w:pPr>
            <w:r>
              <w:rPr>
                <w:spacing w:val="9"/>
              </w:rPr>
              <w:t>黑再</w:t>
            </w:r>
          </w:p>
          <w:p>
            <w:pPr>
              <w:pStyle w:val="TableText"/>
              <w:ind w:left="208"/>
              <w:spacing w:before="17" w:line="195" w:lineRule="auto"/>
              <w:rPr/>
            </w:pPr>
            <w:r>
              <w:rPr>
                <w:spacing w:val="9"/>
              </w:rPr>
              <w:t>保险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72" w:line="239" w:lineRule="auto"/>
              <w:rPr/>
            </w:pPr>
            <w:r>
              <w:rPr>
                <w:spacing w:val="-2"/>
              </w:rPr>
              <w:t>0.89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72"/>
              <w:rPr/>
            </w:pPr>
            <w:r>
              <w:rPr>
                <w:spacing w:val="-3"/>
              </w:rPr>
              <w:t>248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2" w:line="220" w:lineRule="auto"/>
              <w:rPr/>
            </w:pPr>
            <w:r>
              <w:rPr>
                <w:spacing w:val="6"/>
              </w:rPr>
              <w:t>14.9(再保)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72" w:line="239" w:lineRule="auto"/>
              <w:rPr/>
            </w:pPr>
            <w:r>
              <w:rPr>
                <w:b/>
                <w:bCs/>
                <w:spacing w:val="-6"/>
              </w:rPr>
              <w:t>7.3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8"/>
              <w:spacing w:before="72" w:line="239" w:lineRule="auto"/>
              <w:rPr/>
            </w:pPr>
            <w:r>
              <w:rPr>
                <w:spacing w:val="-3"/>
              </w:rPr>
              <w:t>6.7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2" w:line="239" w:lineRule="auto"/>
              <w:rPr/>
            </w:pPr>
            <w:r>
              <w:rPr>
                <w:spacing w:val="-3"/>
              </w:rPr>
              <w:t>6.4</w:t>
            </w:r>
          </w:p>
        </w:tc>
      </w:tr>
      <w:tr>
        <w:trPr>
          <w:trHeight w:val="109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2"/>
              <w:rPr/>
            </w:pPr>
            <w:r>
              <w:rPr/>
              <w:t>8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8"/>
              <w:spacing w:before="297" w:line="219" w:lineRule="auto"/>
              <w:rPr/>
            </w:pPr>
            <w:r>
              <w:rPr>
                <w:spacing w:val="30"/>
              </w:rPr>
              <w:t>大都</w:t>
            </w:r>
          </w:p>
          <w:p>
            <w:pPr>
              <w:pStyle w:val="TableText"/>
              <w:ind w:left="178" w:right="213"/>
              <w:spacing w:before="18" w:line="215" w:lineRule="auto"/>
              <w:rPr/>
            </w:pPr>
            <w:r>
              <w:rPr>
                <w:spacing w:val="24"/>
              </w:rPr>
              <w:t>会人</w:t>
            </w:r>
            <w:r>
              <w:rPr/>
              <w:t xml:space="preserve"> </w:t>
            </w:r>
            <w:r>
              <w:rPr/>
              <w:t>寿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72" w:line="239" w:lineRule="auto"/>
              <w:rPr/>
            </w:pPr>
            <w:r>
              <w:rPr>
                <w:spacing w:val="-2"/>
              </w:rPr>
              <w:t>0.71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72"/>
              <w:rPr/>
            </w:pPr>
            <w:r>
              <w:rPr>
                <w:spacing w:val="-6"/>
              </w:rPr>
              <w:t>185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2" w:line="239" w:lineRule="auto"/>
              <w:rPr/>
            </w:pPr>
            <w:r>
              <w:rPr>
                <w:spacing w:val="-3"/>
              </w:rPr>
              <w:t>22.4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72" w:line="239" w:lineRule="auto"/>
              <w:rPr/>
            </w:pPr>
            <w:r>
              <w:rPr>
                <w:b/>
                <w:bCs/>
                <w:spacing w:val="-6"/>
              </w:rPr>
              <w:t>3.6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8"/>
              <w:spacing w:before="72" w:line="239" w:lineRule="auto"/>
              <w:rPr/>
            </w:pPr>
            <w:r>
              <w:rPr>
                <w:spacing w:val="-2"/>
              </w:rPr>
              <w:t>4.9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2" w:line="239" w:lineRule="auto"/>
              <w:rPr/>
            </w:pPr>
            <w:r>
              <w:rPr>
                <w:spacing w:val="-3"/>
              </w:rPr>
              <w:t>6.1</w:t>
            </w:r>
          </w:p>
        </w:tc>
      </w:tr>
      <w:tr>
        <w:trPr>
          <w:trHeight w:val="829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1"/>
              <w:rPr/>
            </w:pPr>
            <w:r>
              <w:rPr/>
              <w:t>9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8"/>
              <w:spacing w:before="298" w:line="220" w:lineRule="auto"/>
              <w:rPr/>
            </w:pPr>
            <w:r>
              <w:rPr>
                <w:spacing w:val="-5"/>
              </w:rPr>
              <w:t>友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邦</w:t>
            </w:r>
          </w:p>
          <w:p>
            <w:pPr>
              <w:pStyle w:val="TableText"/>
              <w:ind w:left="168"/>
              <w:spacing w:before="17" w:line="202" w:lineRule="auto"/>
              <w:rPr/>
            </w:pPr>
            <w:r>
              <w:rPr>
                <w:spacing w:val="-5"/>
              </w:rPr>
              <w:t>保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险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72" w:line="239" w:lineRule="auto"/>
              <w:rPr/>
            </w:pPr>
            <w:r>
              <w:rPr>
                <w:spacing w:val="-2"/>
              </w:rPr>
              <w:t>0.68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71"/>
              <w:rPr/>
            </w:pPr>
            <w:r>
              <w:rPr>
                <w:spacing w:val="-2"/>
              </w:rPr>
              <w:t>418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2" w:line="239" w:lineRule="auto"/>
              <w:rPr/>
            </w:pPr>
            <w:r>
              <w:rPr>
                <w:spacing w:val="-2"/>
              </w:rPr>
              <w:t>45.6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71" w:line="239" w:lineRule="auto"/>
              <w:rPr/>
            </w:pPr>
            <w:r>
              <w:rPr>
                <w:b/>
                <w:bCs/>
                <w:spacing w:val="-5"/>
              </w:rPr>
              <w:t>9.8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2" w:line="239" w:lineRule="auto"/>
              <w:rPr/>
            </w:pPr>
            <w:r>
              <w:rPr>
                <w:spacing w:val="-3"/>
              </w:rPr>
              <w:t>28.7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2" w:line="239" w:lineRule="auto"/>
              <w:rPr/>
            </w:pPr>
            <w:r>
              <w:rPr>
                <w:spacing w:val="-3"/>
              </w:rPr>
              <w:t>8.7</w:t>
            </w:r>
          </w:p>
        </w:tc>
      </w:tr>
      <w:tr>
        <w:trPr>
          <w:trHeight w:val="1104" w:hRule="atLeast"/>
        </w:trPr>
        <w:tc>
          <w:tcPr>
            <w:tcW w:w="542" w:type="dxa"/>
            <w:vAlign w:val="top"/>
            <w:tcBorders>
              <w:right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1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tcW w:w="88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8"/>
              <w:spacing w:before="289" w:line="220" w:lineRule="auto"/>
              <w:rPr/>
            </w:pPr>
            <w:r>
              <w:rPr>
                <w:spacing w:val="5"/>
              </w:rPr>
              <w:t>保德</w:t>
            </w:r>
          </w:p>
          <w:p>
            <w:pPr>
              <w:pStyle w:val="TableText"/>
              <w:ind w:left="208" w:right="241"/>
              <w:spacing w:before="17" w:line="220" w:lineRule="auto"/>
              <w:rPr/>
            </w:pPr>
            <w:r>
              <w:rPr>
                <w:spacing w:val="-5"/>
              </w:rPr>
              <w:t>信金</w:t>
            </w:r>
            <w:r>
              <w:rPr/>
              <w:t xml:space="preserve"> </w:t>
            </w:r>
            <w:r>
              <w:rPr/>
              <w:t>融</w:t>
            </w:r>
          </w:p>
        </w:tc>
        <w:tc>
          <w:tcPr>
            <w:tcW w:w="1227" w:type="dxa"/>
            <w:vAlign w:val="top"/>
            <w:tcBorders>
              <w:left w:val="nil"/>
              <w:right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72" w:line="239" w:lineRule="auto"/>
              <w:rPr/>
            </w:pPr>
            <w:r>
              <w:rPr>
                <w:spacing w:val="-2"/>
              </w:rPr>
              <w:t>0.65</w:t>
            </w:r>
          </w:p>
        </w:tc>
        <w:tc>
          <w:tcPr>
            <w:tcW w:w="1440" w:type="dxa"/>
            <w:vAlign w:val="top"/>
            <w:tcBorders>
              <w:left w:val="nil"/>
              <w:right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71"/>
              <w:rPr/>
            </w:pPr>
            <w:r>
              <w:rPr>
                <w:spacing w:val="-6"/>
              </w:rPr>
              <w:t>192</w:t>
            </w:r>
          </w:p>
        </w:tc>
        <w:tc>
          <w:tcPr>
            <w:tcW w:w="1603" w:type="dxa"/>
            <w:vAlign w:val="top"/>
            <w:tcBorders>
              <w:left w:val="nil"/>
              <w:right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2" w:line="239" w:lineRule="auto"/>
              <w:rPr/>
            </w:pPr>
            <w:r>
              <w:rPr>
                <w:spacing w:val="-5"/>
              </w:rPr>
              <w:t>19.3</w:t>
            </w:r>
          </w:p>
        </w:tc>
        <w:tc>
          <w:tcPr>
            <w:tcW w:w="1409" w:type="dxa"/>
            <w:vAlign w:val="top"/>
            <w:tcBorders>
              <w:left w:val="nil"/>
              <w:right w:val="nil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72" w:line="239" w:lineRule="auto"/>
              <w:rPr/>
            </w:pPr>
            <w:r>
              <w:rPr>
                <w:b/>
                <w:bCs/>
                <w:spacing w:val="-5"/>
              </w:rPr>
              <w:t>4.1</w:t>
            </w:r>
          </w:p>
        </w:tc>
        <w:tc>
          <w:tcPr>
            <w:tcW w:w="1682" w:type="dxa"/>
            <w:vAlign w:val="top"/>
            <w:tcBorders>
              <w:left w:val="nil"/>
              <w:right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8"/>
              <w:spacing w:before="72" w:line="239" w:lineRule="auto"/>
              <w:rPr/>
            </w:pPr>
            <w:r>
              <w:rPr>
                <w:spacing w:val="-3"/>
              </w:rPr>
              <w:t>5.6</w:t>
            </w:r>
          </w:p>
        </w:tc>
        <w:tc>
          <w:tcPr>
            <w:tcW w:w="1425" w:type="dxa"/>
            <w:vAlign w:val="top"/>
            <w:tcBorders>
              <w:left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2" w:line="239" w:lineRule="auto"/>
              <w:rPr/>
            </w:pPr>
            <w:r>
              <w:rPr>
                <w:spacing w:val="-3"/>
              </w:rPr>
              <w:t>6.3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154" w:firstLine="149"/>
        <w:spacing w:before="78" w:line="330" w:lineRule="auto"/>
        <w:rPr/>
      </w:pPr>
      <w:r>
        <w:rPr>
          <w:spacing w:val="2"/>
        </w:rPr>
        <w:t>(数据来源：各公司2025年报、瑞士再保险</w:t>
      </w:r>
      <w:r>
        <w:rPr>
          <w:rFonts w:ascii="SimSun" w:hAnsi="SimSun" w:eastAsia="SimSun" w:cs="SimSun"/>
        </w:rPr>
        <w:t>sigma</w:t>
      </w:r>
      <w:r>
        <w:rPr>
          <w:rFonts w:ascii="SimSun" w:hAnsi="SimSun" w:eastAsia="SimSun" w:cs="SimSun"/>
          <w:spacing w:val="2"/>
        </w:rPr>
        <w:t xml:space="preserve">   1/2026、S</w:t>
      </w:r>
      <w:r>
        <w:rPr>
          <w:rFonts w:ascii="SimSun" w:hAnsi="SimSun" w:eastAsia="SimSun" w:cs="SimSun"/>
          <w:spacing w:val="1"/>
        </w:rPr>
        <w:t>&amp;P</w:t>
      </w:r>
      <w:r>
        <w:rPr>
          <w:spacing w:val="1"/>
        </w:rPr>
        <w:t>全球保险报告、中国银保监会</w:t>
      </w:r>
      <w:r>
        <w:rPr/>
        <w:t xml:space="preserve"> </w:t>
      </w:r>
      <w:r>
        <w:rPr>
          <w:spacing w:val="3"/>
        </w:rPr>
        <w:t>披露信息综合整理)</w:t>
      </w:r>
    </w:p>
    <w:p>
      <w:pPr>
        <w:pStyle w:val="BodyText"/>
        <w:ind w:left="153"/>
        <w:spacing w:before="205" w:line="222" w:lineRule="auto"/>
        <w:outlineLvl w:val="3"/>
        <w:rPr/>
      </w:pPr>
      <w:r>
        <w:rPr>
          <w:b/>
          <w:bCs/>
          <w:spacing w:val="5"/>
        </w:rPr>
        <w:t>(二)资本与偿付能力维度</w:t>
      </w:r>
    </w:p>
    <w:p>
      <w:pPr>
        <w:pStyle w:val="BodyText"/>
        <w:ind w:right="302"/>
        <w:spacing w:before="212" w:line="313" w:lineRule="auto"/>
        <w:rPr/>
      </w:pPr>
      <w:r>
        <w:rPr>
          <w:spacing w:val="7"/>
        </w:rPr>
        <w:t>据中国银保监会2025年偿付能力监管报告，中国头部险企平均核心偿付能力充足率达235%以</w:t>
      </w:r>
      <w:r>
        <w:rPr>
          <w:spacing w:val="13"/>
        </w:rPr>
        <w:t xml:space="preserve"> </w:t>
      </w:r>
      <w:r>
        <w:rPr>
          <w:spacing w:val="13"/>
        </w:rPr>
        <w:t>上，显著高于国际平均水平(约190-210%)。</w:t>
      </w:r>
    </w:p>
    <w:p>
      <w:pPr>
        <w:pStyle w:val="BodyText"/>
        <w:ind w:right="128"/>
        <w:spacing w:before="17" w:line="341" w:lineRule="auto"/>
        <w:rPr/>
      </w:pPr>
      <w:r>
        <w:rPr/>
        <w:t>然而，也需注意到：日本寿险公司因极高的本土利率敏感性储备，其偿付能力指标在国际可比口</w:t>
      </w:r>
      <w:r>
        <w:rPr>
          <w:spacing w:val="15"/>
        </w:rPr>
        <w:t xml:space="preserve"> </w:t>
      </w:r>
      <w:r>
        <w:rPr>
          <w:spacing w:val="-5"/>
        </w:rPr>
        <w:t>径下存在高估可能。</w:t>
      </w:r>
    </w:p>
    <w:p>
      <w:pPr>
        <w:pStyle w:val="BodyText"/>
        <w:ind w:left="153"/>
        <w:spacing w:before="190" w:line="221" w:lineRule="auto"/>
        <w:outlineLvl w:val="3"/>
        <w:rPr/>
      </w:pPr>
      <w:r>
        <w:rPr>
          <w:b/>
          <w:bCs/>
          <w:spacing w:val="-1"/>
        </w:rPr>
        <w:t>(三)增长动能与新业务价值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(NBV)</w:t>
      </w:r>
      <w:r>
        <w:rPr>
          <w:rFonts w:ascii="SimSun" w:hAnsi="SimSun" w:eastAsia="SimSun" w:cs="SimSun"/>
          <w:spacing w:val="47"/>
        </w:rPr>
        <w:t xml:space="preserve">  </w:t>
      </w:r>
      <w:r>
        <w:rPr>
          <w:b/>
          <w:bCs/>
          <w:spacing w:val="-1"/>
        </w:rPr>
        <w:t>维度</w:t>
      </w:r>
    </w:p>
    <w:p>
      <w:pPr>
        <w:spacing w:line="221" w:lineRule="auto"/>
        <w:sectPr>
          <w:pgSz w:w="12240" w:h="15840"/>
          <w:pgMar w:top="1064" w:right="1035" w:bottom="0" w:left="980" w:header="0" w:footer="0" w:gutter="0"/>
        </w:sectPr>
        <w:rPr/>
      </w:pPr>
    </w:p>
    <w:p>
      <w:pPr>
        <w:pStyle w:val="BodyText"/>
        <w:ind w:right="214"/>
        <w:spacing w:before="47" w:line="324" w:lineRule="auto"/>
        <w:rPr/>
      </w:pPr>
      <w:r>
        <w:rPr>
          <w:spacing w:val="9"/>
        </w:rPr>
        <w:t>据麦肯锡《2026全球保险业报告》,2020-2025年全球</w:t>
      </w:r>
      <w:r>
        <w:rPr>
          <w:rFonts w:ascii="SimSun" w:hAnsi="SimSun" w:eastAsia="SimSun" w:cs="SimSun"/>
        </w:rPr>
        <w:t>NBV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复合增速最快的五家公司中，三家</w:t>
      </w:r>
      <w:r>
        <w:rPr>
          <w:spacing w:val="13"/>
        </w:rPr>
        <w:t xml:space="preserve"> </w:t>
      </w:r>
      <w:r>
        <w:rPr>
          <w:spacing w:val="6"/>
        </w:rPr>
        <w:t>来自亚洲(中国平安、友邦、中国人寿)。</w:t>
      </w:r>
    </w:p>
    <w:p>
      <w:pPr>
        <w:pStyle w:val="BodyText"/>
        <w:spacing w:line="221" w:lineRule="auto"/>
        <w:rPr/>
      </w:pPr>
      <w:r>
        <w:rPr>
          <w:spacing w:val="9"/>
        </w:rPr>
        <w:t>中国平安五年</w:t>
      </w:r>
      <w:r>
        <w:rPr>
          <w:rFonts w:ascii="SimSun" w:hAnsi="SimSun" w:eastAsia="SimSun" w:cs="SimSun"/>
        </w:rPr>
        <w:t>NBV</w:t>
      </w:r>
      <w:r>
        <w:rPr>
          <w:rFonts w:ascii="SimSun" w:hAnsi="SimSun" w:eastAsia="SimSun" w:cs="SimSun"/>
          <w:spacing w:val="9"/>
        </w:rPr>
        <w:t xml:space="preserve">   </w:t>
      </w:r>
      <w:r>
        <w:rPr>
          <w:rFonts w:ascii="SimSun" w:hAnsi="SimSun" w:eastAsia="SimSun" w:cs="SimSun"/>
        </w:rPr>
        <w:t>CAGR</w:t>
      </w:r>
      <w:r>
        <w:rPr>
          <w:spacing w:val="9"/>
        </w:rPr>
        <w:t>高达18.2%,远超行业</w:t>
      </w:r>
      <w:r>
        <w:rPr>
          <w:spacing w:val="8"/>
        </w:rPr>
        <w:t>平均水平。</w:t>
      </w:r>
    </w:p>
    <w:p>
      <w:pPr>
        <w:pStyle w:val="BodyText"/>
        <w:spacing w:before="250" w:line="213" w:lineRule="auto"/>
        <w:rPr/>
      </w:pPr>
      <w:r>
        <w:rPr>
          <w:spacing w:val="13"/>
        </w:rPr>
        <w:t>图1</w:t>
      </w:r>
      <w:r>
        <w:rPr>
          <w:spacing w:val="81"/>
        </w:rPr>
        <w:t xml:space="preserve"> </w:t>
      </w:r>
      <w:r>
        <w:rPr>
          <w:spacing w:val="13"/>
        </w:rPr>
        <w:t>中国平安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13"/>
        </w:rPr>
        <w:t>友邦</w:t>
      </w:r>
      <w:r>
        <w:rPr>
          <w:spacing w:val="-71"/>
        </w:rPr>
        <w:t xml:space="preserve"> 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spacing w:val="13"/>
        </w:rPr>
        <w:t>安联新业务价值趋势(2021-</w:t>
      </w:r>
      <w:r>
        <w:rPr>
          <w:spacing w:val="12"/>
        </w:rPr>
        <w:t>2025年，单位：亿美元)</w:t>
      </w:r>
    </w:p>
    <w:p>
      <w:pPr>
        <w:pStyle w:val="BodyText"/>
        <w:ind w:right="421" w:firstLine="149"/>
        <w:spacing w:before="153" w:line="320" w:lineRule="auto"/>
        <w:rPr/>
      </w:pPr>
      <w:r>
        <w:rPr>
          <w:spacing w:val="4"/>
        </w:rPr>
        <w:t>(此处为文字描述折线图：中国平安曲线呈陡峭上升，2025年达62.1亿；友邦次之，2025年</w:t>
      </w:r>
      <w:r>
        <w:rPr>
          <w:spacing w:val="6"/>
        </w:rPr>
        <w:t xml:space="preserve"> </w:t>
      </w:r>
      <w:r>
        <w:rPr>
          <w:spacing w:val="8"/>
        </w:rPr>
        <w:t>45.6亿；安联相对平缓，2025年38.4亿)</w:t>
      </w:r>
    </w:p>
    <w:p>
      <w:pPr>
        <w:ind w:left="173"/>
        <w:spacing w:before="21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0"/>
        </w:rPr>
        <w:t>(四)中国市场战略布局对比(SWOT分析示例——中国平安)</w:t>
      </w:r>
    </w:p>
    <w:p>
      <w:pPr>
        <w:spacing w:line="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20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78"/>
        <w:gridCol w:w="9231"/>
      </w:tblGrid>
      <w:tr>
        <w:trPr>
          <w:trHeight w:val="629" w:hRule="atLeast"/>
        </w:trPr>
        <w:tc>
          <w:tcPr>
            <w:tcW w:w="97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35"/>
              <w:spacing w:before="25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6"/>
              </w:rPr>
              <w:t>维度</w:t>
            </w:r>
          </w:p>
        </w:tc>
        <w:tc>
          <w:tcPr>
            <w:tcW w:w="923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22"/>
              <w:spacing w:before="25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内容</w:t>
            </w:r>
          </w:p>
        </w:tc>
      </w:tr>
      <w:tr>
        <w:trPr>
          <w:trHeight w:val="702" w:hRule="atLeast"/>
        </w:trPr>
        <w:tc>
          <w:tcPr>
            <w:tcW w:w="97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35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优势(S)</w:t>
            </w:r>
          </w:p>
        </w:tc>
        <w:tc>
          <w:tcPr>
            <w:tcW w:w="9231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40" w:right="518" w:hanging="29"/>
              <w:spacing w:before="173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渠道最广(个险+银保+互联网+社区网格)、科技赋能领先(平安好医生</w:t>
            </w:r>
            <w:r>
              <w:rPr>
                <w:sz w:val="21"/>
                <w:szCs w:val="21"/>
                <w:spacing w:val="-1"/>
              </w:rPr>
              <w:t>、陆金所生态)、品牌本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土认知度极高</w:t>
            </w:r>
          </w:p>
        </w:tc>
      </w:tr>
      <w:tr>
        <w:trPr>
          <w:trHeight w:val="818" w:hRule="atLeast"/>
        </w:trPr>
        <w:tc>
          <w:tcPr>
            <w:tcW w:w="978" w:type="dxa"/>
            <w:vAlign w:val="top"/>
            <w:tcBorders>
              <w:right w:val="nil"/>
            </w:tcBorders>
          </w:tcPr>
          <w:p>
            <w:pPr>
              <w:pStyle w:val="TableText"/>
              <w:ind w:left="135"/>
              <w:spacing w:before="2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劣势</w:t>
            </w:r>
          </w:p>
          <w:p>
            <w:pPr>
              <w:pStyle w:val="TableText"/>
              <w:ind w:left="135"/>
              <w:spacing w:before="43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1"/>
              </w:rPr>
              <w:t>(W)</w:t>
            </w:r>
          </w:p>
        </w:tc>
        <w:tc>
          <w:tcPr>
            <w:tcW w:w="9231" w:type="dxa"/>
            <w:vAlign w:val="top"/>
            <w:tcBorders>
              <w:left w:val="nil"/>
            </w:tcBorders>
          </w:tcPr>
          <w:p>
            <w:pPr>
              <w:pStyle w:val="TableText"/>
              <w:ind w:left="222"/>
              <w:spacing w:before="2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偿二代下投资收益波动对利润表冲击较大、寿险代理人队伍高质量转型仍处阵痛期</w:t>
            </w:r>
          </w:p>
        </w:tc>
      </w:tr>
      <w:tr>
        <w:trPr>
          <w:trHeight w:val="808" w:hRule="atLeast"/>
        </w:trPr>
        <w:tc>
          <w:tcPr>
            <w:tcW w:w="978" w:type="dxa"/>
            <w:vAlign w:val="top"/>
            <w:tcBorders>
              <w:right w:val="nil"/>
            </w:tcBorders>
          </w:tcPr>
          <w:p>
            <w:pPr>
              <w:pStyle w:val="TableText"/>
              <w:ind w:left="135"/>
              <w:spacing w:before="26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机会</w:t>
            </w:r>
          </w:p>
          <w:p>
            <w:pPr>
              <w:pStyle w:val="TableText"/>
              <w:ind w:left="135"/>
              <w:spacing w:before="2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1"/>
              </w:rPr>
              <w:t>(O)</w:t>
            </w:r>
          </w:p>
        </w:tc>
        <w:tc>
          <w:tcPr>
            <w:tcW w:w="9231" w:type="dxa"/>
            <w:vAlign w:val="top"/>
            <w:tcBorders>
              <w:left w:val="nil"/>
            </w:tcBorders>
          </w:tcPr>
          <w:p>
            <w:pPr>
              <w:pStyle w:val="TableText"/>
              <w:ind w:left="232"/>
              <w:spacing w:before="272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养老第三支柱个人养老金制度全面铺开、健康险税优政策扩围、“一带</w:t>
            </w:r>
            <w:r>
              <w:rPr>
                <w:sz w:val="21"/>
                <w:szCs w:val="21"/>
                <w:spacing w:val="-1"/>
              </w:rPr>
              <w:t>一路”沿线保险需求爆发</w:t>
            </w:r>
          </w:p>
        </w:tc>
      </w:tr>
      <w:tr>
        <w:trPr>
          <w:trHeight w:val="553" w:hRule="atLeast"/>
        </w:trPr>
        <w:tc>
          <w:tcPr>
            <w:tcW w:w="10209" w:type="dxa"/>
            <w:vAlign w:val="top"/>
            <w:gridSpan w:val="2"/>
          </w:tcPr>
          <w:p>
            <w:pPr>
              <w:pStyle w:val="TableText"/>
              <w:ind w:left="135"/>
              <w:spacing w:before="306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  <w:position w:val="-1"/>
              </w:rPr>
              <w:t>威胁(T)  </w:t>
            </w:r>
            <w:r>
              <w:rPr>
                <w:sz w:val="21"/>
                <w:szCs w:val="21"/>
                <w:spacing w:val="1"/>
              </w:rPr>
              <w:t>监管对互联网保险、关联交易的持续收紧、利率长期低位对利差益的结构性挤压</w:t>
            </w:r>
          </w:p>
        </w:tc>
      </w:tr>
    </w:tbl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三、战略前瞻：2030年中国市场语境下</w:t>
      </w:r>
      <w:r>
        <w:rPr>
          <w:sz w:val="30"/>
          <w:szCs w:val="30"/>
          <w:b/>
          <w:bCs/>
          <w:spacing w:val="2"/>
        </w:rPr>
        <w:t>的全球保险资产排名预测</w:t>
      </w:r>
    </w:p>
    <w:p>
      <w:pPr>
        <w:pStyle w:val="BodyText"/>
        <w:ind w:left="153"/>
        <w:spacing w:before="190" w:line="221" w:lineRule="auto"/>
        <w:outlineLvl w:val="3"/>
        <w:rPr/>
      </w:pPr>
      <w:r>
        <w:rPr>
          <w:b/>
          <w:bCs/>
          <w:spacing w:val="23"/>
        </w:rPr>
        <w:t>(</w:t>
      </w:r>
      <w:r>
        <w:rPr>
          <w:spacing w:val="-69"/>
        </w:rPr>
        <w:t xml:space="preserve"> </w:t>
      </w:r>
      <w:r>
        <w:rPr>
          <w:b/>
          <w:bCs/>
          <w:spacing w:val="23"/>
        </w:rPr>
        <w:t>一)基准情景(概率60%)</w:t>
      </w:r>
    </w:p>
    <w:p>
      <w:pPr>
        <w:pStyle w:val="BodyText"/>
        <w:ind w:left="349"/>
        <w:spacing w:before="226" w:line="221" w:lineRule="auto"/>
        <w:rPr/>
      </w:pPr>
      <w:r>
        <w:rPr>
          <w:rFonts w:ascii="SimSun" w:hAnsi="SimSun" w:eastAsia="SimSun" w:cs="SimSun"/>
          <w:spacing w:val="4"/>
        </w:rPr>
        <w:t>1. </w:t>
      </w:r>
      <w:r>
        <w:rPr>
          <w:spacing w:val="4"/>
        </w:rPr>
        <w:t>中国平安(资产规模预计突破3.2万亿美元)</w:t>
      </w:r>
    </w:p>
    <w:p>
      <w:pPr>
        <w:pStyle w:val="BodyText"/>
        <w:ind w:left="349"/>
        <w:spacing w:before="253" w:line="221" w:lineRule="auto"/>
        <w:rPr/>
      </w:pPr>
      <w:r>
        <w:rPr>
          <w:rFonts w:ascii="SimSun" w:hAnsi="SimSun" w:eastAsia="SimSun" w:cs="SimSun"/>
          <w:spacing w:val="8"/>
        </w:rPr>
        <w:t>2.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8"/>
        </w:rPr>
        <w:t>中国人寿(约2.8-3.0万亿美元)</w:t>
      </w:r>
    </w:p>
    <w:p>
      <w:pPr>
        <w:pStyle w:val="BodyText"/>
        <w:ind w:left="678" w:right="3355" w:hanging="329"/>
        <w:spacing w:before="211" w:line="284" w:lineRule="auto"/>
        <w:rPr/>
      </w:pPr>
      <w:r>
        <w:rPr>
          <w:rFonts w:ascii="SimSun" w:hAnsi="SimSun" w:eastAsia="SimSun" w:cs="SimSun"/>
          <w:spacing w:val="2"/>
        </w:rPr>
        <w:t>3.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spacing w:val="2"/>
        </w:rPr>
        <w:t>安盛集团(通过对中国与东南亚深耕，约2.1-2.4万亿美元)</w:t>
      </w:r>
      <w:r>
        <w:rPr/>
        <w:t xml:space="preserve"> </w:t>
      </w:r>
      <w:r>
        <w:rPr>
          <w:spacing w:val="10"/>
        </w:rPr>
        <w:t>4-6位：友邦、安联、日本生命(顺序可</w:t>
      </w:r>
      <w:r>
        <w:rPr>
          <w:spacing w:val="9"/>
        </w:rPr>
        <w:t>能互换)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21" w:lineRule="auto"/>
        <w:rPr/>
      </w:pPr>
      <w:r>
        <w:rPr>
          <w:spacing w:val="28"/>
        </w:rPr>
        <w:t>(二)乐观情景(概率25%)</w:t>
      </w:r>
    </w:p>
    <w:p>
      <w:pPr>
        <w:pStyle w:val="BodyText"/>
        <w:ind w:right="136"/>
        <w:spacing w:before="224" w:line="324" w:lineRule="auto"/>
        <w:rPr/>
      </w:pPr>
      <w:r>
        <w:rPr>
          <w:spacing w:val="1"/>
        </w:rPr>
        <w:t>若个人养老金制度快速放量、健康险税优额度大幅提升，</w:t>
      </w:r>
      <w:r>
        <w:rPr/>
        <w:t>中国平安与中国人寿可能提前实现资产</w:t>
      </w:r>
      <w:r>
        <w:rPr/>
        <w:t xml:space="preserve"> </w:t>
      </w:r>
      <w:r>
        <w:rPr>
          <w:spacing w:val="-3"/>
        </w:rPr>
        <w:t>规模对欧美巨头的全面超越。</w:t>
      </w:r>
    </w:p>
    <w:p>
      <w:pPr>
        <w:pStyle w:val="BodyText"/>
        <w:ind w:left="153"/>
        <w:spacing w:before="203" w:line="221" w:lineRule="auto"/>
        <w:outlineLvl w:val="3"/>
        <w:rPr/>
      </w:pPr>
      <w:r>
        <w:rPr>
          <w:b/>
          <w:bCs/>
          <w:spacing w:val="22"/>
        </w:rPr>
        <w:t>(三)悲观情景(概率15%)</w:t>
      </w:r>
    </w:p>
    <w:p>
      <w:pPr>
        <w:pStyle w:val="BodyText"/>
        <w:spacing w:before="225" w:line="313" w:lineRule="auto"/>
        <w:rPr/>
      </w:pPr>
      <w:r>
        <w:rPr>
          <w:spacing w:val="4"/>
        </w:rPr>
        <w:t>若出现系统性利率长期低于2%、资本市场持续低迷，则欧美巨头凭借更</w:t>
      </w:r>
      <w:r>
        <w:rPr>
          <w:spacing w:val="3"/>
        </w:rPr>
        <w:t>强的全球资产配置能力与</w:t>
      </w:r>
      <w:r>
        <w:rPr/>
        <w:t xml:space="preserve"> </w:t>
      </w:r>
      <w:r>
        <w:rPr>
          <w:spacing w:val="-1"/>
        </w:rPr>
        <w:t>久期管理水平，相对优势可能扩大。</w:t>
      </w:r>
    </w:p>
    <w:p>
      <w:pPr>
        <w:spacing w:line="313" w:lineRule="auto"/>
        <w:sectPr>
          <w:pgSz w:w="12240" w:h="15840"/>
          <w:pgMar w:top="1218" w:right="1017" w:bottom="0" w:left="980" w:header="0" w:footer="0" w:gutter="0"/>
        </w:sectPr>
        <w:rPr/>
      </w:pPr>
    </w:p>
    <w:p>
      <w:pPr>
        <w:pStyle w:val="BodyText"/>
        <w:ind w:left="4"/>
        <w:spacing w:before="60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四、结论与政策建议</w:t>
      </w:r>
    </w:p>
    <w:p>
      <w:pPr>
        <w:pStyle w:val="BodyText"/>
        <w:ind w:left="3" w:hanging="3"/>
        <w:spacing w:before="208" w:line="355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全球</w:t>
      </w:r>
      <w:r>
        <w:rPr>
          <w:sz w:val="23"/>
          <w:szCs w:val="23"/>
          <w:b/>
          <w:bCs/>
          <w:spacing w:val="8"/>
        </w:rPr>
        <w:t>保险业的竞争格局正在发生深刻变化：资本实力与风险管理能力仍然是护城河，但增长动能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b/>
          <w:bCs/>
          <w:spacing w:val="5"/>
        </w:rPr>
        <w:t>与本土化战略深度已成为决定未来排名的核心变量。</w:t>
      </w:r>
    </w:p>
    <w:p>
      <w:pPr>
        <w:pStyle w:val="BodyText"/>
        <w:spacing w:before="87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对中国而言，保险业高质量发展直接服务于以下国家战略：</w:t>
      </w:r>
    </w:p>
    <w:p>
      <w:pPr>
        <w:pStyle w:val="BodyText"/>
        <w:ind w:left="668" w:right="75" w:hanging="329"/>
        <w:spacing w:before="254" w:line="297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1. </w:t>
      </w:r>
      <w:r>
        <w:rPr>
          <w:sz w:val="23"/>
          <w:szCs w:val="23"/>
          <w:spacing w:val="9"/>
        </w:rPr>
        <w:t>金融供给侧结构性改革：推动保险资金长期化、股权化配置，支持科技创新与绿色低碳转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型</w:t>
      </w:r>
    </w:p>
    <w:p>
      <w:pPr>
        <w:pStyle w:val="BodyText"/>
        <w:ind w:left="339"/>
        <w:spacing w:before="240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2.</w:t>
      </w:r>
      <w:r>
        <w:rPr>
          <w:rFonts w:ascii="SimSun" w:hAnsi="SimSun" w:eastAsia="SimSun" w:cs="SimSun"/>
          <w:sz w:val="23"/>
          <w:szCs w:val="23"/>
          <w:spacing w:val="-17"/>
        </w:rPr>
        <w:t xml:space="preserve"> </w:t>
      </w:r>
      <w:r>
        <w:rPr>
          <w:sz w:val="23"/>
          <w:szCs w:val="23"/>
          <w:spacing w:val="10"/>
        </w:rPr>
        <w:t>积极应对人口老龄化：第三支柱个人养老金制度需要头部险企提供差异化养老年金产品</w:t>
      </w:r>
    </w:p>
    <w:p>
      <w:pPr>
        <w:pStyle w:val="BodyText"/>
        <w:ind w:left="339"/>
        <w:spacing w:before="274" w:line="221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3.“一带一路”倡议：中资险企“走出去”是中国金融服务贸易的</w:t>
      </w:r>
      <w:r>
        <w:rPr>
          <w:sz w:val="23"/>
          <w:szCs w:val="23"/>
          <w:spacing w:val="-2"/>
        </w:rPr>
        <w:t>重要组成部分</w:t>
      </w:r>
    </w:p>
    <w:p>
      <w:pPr>
        <w:pStyle w:val="BodyText"/>
        <w:ind w:left="339"/>
        <w:spacing w:before="265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4.</w:t>
      </w:r>
      <w:r>
        <w:rPr>
          <w:rFonts w:ascii="SimSun" w:hAnsi="SimSun" w:eastAsia="SimSun" w:cs="SimSun"/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6"/>
        </w:rPr>
        <w:t>保险科技与绿色保险：</w:t>
      </w:r>
      <w:r>
        <w:rPr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InsurTech</w:t>
      </w:r>
      <w:r>
        <w:rPr>
          <w:rFonts w:ascii="SimSun" w:hAnsi="SimSun" w:eastAsia="SimSun" w:cs="SimSun"/>
          <w:sz w:val="23"/>
          <w:szCs w:val="23"/>
          <w:spacing w:val="-19"/>
        </w:rPr>
        <w:t xml:space="preserve"> </w:t>
      </w:r>
      <w:r>
        <w:rPr>
          <w:sz w:val="23"/>
          <w:szCs w:val="23"/>
          <w:spacing w:val="6"/>
        </w:rPr>
        <w:t>赋能下的健康管理、气候</w:t>
      </w:r>
      <w:r>
        <w:rPr>
          <w:sz w:val="23"/>
          <w:szCs w:val="23"/>
          <w:spacing w:val="5"/>
        </w:rPr>
        <w:t>风险建模将成为新竞争赛道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建议监管与行业关注的方向：</w:t>
      </w:r>
    </w:p>
    <w:p>
      <w:pPr>
        <w:pStyle w:val="BodyText"/>
        <w:ind w:left="339"/>
        <w:spacing w:before="275" w:line="22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spacing w:val="10"/>
        </w:rPr>
        <w:t>加快建立与国际接轨但体现中国特点的偿付能力监管框</w:t>
      </w:r>
      <w:r>
        <w:rPr>
          <w:sz w:val="23"/>
          <w:szCs w:val="23"/>
          <w:spacing w:val="9"/>
        </w:rPr>
        <w:t>架(偿二代二期工程)</w:t>
      </w:r>
    </w:p>
    <w:p>
      <w:pPr>
        <w:pStyle w:val="BodyText"/>
        <w:ind w:left="339"/>
        <w:spacing w:before="253" w:line="221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6"/>
        </w:rPr>
        <w:t>支持保险资金设立长期养老股权投资基金并给</w:t>
      </w:r>
      <w:r>
        <w:rPr>
          <w:sz w:val="23"/>
          <w:szCs w:val="23"/>
          <w:spacing w:val="5"/>
        </w:rPr>
        <w:t>予税收递延优惠</w:t>
      </w:r>
    </w:p>
    <w:p>
      <w:pPr>
        <w:pStyle w:val="BodyText"/>
        <w:ind w:left="339"/>
        <w:spacing w:before="264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·鼓励中资险企在“一带一路”沿线国家开展再保险与巨</w:t>
      </w:r>
      <w:r>
        <w:rPr>
          <w:sz w:val="23"/>
          <w:szCs w:val="23"/>
          <w:spacing w:val="-2"/>
        </w:rPr>
        <w:t>灾风险保障合作</w:t>
      </w:r>
    </w:p>
    <w:p>
      <w:pPr>
        <w:pStyle w:val="BodyText"/>
        <w:ind w:left="339"/>
        <w:spacing w:before="258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7"/>
        </w:rPr>
        <w:t xml:space="preserve"> </w:t>
      </w:r>
      <w:r>
        <w:rPr>
          <w:sz w:val="23"/>
          <w:szCs w:val="23"/>
          <w:spacing w:val="6"/>
        </w:rPr>
        <w:t>强化保险业数据治理与隐私保护，为</w:t>
      </w:r>
      <w:r>
        <w:rPr>
          <w:rFonts w:ascii="Arial" w:hAnsi="Arial" w:eastAsia="Arial" w:cs="Arial"/>
          <w:sz w:val="23"/>
          <w:szCs w:val="23"/>
        </w:rPr>
        <w:t>AI</w:t>
      </w:r>
      <w:r>
        <w:rPr>
          <w:rFonts w:ascii="Arial" w:hAnsi="Arial" w:eastAsia="Arial" w:cs="Arial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6"/>
        </w:rPr>
        <w:t>驱动的个性化保险产品提供制度保障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44"/>
        <w:spacing w:before="75" w:line="355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在全球保险资产重新排序的十年窗口期，中国头部险企有</w:t>
      </w:r>
      <w:r>
        <w:rPr>
          <w:sz w:val="23"/>
          <w:szCs w:val="23"/>
          <w:spacing w:val="9"/>
        </w:rPr>
        <w:t>望凭借本土市场规模优势与科技赋能，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9"/>
        </w:rPr>
        <w:t>实现从“跟随者”向“并跑者”乃至“领跑者”的历史性跃迁。</w:t>
      </w:r>
    </w:p>
    <w:p>
      <w:pPr>
        <w:pStyle w:val="BodyText"/>
        <w:ind w:left="3"/>
        <w:spacing w:before="94" w:line="22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报告结束</w:t>
      </w:r>
    </w:p>
    <w:sectPr>
      <w:pgSz w:w="12240" w:h="15840"/>
      <w:pgMar w:top="1095" w:right="115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2026-03-15T23:59:38</vt:filetime>
  </property>
  <property fmtid="{D5CDD505-2E9C-101B-9397-08002B2CF9AE}" pid="4" name="UsrData">
    <vt:lpwstr>69b6d7675b4fbf001fcce004wl</vt:lpwstr>
  </property>
</Properties>
</file>