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369"/>
        <w:spacing w:before="227" w:line="222" w:lineRule="auto"/>
        <w:rPr/>
      </w:pPr>
      <w:r>
        <w:rPr>
          <w:spacing w:val="6"/>
        </w:rPr>
        <w:t>·</w:t>
      </w:r>
      <w:r>
        <w:rPr>
          <w:spacing w:val="-79"/>
        </w:rPr>
        <w:t xml:space="preserve"> </w:t>
      </w:r>
      <w:r>
        <w:rPr>
          <w:spacing w:val="6"/>
        </w:rPr>
        <w:t>当前国际综合实力前十保险公司(基于2024年末</w:t>
      </w:r>
      <w:r>
        <w:rPr>
          <w:rFonts w:ascii="SimSun" w:hAnsi="SimSun" w:eastAsia="SimSun" w:cs="SimSun"/>
        </w:rPr>
        <w:t>AM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</w:rPr>
        <w:t>Best</w:t>
      </w:r>
      <w:r>
        <w:rPr>
          <w:spacing w:val="6"/>
        </w:rPr>
        <w:t>非银行资产排名)主要包括</w:t>
      </w:r>
    </w:p>
    <w:p>
      <w:pPr>
        <w:pStyle w:val="BodyText"/>
        <w:ind w:left="509" w:right="3"/>
        <w:spacing w:before="95" w:line="278" w:lineRule="auto"/>
        <w:rPr/>
      </w:pPr>
      <w:r>
        <w:rPr>
          <w:rFonts w:ascii="Times New Roman" w:hAnsi="Times New Roman" w:eastAsia="Times New Roman" w:cs="Times New Roman"/>
        </w:rPr>
        <w:t>Berkshire    Hathaway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rFonts w:ascii="Times New Roman" w:hAnsi="Times New Roman" w:eastAsia="Times New Roman" w:cs="Times New Roman"/>
        </w:rPr>
        <w:t>Allianz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rFonts w:ascii="Times New Roman" w:hAnsi="Times New Roman" w:eastAsia="Times New Roman" w:cs="Times New Roman"/>
        </w:rPr>
        <w:t>Chi</w:t>
      </w:r>
      <w:r>
        <w:rPr>
          <w:rFonts w:ascii="Times New Roman" w:hAnsi="Times New Roman" w:eastAsia="Times New Roman" w:cs="Times New Roman"/>
          <w:spacing w:val="-1"/>
        </w:rPr>
        <w:t>na    Life    Insurance</w:t>
      </w:r>
      <w:r>
        <w:rPr>
          <w:spacing w:val="-1"/>
        </w:rPr>
        <w:t>和</w:t>
      </w:r>
      <w:r>
        <w:rPr>
          <w:rFonts w:ascii="Times New Roman" w:hAnsi="Times New Roman" w:eastAsia="Times New Roman" w:cs="Times New Roman"/>
          <w:spacing w:val="-1"/>
        </w:rPr>
        <w:t>Ping   An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Insurance</w:t>
      </w:r>
      <w:r>
        <w:rPr>
          <w:spacing w:val="-1"/>
        </w:rPr>
        <w:t>等，资产规模均</w:t>
      </w:r>
      <w:r>
        <w:rPr>
          <w:spacing w:val="2"/>
        </w:rPr>
        <w:t xml:space="preserve"> </w:t>
      </w:r>
      <w:r>
        <w:rPr>
          <w:spacing w:val="14"/>
        </w:rPr>
        <w:t>超6000亿美元。</w:t>
      </w:r>
    </w:p>
    <w:p>
      <w:pPr>
        <w:pStyle w:val="BodyText"/>
        <w:ind w:left="679" w:hanging="310"/>
        <w:spacing w:before="239" w:line="285" w:lineRule="auto"/>
        <w:rPr/>
      </w:pPr>
      <w:r>
        <w:rPr>
          <w:spacing w:val="-3"/>
        </w:rPr>
        <w:t>·</w:t>
      </w:r>
      <w:r>
        <w:rPr>
          <w:spacing w:val="-92"/>
        </w:rPr>
        <w:t xml:space="preserve"> </w:t>
      </w:r>
      <w:r>
        <w:rPr>
          <w:spacing w:val="-3"/>
        </w:rPr>
        <w:t>中国公司如</w:t>
      </w:r>
      <w:r>
        <w:rPr>
          <w:rFonts w:ascii="Arial" w:hAnsi="Arial" w:eastAsia="Arial" w:cs="Arial"/>
          <w:spacing w:val="-3"/>
        </w:rPr>
        <w:t>Ping</w:t>
      </w:r>
      <w:r>
        <w:rPr>
          <w:rFonts w:ascii="Arial" w:hAnsi="Arial" w:eastAsia="Arial" w:cs="Arial"/>
          <w:spacing w:val="55"/>
        </w:rPr>
        <w:t xml:space="preserve"> </w:t>
      </w:r>
      <w:r>
        <w:rPr>
          <w:rFonts w:ascii="Arial" w:hAnsi="Arial" w:eastAsia="Arial" w:cs="Arial"/>
          <w:spacing w:val="-3"/>
        </w:rPr>
        <w:t>An</w:t>
      </w:r>
      <w:r>
        <w:rPr>
          <w:spacing w:val="-3"/>
        </w:rPr>
        <w:t>和</w:t>
      </w:r>
      <w:r>
        <w:rPr>
          <w:rFonts w:ascii="Arial" w:hAnsi="Arial" w:eastAsia="Arial" w:cs="Arial"/>
          <w:spacing w:val="-3"/>
        </w:rPr>
        <w:t>China  Life</w:t>
      </w:r>
      <w:r>
        <w:rPr>
          <w:spacing w:val="-3"/>
        </w:rPr>
        <w:t>在本土市场主导下增</w:t>
      </w:r>
      <w:r>
        <w:rPr>
          <w:spacing w:val="-4"/>
        </w:rPr>
        <w:t>长迅猛，过去五年资产复合增长率较高</w:t>
      </w:r>
      <w:r>
        <w:rPr/>
        <w:t xml:space="preserve"> </w:t>
      </w:r>
      <w:r>
        <w:rPr>
          <w:spacing w:val="17"/>
        </w:rPr>
        <w:t>(约15-25%);西方公司增长较为稳健(约5-</w:t>
      </w:r>
      <w:r>
        <w:rPr>
          <w:spacing w:val="16"/>
        </w:rPr>
        <w:t>10%)。</w:t>
      </w:r>
    </w:p>
    <w:p>
      <w:pPr>
        <w:pStyle w:val="BodyText"/>
        <w:ind w:left="509" w:right="714" w:hanging="140"/>
        <w:spacing w:before="241" w:line="295" w:lineRule="auto"/>
        <w:rPr/>
      </w:pPr>
      <w:r>
        <w:rPr>
          <w:spacing w:val="-2"/>
        </w:rPr>
        <w:t>·信誉度普遍高，大多数获</w:t>
      </w:r>
      <w:r>
        <w:rPr>
          <w:rFonts w:ascii="Times New Roman" w:hAnsi="Times New Roman" w:eastAsia="Times New Roman" w:cs="Times New Roman"/>
          <w:spacing w:val="-2"/>
        </w:rPr>
        <w:t>AM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Best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A+</w:t>
      </w:r>
      <w:r>
        <w:rPr>
          <w:spacing w:val="-2"/>
        </w:rPr>
        <w:t>以上或</w:t>
      </w:r>
      <w:r>
        <w:rPr>
          <w:rFonts w:ascii="Times New Roman" w:hAnsi="Times New Roman" w:eastAsia="Times New Roman" w:cs="Times New Roman"/>
          <w:spacing w:val="-3"/>
        </w:rPr>
        <w:t>S&amp;P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AA</w:t>
      </w:r>
      <w:r>
        <w:rPr>
          <w:spacing w:val="-3"/>
        </w:rPr>
        <w:t>级评级；分红方面，上市公司如</w:t>
      </w:r>
      <w:r>
        <w:rPr/>
        <w:t xml:space="preserve"> </w:t>
      </w:r>
      <w:r>
        <w:rPr>
          <w:rFonts w:ascii="SimSun" w:hAnsi="SimSun" w:eastAsia="SimSun" w:cs="SimSun"/>
        </w:rPr>
        <w:t>Allianz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</w:rPr>
        <w:t>AXA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16"/>
        </w:rPr>
        <w:t>和</w:t>
      </w:r>
      <w:r>
        <w:rPr>
          <w:rFonts w:ascii="SimSun" w:hAnsi="SimSun" w:eastAsia="SimSun" w:cs="SimSun"/>
        </w:rPr>
        <w:t>MetLife</w:t>
      </w:r>
      <w:r>
        <w:rPr>
          <w:spacing w:val="16"/>
        </w:rPr>
        <w:t>提供稳定股息(收益率2-5%),互助或非上市如</w:t>
      </w:r>
      <w:r>
        <w:rPr>
          <w:rFonts w:ascii="SimSun" w:hAnsi="SimSun" w:eastAsia="SimSun" w:cs="SimSun"/>
        </w:rPr>
        <w:t>Berkshire  </w:t>
      </w:r>
      <w:r>
        <w:rPr>
          <w:rFonts w:ascii="SimSun" w:hAnsi="SimSun" w:eastAsia="SimSun" w:cs="SimSun"/>
          <w:spacing w:val="-4"/>
        </w:rPr>
        <w:t>Hathaway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spacing w:val="-4"/>
        </w:rPr>
        <w:t>不分红。</w:t>
      </w:r>
    </w:p>
    <w:p>
      <w:pPr>
        <w:pStyle w:val="BodyText"/>
        <w:ind w:left="509" w:right="47" w:hanging="140"/>
        <w:spacing w:before="200" w:line="288" w:lineRule="auto"/>
        <w:rPr/>
      </w:pPr>
      <w:r>
        <w:rPr>
          <w:spacing w:val="7"/>
        </w:rPr>
        <w:t>·在中国发展潜力维度，中国本土公司明显领先，外国公司市场份额有限(总体&lt;10%</w:t>
      </w:r>
      <w:r>
        <w:rPr>
          <w:spacing w:val="6"/>
        </w:rPr>
        <w:t>),受监</w:t>
      </w:r>
      <w:r>
        <w:rPr/>
        <w:t xml:space="preserve"> </w:t>
      </w:r>
      <w:r>
        <w:rPr>
          <w:spacing w:val="-6"/>
        </w:rPr>
        <w:t>管和竞争影响。</w:t>
      </w:r>
    </w:p>
    <w:p>
      <w:pPr>
        <w:pStyle w:val="BodyText"/>
        <w:ind w:left="369"/>
        <w:spacing w:before="216" w:line="212" w:lineRule="auto"/>
        <w:rPr/>
      </w:pPr>
      <w:r>
        <w:rPr>
          <w:spacing w:val="-1"/>
        </w:rPr>
        <w:t>·未来资产排名最有可能靠前的2-3家公司：</w:t>
      </w:r>
      <w:r>
        <w:rPr>
          <w:rFonts w:ascii="Times New Roman" w:hAnsi="Times New Roman" w:eastAsia="Times New Roman" w:cs="Times New Roman"/>
          <w:spacing w:val="-1"/>
        </w:rPr>
        <w:t>Ping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An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Insurance  </w:t>
      </w:r>
      <w:r>
        <w:rPr>
          <w:spacing w:val="-1"/>
        </w:rPr>
        <w:t>(综合金融优势+科技驱</w:t>
      </w:r>
    </w:p>
    <w:p>
      <w:pPr>
        <w:pStyle w:val="BodyText"/>
        <w:ind w:left="509" w:right="183"/>
        <w:spacing w:before="155" w:line="289" w:lineRule="auto"/>
        <w:rPr/>
      </w:pPr>
      <w:r>
        <w:rPr>
          <w:spacing w:val="3"/>
        </w:rPr>
        <w:t>动</w:t>
      </w:r>
      <w:r>
        <w:rPr>
          <w:spacing w:val="-67"/>
        </w:rPr>
        <w:t xml:space="preserve"> </w:t>
      </w:r>
      <w:r>
        <w:rPr>
          <w:spacing w:val="3"/>
        </w:rPr>
        <w:t>)、</w:t>
      </w:r>
      <w:r>
        <w:rPr>
          <w:rFonts w:ascii="SimSun" w:hAnsi="SimSun" w:eastAsia="SimSun" w:cs="SimSun"/>
        </w:rPr>
        <w:t>China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</w:rPr>
        <w:t>Life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</w:rPr>
        <w:t>Insurance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3"/>
        </w:rPr>
        <w:t>(市场主导地位+寿险需求爆发)和</w:t>
      </w:r>
      <w:r>
        <w:rPr>
          <w:rFonts w:ascii="SimSun" w:hAnsi="SimSun" w:eastAsia="SimSun" w:cs="SimSun"/>
        </w:rPr>
        <w:t>Berkshire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Hathaway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2"/>
        </w:rPr>
        <w:t>(稳</w:t>
      </w:r>
      <w:r>
        <w:rPr/>
        <w:t xml:space="preserve"> </w:t>
      </w:r>
      <w:r>
        <w:rPr>
          <w:spacing w:val="12"/>
        </w:rPr>
        <w:t>定资本积累),中国市场高速增长(预计2026-2030寿险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12"/>
        </w:rPr>
        <w:t xml:space="preserve">   7.9%)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12"/>
        </w:rPr>
        <w:t>将推动本土公司上</w:t>
      </w:r>
      <w:r>
        <w:rPr/>
        <w:t xml:space="preserve"> </w:t>
      </w:r>
      <w:r>
        <w:rPr>
          <w:spacing w:val="-10"/>
        </w:rPr>
        <w:t>升。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当前前十保险公司概览</w:t>
      </w:r>
    </w:p>
    <w:p>
      <w:pPr>
        <w:pStyle w:val="BodyText"/>
        <w:ind w:right="95"/>
        <w:spacing w:before="192" w:line="328" w:lineRule="auto"/>
        <w:rPr/>
      </w:pPr>
      <w:r>
        <w:rPr>
          <w:spacing w:val="9"/>
        </w:rPr>
        <w:t>根据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71"/>
          <w:w w:val="101"/>
        </w:rPr>
        <w:t xml:space="preserve"> </w:t>
      </w:r>
      <w:r>
        <w:rPr>
          <w:rFonts w:ascii="Arial" w:hAnsi="Arial" w:eastAsia="Arial" w:cs="Arial"/>
        </w:rPr>
        <w:t>Best</w:t>
      </w:r>
      <w:r>
        <w:rPr>
          <w:spacing w:val="9"/>
        </w:rPr>
        <w:t>最新排名(2024年末非银行资产),全球前十保险公司资产规模巨大，欧美公司占</w:t>
      </w:r>
      <w:r>
        <w:rPr/>
        <w:t xml:space="preserve"> </w:t>
      </w:r>
      <w:r>
        <w:rPr>
          <w:spacing w:val="1"/>
        </w:rPr>
        <w:t>据稳定位置，中国和新兴市场公司快速追赶。排名考虑纯保险资产，避免金</w:t>
      </w:r>
      <w:r>
        <w:rPr/>
        <w:t>融集团银行部分干</w:t>
      </w:r>
    </w:p>
    <w:p>
      <w:pPr>
        <w:pStyle w:val="BodyText"/>
        <w:spacing w:before="20" w:line="222" w:lineRule="auto"/>
        <w:rPr/>
      </w:pPr>
      <w:r>
        <w:rPr>
          <w:spacing w:val="-3"/>
        </w:rPr>
        <w:t>扰。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维度比较</w:t>
      </w:r>
    </w:p>
    <w:p>
      <w:pPr>
        <w:pStyle w:val="BodyText"/>
        <w:ind w:left="369"/>
        <w:spacing w:before="220" w:line="213" w:lineRule="auto"/>
        <w:rPr/>
      </w:pPr>
      <w:r>
        <w:rPr>
          <w:spacing w:val="-3"/>
        </w:rPr>
        <w:t>·融资情况与信誉度：顶级公司资本充足，易获低成本融资。高信用评</w:t>
      </w:r>
      <w:r>
        <w:rPr>
          <w:spacing w:val="-4"/>
        </w:rPr>
        <w:t>级反映强劲偿付能力。</w:t>
      </w:r>
    </w:p>
    <w:p>
      <w:pPr>
        <w:pStyle w:val="BodyText"/>
        <w:ind w:left="369"/>
        <w:spacing w:before="263" w:line="213" w:lineRule="auto"/>
        <w:rPr/>
      </w:pPr>
      <w:r>
        <w:rPr>
          <w:spacing w:val="-4"/>
        </w:rPr>
        <w:t>·过去五年增长：中国公司受益于国内保险渗透率提升，增长显著高于全球平均。</w:t>
      </w:r>
    </w:p>
    <w:p>
      <w:pPr>
        <w:pStyle w:val="BodyText"/>
        <w:ind w:left="369"/>
        <w:spacing w:before="253" w:line="213" w:lineRule="auto"/>
        <w:rPr/>
      </w:pPr>
      <w:r>
        <w:rPr>
          <w:spacing w:val="-4"/>
        </w:rPr>
        <w:t>·实际分红：上市公司多有稳定派息，互助公司则以保单分红形</w:t>
      </w:r>
      <w:r>
        <w:rPr>
          <w:spacing w:val="-5"/>
        </w:rPr>
        <w:t>式回报。</w:t>
      </w:r>
    </w:p>
    <w:p>
      <w:pPr>
        <w:pStyle w:val="BodyText"/>
        <w:ind w:left="509" w:right="74" w:hanging="140"/>
        <w:spacing w:before="274" w:line="268" w:lineRule="auto"/>
        <w:rPr/>
      </w:pPr>
      <w:r>
        <w:rPr>
          <w:spacing w:val="-3"/>
        </w:rPr>
        <w:t>·</w:t>
      </w:r>
      <w:r>
        <w:rPr>
          <w:spacing w:val="-87"/>
        </w:rPr>
        <w:t xml:space="preserve"> </w:t>
      </w:r>
      <w:r>
        <w:rPr>
          <w:spacing w:val="-3"/>
        </w:rPr>
        <w:t>中国发展潜力：中国保险市场预计持续高速扩张，本土公司占有绝对优势，外国公司通过合</w:t>
      </w:r>
      <w:r>
        <w:rPr/>
        <w:t xml:space="preserve"> </w:t>
      </w:r>
      <w:r>
        <w:rPr>
          <w:spacing w:val="-2"/>
        </w:rPr>
        <w:t>资或分支机构参与，但份额小。</w:t>
      </w:r>
    </w:p>
    <w:p>
      <w:pPr>
        <w:spacing w:line="268" w:lineRule="auto"/>
        <w:sectPr>
          <w:pgSz w:w="12240" w:h="15840"/>
          <w:pgMar w:top="1127" w:right="1064" w:bottom="0" w:left="980" w:header="0" w:footer="0" w:gutter="0"/>
        </w:sectPr>
        <w:rPr/>
      </w:pPr>
    </w:p>
    <w:p>
      <w:pPr>
        <w:rPr/>
      </w:pPr>
      <w:r>
        <w:pict>
          <v:shape id="_x0000_s2" style="position:absolute;margin-left:44.2551pt;margin-top:75.4338pt;mso-position-vertical-relative:page;mso-position-horizontal-relative:page;width:15.5pt;height:31.1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0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-3"/>
                    </w:rPr>
                    <w:t>排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b/>
                      <w:bCs/>
                      <w:spacing w:val="-3"/>
                    </w:rPr>
                    <w:t>名</w:t>
                  </w:r>
                </w:p>
              </w:txbxContent>
            </v:textbox>
          </v:shape>
        </w:pic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7" w:lineRule="auto"/>
        <w:rPr>
          <w:rFonts w:ascii="Arial"/>
          <w:sz w:val="21"/>
        </w:rPr>
      </w:pPr>
      <w:r/>
    </w:p>
    <w:p>
      <w:pPr>
        <w:spacing w:before="74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公司名称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国</w:t>
      </w:r>
    </w:p>
    <w:p>
      <w:pPr>
        <w:ind w:right="268"/>
        <w:spacing w:before="91" w:line="30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家/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地区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最新资产规模</w:t>
      </w:r>
    </w:p>
    <w:p>
      <w:pPr>
        <w:spacing w:before="107" w:line="220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(约，万美元)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46"/>
        <w:spacing w:before="49" w:line="30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6"/>
        </w:rPr>
        <w:t>信誉度(</w:t>
      </w:r>
      <w:r>
        <w:rPr>
          <w:rFonts w:ascii="SimSun" w:hAnsi="SimSun" w:eastAsia="SimSun" w:cs="SimSun"/>
          <w:sz w:val="23"/>
          <w:szCs w:val="23"/>
          <w:b/>
          <w:bCs/>
        </w:rPr>
        <w:t>AM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Best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/S&amp;P示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例)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right="202"/>
        <w:spacing w:before="74" w:line="2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过去5年资产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增长(约)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right="255"/>
        <w:spacing w:before="75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实际分红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情况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69"/>
        <w:spacing w:before="51" w:line="29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中国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发展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潜力</w:t>
      </w:r>
    </w:p>
    <w:p>
      <w:pPr>
        <w:spacing w:line="290" w:lineRule="auto"/>
        <w:sectPr>
          <w:pgSz w:w="12240" w:h="15840"/>
          <w:pgMar w:top="1113" w:right="1019" w:bottom="0" w:left="454" w:header="0" w:footer="0" w:gutter="0"/>
          <w:cols w:equalWidth="0" w:num="8">
            <w:col w:w="1088" w:space="100"/>
            <w:col w:w="1213" w:space="100"/>
            <w:col w:w="720" w:space="62"/>
            <w:col w:w="1452" w:space="96"/>
            <w:col w:w="1701" w:space="100"/>
            <w:col w:w="1481" w:space="100"/>
            <w:col w:w="1201" w:space="100"/>
            <w:col w:w="1257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65" w:lineRule="exact"/>
        <w:rPr/>
      </w:pPr>
      <w:r/>
    </w:p>
    <w:p>
      <w:pPr>
        <w:spacing w:line="65" w:lineRule="exact"/>
        <w:sectPr>
          <w:type w:val="continuous"/>
          <w:pgSz w:w="12240" w:h="15840"/>
          <w:pgMar w:top="1113" w:right="1019" w:bottom="0" w:left="454" w:header="0" w:footer="0" w:gutter="0"/>
          <w:cols w:equalWidth="0" w:num="1">
            <w:col w:w="10766" w:space="0"/>
          </w:cols>
        </w:sectPr>
        <w:rPr/>
      </w:pPr>
    </w:p>
    <w:p>
      <w:pPr>
        <w:ind w:left="1068" w:right="806" w:hanging="509"/>
        <w:spacing w:before="188" w:line="21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  <w:position w:val="-4"/>
        </w:rPr>
        <w:t>1</w:t>
      </w:r>
      <w:r>
        <w:rPr>
          <w:rFonts w:ascii="SimSun" w:hAnsi="SimSun" w:eastAsia="SimSun" w:cs="SimSun"/>
          <w:sz w:val="23"/>
          <w:szCs w:val="23"/>
          <w:spacing w:val="26"/>
          <w:position w:val="-4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1"/>
          <w:position w:val="4"/>
        </w:rPr>
        <w:t>Berkshire</w:t>
      </w:r>
      <w:r>
        <w:rPr>
          <w:rFonts w:ascii="SimSun" w:hAnsi="SimSun" w:eastAsia="SimSun" w:cs="SimSun"/>
          <w:sz w:val="23"/>
          <w:szCs w:val="23"/>
          <w:spacing w:val="27"/>
          <w:position w:val="4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"/>
          <w:position w:val="-2"/>
        </w:rPr>
        <w:t>美国</w:t>
      </w:r>
      <w:r>
        <w:rPr>
          <w:rFonts w:ascii="SimSun" w:hAnsi="SimSun" w:eastAsia="SimSun" w:cs="SimSun"/>
          <w:sz w:val="23"/>
          <w:szCs w:val="23"/>
          <w:spacing w:val="102"/>
          <w:position w:val="-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  <w:position w:val="-2"/>
        </w:rPr>
        <w:t>1.15万亿</w:t>
      </w:r>
      <w:r>
        <w:rPr>
          <w:rFonts w:ascii="SimSun" w:hAnsi="SimSun" w:eastAsia="SimSun" w:cs="SimSun"/>
          <w:sz w:val="23"/>
          <w:szCs w:val="23"/>
          <w:spacing w:val="13"/>
          <w:position w:val="-2"/>
        </w:rPr>
        <w:t xml:space="preserve">      </w:t>
      </w:r>
      <w:r>
        <w:rPr>
          <w:rFonts w:ascii="SimSun" w:hAnsi="SimSun" w:eastAsia="SimSun" w:cs="SimSun"/>
          <w:sz w:val="23"/>
          <w:szCs w:val="23"/>
          <w:spacing w:val="-1"/>
          <w:position w:val="-2"/>
        </w:rPr>
        <w:t>A++/AA+</w:t>
      </w:r>
      <w:r>
        <w:rPr>
          <w:rFonts w:ascii="SimSun" w:hAnsi="SimSun" w:eastAsia="SimSun" w:cs="SimSun"/>
          <w:sz w:val="23"/>
          <w:szCs w:val="23"/>
          <w:position w:val="-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Hathaway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79"/>
        <w:spacing w:before="124" w:line="26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稳健(~8%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CAGR)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8" w:right="359" w:hanging="129"/>
        <w:spacing w:before="62" w:line="2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  <w:position w:val="-4"/>
        </w:rPr>
        <w:t>无股息</w:t>
      </w:r>
      <w:r>
        <w:rPr>
          <w:rFonts w:ascii="SimSun" w:hAnsi="SimSun" w:eastAsia="SimSun" w:cs="SimSun"/>
          <w:sz w:val="23"/>
          <w:szCs w:val="23"/>
          <w:spacing w:val="35"/>
          <w:position w:val="-4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1"/>
          <w:position w:val="2"/>
        </w:rPr>
        <w:t>低(无直接</w:t>
      </w:r>
      <w:r>
        <w:rPr>
          <w:rFonts w:ascii="SimSun" w:hAnsi="SimSun" w:eastAsia="SimSun" w:cs="SimSun"/>
          <w:sz w:val="23"/>
          <w:szCs w:val="23"/>
          <w:position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(再投资)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业务)</w:t>
      </w:r>
    </w:p>
    <w:p>
      <w:pPr>
        <w:spacing w:line="268" w:lineRule="auto"/>
        <w:sectPr>
          <w:type w:val="continuous"/>
          <w:pgSz w:w="12240" w:h="15840"/>
          <w:pgMar w:top="1113" w:right="1019" w:bottom="0" w:left="454" w:header="0" w:footer="0" w:gutter="0"/>
          <w:cols w:equalWidth="0" w:num="3">
            <w:col w:w="6536" w:space="100"/>
            <w:col w:w="1490" w:space="100"/>
            <w:col w:w="2541" w:space="0"/>
          </w:cols>
        </w:sectPr>
        <w:rPr>
          <w:rFonts w:ascii="SimSun" w:hAnsi="SimSun" w:eastAsia="SimSun" w:cs="SimSun"/>
          <w:sz w:val="23"/>
          <w:szCs w:val="23"/>
        </w:rPr>
      </w:pPr>
    </w:p>
    <w:tbl>
      <w:tblPr>
        <w:tblStyle w:val="TableNormal"/>
        <w:tblW w:w="10290" w:type="dxa"/>
        <w:tblInd w:w="4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9"/>
        <w:gridCol w:w="1409"/>
        <w:gridCol w:w="792"/>
        <w:gridCol w:w="1685"/>
        <w:gridCol w:w="1336"/>
        <w:gridCol w:w="1829"/>
        <w:gridCol w:w="1315"/>
        <w:gridCol w:w="1495"/>
      </w:tblGrid>
      <w:tr>
        <w:trPr>
          <w:trHeight w:val="944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5" w:line="241" w:lineRule="auto"/>
              <w:rPr/>
            </w:pPr>
            <w:r>
              <w:rPr>
                <w:b/>
                <w:bCs/>
                <w:spacing w:val="-3"/>
              </w:rPr>
              <w:t>2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4" w:line="188" w:lineRule="auto"/>
              <w:rPr/>
            </w:pPr>
            <w:r>
              <w:rPr>
                <w:b/>
                <w:bCs/>
                <w:spacing w:val="-3"/>
              </w:rPr>
              <w:t>Allianz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75" w:line="222" w:lineRule="auto"/>
              <w:rPr/>
            </w:pPr>
            <w:r>
              <w:rPr>
                <w:spacing w:val="11"/>
              </w:rPr>
              <w:t>德国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5" w:line="220" w:lineRule="auto"/>
              <w:rPr/>
            </w:pPr>
            <w:r>
              <w:rPr>
                <w:spacing w:val="1"/>
              </w:rPr>
              <w:t>1.09万亿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 w:line="224" w:lineRule="auto"/>
              <w:rPr/>
            </w:pPr>
            <w:r>
              <w:rPr>
                <w:spacing w:val="-1"/>
              </w:rPr>
              <w:t>A+/AA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9"/>
              <w:spacing w:before="74" w:line="219" w:lineRule="auto"/>
              <w:rPr/>
            </w:pPr>
            <w:r>
              <w:rPr>
                <w:spacing w:val="7"/>
              </w:rPr>
              <w:t>中等(~7%)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0" w:right="133"/>
              <w:spacing w:before="283" w:line="261" w:lineRule="auto"/>
              <w:rPr/>
            </w:pPr>
            <w:r>
              <w:rPr>
                <w:spacing w:val="1"/>
              </w:rPr>
              <w:t>高(收益</w:t>
            </w:r>
            <w:r>
              <w:rPr/>
              <w:t xml:space="preserve">  </w:t>
            </w:r>
            <w:r>
              <w:rPr>
                <w:spacing w:val="1"/>
              </w:rPr>
              <w:t>率~4-5%)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 w:right="216" w:hanging="13"/>
              <w:spacing w:before="301" w:line="254" w:lineRule="auto"/>
              <w:rPr/>
            </w:pPr>
            <w:r>
              <w:rPr>
                <w:b/>
                <w:bCs/>
                <w:spacing w:val="-2"/>
              </w:rPr>
              <w:t>中(有合资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"/>
              </w:rPr>
              <w:t>公司)</w:t>
            </w:r>
          </w:p>
        </w:tc>
      </w:tr>
      <w:tr>
        <w:trPr>
          <w:trHeight w:val="132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5"/>
              <w:rPr/>
            </w:pPr>
            <w:r>
              <w:rPr>
                <w:b/>
                <w:bCs/>
                <w:spacing w:val="-3"/>
              </w:rPr>
              <w:t>3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77"/>
              <w:spacing w:before="75" w:line="311" w:lineRule="auto"/>
              <w:rPr/>
            </w:pPr>
            <w:r>
              <w:rPr>
                <w:b/>
                <w:bCs/>
                <w:spacing w:val="-4"/>
              </w:rPr>
              <w:t>China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Life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Insurance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75" w:line="220" w:lineRule="auto"/>
              <w:rPr/>
            </w:pPr>
            <w:r>
              <w:rPr>
                <w:spacing w:val="27"/>
              </w:rPr>
              <w:t>中国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5" w:line="220" w:lineRule="auto"/>
              <w:rPr/>
            </w:pPr>
            <w:r>
              <w:rPr>
                <w:spacing w:val="1"/>
              </w:rPr>
              <w:t>1.02万亿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 w:line="224" w:lineRule="auto"/>
              <w:rPr/>
            </w:pPr>
            <w:r>
              <w:rPr>
                <w:spacing w:val="-1"/>
              </w:rPr>
              <w:t>A/A+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8"/>
              <w:spacing w:before="75" w:line="219" w:lineRule="auto"/>
              <w:rPr/>
            </w:pPr>
            <w:r>
              <w:rPr>
                <w:spacing w:val="7"/>
              </w:rPr>
              <w:t>高(~20%)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/>
              <w:spacing w:before="75" w:line="219" w:lineRule="auto"/>
              <w:rPr/>
            </w:pPr>
            <w:r>
              <w:rPr>
                <w:spacing w:val="38"/>
              </w:rPr>
              <w:t>中等(上</w:t>
            </w:r>
          </w:p>
          <w:p>
            <w:pPr>
              <w:pStyle w:val="TableText"/>
              <w:ind w:left="263"/>
              <w:spacing w:before="113" w:line="219" w:lineRule="auto"/>
              <w:rPr/>
            </w:pPr>
            <w:r>
              <w:rPr>
                <w:b/>
                <w:bCs/>
                <w:spacing w:val="5"/>
              </w:rPr>
              <w:t>市公司派</w:t>
            </w:r>
          </w:p>
          <w:p>
            <w:pPr>
              <w:pStyle w:val="TableText"/>
              <w:ind w:left="259"/>
              <w:spacing w:before="43" w:line="222" w:lineRule="auto"/>
              <w:rPr/>
            </w:pPr>
            <w:r>
              <w:rPr>
                <w:spacing w:val="-10"/>
              </w:rPr>
              <w:t>息</w:t>
            </w:r>
            <w:r>
              <w:rPr>
                <w:spacing w:val="-41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 w:right="296"/>
              <w:spacing w:before="75" w:line="294" w:lineRule="auto"/>
              <w:rPr/>
            </w:pPr>
            <w:r>
              <w:rPr>
                <w:b/>
                <w:bCs/>
                <w:spacing w:val="-6"/>
              </w:rPr>
              <w:t>高(市场主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1"/>
              </w:rPr>
              <w:t>导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11"/>
              </w:rPr>
              <w:t>)</w:t>
            </w:r>
          </w:p>
        </w:tc>
      </w:tr>
      <w:tr>
        <w:trPr>
          <w:trHeight w:val="1318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5" w:line="241" w:lineRule="auto"/>
              <w:rPr/>
            </w:pPr>
            <w:r>
              <w:rPr>
                <w:b/>
                <w:bCs/>
                <w:spacing w:val="-3"/>
              </w:rPr>
              <w:t>4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74" w:line="184" w:lineRule="auto"/>
              <w:rPr/>
            </w:pPr>
            <w:r>
              <w:rPr>
                <w:b/>
                <w:bCs/>
                <w:spacing w:val="-3"/>
              </w:rPr>
              <w:t>Ping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</w:p>
          <w:p>
            <w:pPr>
              <w:pStyle w:val="TableText"/>
              <w:ind w:left="164"/>
              <w:spacing w:before="117"/>
              <w:rPr/>
            </w:pPr>
            <w:r>
              <w:rPr>
                <w:b/>
                <w:bCs/>
                <w:spacing w:val="-5"/>
              </w:rPr>
              <w:t>Insurance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75" w:line="220" w:lineRule="auto"/>
              <w:rPr/>
            </w:pPr>
            <w:r>
              <w:rPr>
                <w:b/>
                <w:bCs/>
                <w:spacing w:val="6"/>
              </w:rPr>
              <w:t>中国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75" w:line="220" w:lineRule="auto"/>
              <w:rPr/>
            </w:pPr>
            <w:r>
              <w:rPr>
                <w:spacing w:val="13"/>
              </w:rPr>
              <w:t>0.98万亿(非</w:t>
            </w:r>
          </w:p>
          <w:p>
            <w:pPr>
              <w:pStyle w:val="TableText"/>
              <w:ind w:left="163" w:right="151"/>
              <w:spacing w:before="51" w:line="257" w:lineRule="auto"/>
              <w:rPr/>
            </w:pPr>
            <w:r>
              <w:rPr>
                <w:b/>
                <w:bCs/>
                <w:spacing w:val="-5"/>
              </w:rPr>
              <w:t>银行；总资产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3"/>
              </w:rPr>
              <w:t>超1.8万亿)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9"/>
              <w:spacing w:before="311" w:line="219" w:lineRule="auto"/>
              <w:rPr/>
            </w:pPr>
            <w:r>
              <w:rPr>
                <w:spacing w:val="-6"/>
              </w:rPr>
              <w:t>很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高</w:t>
            </w:r>
          </w:p>
          <w:p>
            <w:pPr>
              <w:pStyle w:val="TableText"/>
              <w:ind w:left="512" w:right="262" w:firstLine="129"/>
              <w:spacing w:before="80" w:line="258" w:lineRule="auto"/>
              <w:rPr/>
            </w:pPr>
            <w:r>
              <w:rPr>
                <w:b/>
                <w:bCs/>
                <w:spacing w:val="-2"/>
              </w:rPr>
              <w:t>(~25%,含</w:t>
            </w:r>
            <w:r>
              <w:rPr/>
              <w:t xml:space="preserve"> </w:t>
            </w:r>
            <w:r>
              <w:rPr>
                <w:b/>
                <w:bCs/>
                <w:spacing w:val="10"/>
              </w:rPr>
              <w:t>金融)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 w:right="87"/>
              <w:spacing w:before="308" w:line="307" w:lineRule="auto"/>
              <w:rPr/>
            </w:pPr>
            <w:r>
              <w:rPr>
                <w:b/>
                <w:bCs/>
                <w:spacing w:val="-4"/>
              </w:rPr>
              <w:t>中等(收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3"/>
              </w:rPr>
              <w:t>益率~3%)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7" w:right="72" w:firstLine="108"/>
              <w:spacing w:before="306" w:line="307" w:lineRule="auto"/>
              <w:rPr/>
            </w:pPr>
            <w:r>
              <w:rPr>
                <w:b/>
                <w:bCs/>
                <w:spacing w:val="-5"/>
              </w:rPr>
              <w:t>很高(本土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领袖+科技)</w:t>
            </w:r>
          </w:p>
        </w:tc>
      </w:tr>
      <w:tr>
        <w:trPr>
          <w:trHeight w:val="98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5"/>
              <w:rPr/>
            </w:pPr>
            <w:r>
              <w:rPr>
                <w:b/>
                <w:bCs/>
                <w:spacing w:val="-3"/>
              </w:rPr>
              <w:t>5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100"/>
              <w:spacing w:before="75" w:line="250" w:lineRule="auto"/>
              <w:rPr/>
            </w:pPr>
            <w:r>
              <w:rPr>
                <w:b/>
                <w:bCs/>
                <w:spacing w:val="-3"/>
              </w:rPr>
              <w:t>Prudential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Financial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5" w:line="220" w:lineRule="auto"/>
              <w:rPr/>
            </w:pPr>
            <w:r>
              <w:rPr>
                <w:b/>
                <w:bCs/>
                <w:spacing w:val="6"/>
              </w:rPr>
              <w:t>美国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0" w:lineRule="auto"/>
              <w:rPr/>
            </w:pPr>
            <w:r>
              <w:rPr>
                <w:b/>
                <w:bCs/>
                <w:spacing w:val="-4"/>
              </w:rPr>
              <w:t>0.74万亿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4" w:line="224" w:lineRule="auto"/>
              <w:rPr/>
            </w:pPr>
            <w:r>
              <w:rPr>
                <w:b/>
                <w:bCs/>
                <w:spacing w:val="-3"/>
              </w:rPr>
              <w:t>A+/AA-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5" w:line="219" w:lineRule="auto"/>
              <w:rPr/>
            </w:pPr>
            <w:r>
              <w:rPr>
                <w:b/>
                <w:bCs/>
                <w:spacing w:val="4"/>
              </w:rPr>
              <w:t>中等(~6%)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 w:right="197"/>
              <w:spacing w:before="75" w:line="260" w:lineRule="auto"/>
              <w:rPr/>
            </w:pPr>
            <w:r>
              <w:rPr>
                <w:b/>
                <w:bCs/>
                <w:spacing w:val="-7"/>
              </w:rPr>
              <w:t>高(收益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8"/>
              </w:rPr>
              <w:t>率~4%)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8" w:right="192"/>
              <w:spacing w:before="311" w:line="268" w:lineRule="auto"/>
              <w:rPr/>
            </w:pPr>
            <w:r>
              <w:rPr>
                <w:b/>
                <w:bCs/>
                <w:spacing w:val="-4"/>
              </w:rPr>
              <w:t>中(亚洲业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5"/>
              </w:rPr>
              <w:t>务含中国)</w:t>
            </w:r>
          </w:p>
        </w:tc>
      </w:tr>
      <w:tr>
        <w:trPr>
          <w:trHeight w:val="92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4"/>
              <w:rPr/>
            </w:pPr>
            <w:r>
              <w:rPr>
                <w:b/>
                <w:bCs/>
                <w:spacing w:val="-3"/>
              </w:rPr>
              <w:t>6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 w:right="445"/>
              <w:spacing w:before="293" w:line="251" w:lineRule="auto"/>
              <w:rPr/>
            </w:pPr>
            <w:r>
              <w:rPr>
                <w:b/>
                <w:bCs/>
                <w:spacing w:val="-4"/>
              </w:rPr>
              <w:t>Legal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&amp;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General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5" w:line="220" w:lineRule="auto"/>
              <w:rPr/>
            </w:pPr>
            <w:r>
              <w:rPr>
                <w:b/>
                <w:bCs/>
                <w:spacing w:val="6"/>
              </w:rPr>
              <w:t>英国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0" w:lineRule="auto"/>
              <w:rPr/>
            </w:pPr>
            <w:r>
              <w:rPr>
                <w:b/>
                <w:bCs/>
                <w:spacing w:val="-4"/>
              </w:rPr>
              <w:t>0.68万亿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5" w:line="224" w:lineRule="auto"/>
              <w:rPr/>
            </w:pPr>
            <w:r>
              <w:rPr>
                <w:b/>
                <w:bCs/>
                <w:spacing w:val="-3"/>
              </w:rPr>
              <w:t>A+/AA-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5" w:line="219" w:lineRule="auto"/>
              <w:rPr/>
            </w:pPr>
            <w:r>
              <w:rPr>
                <w:b/>
                <w:bCs/>
                <w:spacing w:val="4"/>
              </w:rPr>
              <w:t>中等(~7%)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2" w:right="157" w:hanging="59"/>
              <w:spacing w:before="171" w:line="300" w:lineRule="auto"/>
              <w:rPr/>
            </w:pPr>
            <w:r>
              <w:rPr>
                <w:b/>
                <w:bCs/>
                <w:spacing w:val="-1"/>
              </w:rPr>
              <w:t>高(收益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6"/>
              </w:rPr>
              <w:t>率~5%)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8"/>
              <w:spacing w:before="172" w:line="221" w:lineRule="auto"/>
              <w:rPr/>
            </w:pPr>
            <w:r>
              <w:rPr>
                <w:b/>
                <w:bCs/>
                <w:spacing w:val="-3"/>
              </w:rPr>
              <w:t>低</w:t>
            </w:r>
          </w:p>
        </w:tc>
      </w:tr>
      <w:tr>
        <w:trPr>
          <w:trHeight w:val="97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5"/>
              <w:rPr/>
            </w:pPr>
            <w:r>
              <w:rPr>
                <w:b/>
                <w:bCs/>
                <w:spacing w:val="-3"/>
              </w:rPr>
              <w:t>7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5" w:line="184" w:lineRule="auto"/>
              <w:rPr/>
            </w:pPr>
            <w:r>
              <w:rPr>
                <w:b/>
                <w:bCs/>
                <w:spacing w:val="-3"/>
              </w:rPr>
              <w:t>AXA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5" w:line="222" w:lineRule="auto"/>
              <w:rPr/>
            </w:pPr>
            <w:r>
              <w:rPr>
                <w:b/>
                <w:bCs/>
                <w:spacing w:val="6"/>
              </w:rPr>
              <w:t>法国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0" w:lineRule="auto"/>
              <w:rPr/>
            </w:pPr>
            <w:r>
              <w:rPr>
                <w:b/>
                <w:bCs/>
                <w:spacing w:val="-4"/>
              </w:rPr>
              <w:t>0.68万亿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5" w:line="224" w:lineRule="auto"/>
              <w:rPr/>
            </w:pPr>
            <w:r>
              <w:rPr>
                <w:b/>
                <w:bCs/>
                <w:spacing w:val="-3"/>
              </w:rPr>
              <w:t>A+/AA-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5" w:line="219" w:lineRule="auto"/>
              <w:rPr/>
            </w:pPr>
            <w:r>
              <w:rPr>
                <w:b/>
                <w:bCs/>
                <w:spacing w:val="4"/>
              </w:rPr>
              <w:t>中等(~6%)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3" w:right="217"/>
              <w:spacing w:before="311" w:line="264" w:lineRule="auto"/>
              <w:rPr/>
            </w:pPr>
            <w:r>
              <w:rPr>
                <w:b/>
                <w:bCs/>
                <w:spacing w:val="-7"/>
              </w:rPr>
              <w:t>高(收益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8"/>
              </w:rPr>
              <w:t>率~4%)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09"/>
              <w:spacing w:before="313" w:line="263" w:lineRule="auto"/>
              <w:rPr/>
            </w:pPr>
            <w:r>
              <w:rPr>
                <w:b/>
                <w:bCs/>
                <w:spacing w:val="-1"/>
              </w:rPr>
              <w:t>中(有中国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10"/>
              </w:rPr>
              <w:t>业务)</w:t>
            </w:r>
          </w:p>
        </w:tc>
      </w:tr>
      <w:tr>
        <w:trPr>
          <w:trHeight w:val="97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5"/>
              <w:rPr/>
            </w:pPr>
            <w:r>
              <w:rPr>
                <w:b/>
                <w:bCs/>
                <w:spacing w:val="-3"/>
              </w:rPr>
              <w:t>8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5"/>
              <w:rPr/>
            </w:pPr>
            <w:r>
              <w:rPr>
                <w:b/>
                <w:bCs/>
                <w:spacing w:val="-3"/>
              </w:rPr>
              <w:t>Manulife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4" w:right="125" w:hanging="229"/>
              <w:spacing w:before="174" w:line="319" w:lineRule="auto"/>
              <w:rPr/>
            </w:pPr>
            <w:r>
              <w:rPr>
                <w:b/>
                <w:bCs/>
                <w:spacing w:val="-7"/>
              </w:rPr>
              <w:t>加拿</w:t>
            </w:r>
            <w:r>
              <w:rPr/>
              <w:t xml:space="preserve"> </w:t>
            </w:r>
            <w:r>
              <w:rPr>
                <w:b/>
                <w:bCs/>
                <w:spacing w:val="-15"/>
              </w:rPr>
              <w:t>大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/>
              <w:spacing w:before="174" w:line="220" w:lineRule="auto"/>
              <w:rPr/>
            </w:pPr>
            <w:r>
              <w:rPr>
                <w:b/>
                <w:bCs/>
                <w:spacing w:val="-4"/>
              </w:rPr>
              <w:t>0.68万亿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5" w:line="224" w:lineRule="auto"/>
              <w:rPr/>
            </w:pPr>
            <w:r>
              <w:rPr>
                <w:b/>
                <w:bCs/>
                <w:spacing w:val="-3"/>
              </w:rPr>
              <w:t>A+/AA-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5" w:line="219" w:lineRule="auto"/>
              <w:rPr/>
            </w:pPr>
            <w:r>
              <w:rPr>
                <w:b/>
                <w:bCs/>
                <w:spacing w:val="4"/>
              </w:rPr>
              <w:t>中等(~8%)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3" w:right="57" w:firstLine="50"/>
              <w:spacing w:before="174" w:line="319" w:lineRule="auto"/>
              <w:rPr/>
            </w:pPr>
            <w:r>
              <w:rPr>
                <w:b/>
                <w:bCs/>
                <w:spacing w:val="-1"/>
              </w:rPr>
              <w:t>高(收益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3"/>
              </w:rPr>
              <w:t>率~3-4%)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8" w:right="351"/>
              <w:spacing w:before="174" w:line="319" w:lineRule="auto"/>
              <w:rPr/>
            </w:pPr>
            <w:r>
              <w:rPr>
                <w:b/>
                <w:bCs/>
                <w:spacing w:val="-3"/>
              </w:rPr>
              <w:t>中(亚洲强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10"/>
              </w:rPr>
              <w:t>势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10"/>
              </w:rPr>
              <w:t>)</w:t>
            </w:r>
          </w:p>
        </w:tc>
      </w:tr>
      <w:tr>
        <w:trPr>
          <w:trHeight w:val="929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5"/>
              <w:rPr/>
            </w:pPr>
            <w:r>
              <w:rPr>
                <w:b/>
                <w:bCs/>
                <w:spacing w:val="-3"/>
              </w:rPr>
              <w:t>9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75" w:line="183" w:lineRule="auto"/>
              <w:rPr/>
            </w:pPr>
            <w:r>
              <w:rPr>
                <w:b/>
                <w:bCs/>
                <w:spacing w:val="-3"/>
              </w:rPr>
              <w:t>MetLife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5" w:line="220" w:lineRule="auto"/>
              <w:rPr/>
            </w:pPr>
            <w:r>
              <w:rPr>
                <w:b/>
                <w:bCs/>
                <w:spacing w:val="6"/>
              </w:rPr>
              <w:t>美国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0" w:lineRule="auto"/>
              <w:rPr/>
            </w:pPr>
            <w:r>
              <w:rPr>
                <w:b/>
                <w:bCs/>
                <w:spacing w:val="-4"/>
              </w:rPr>
              <w:t>0.68万亿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4" w:line="221" w:lineRule="auto"/>
              <w:rPr/>
            </w:pPr>
            <w:r>
              <w:rPr>
                <w:b/>
                <w:bCs/>
                <w:spacing w:val="-5"/>
              </w:rPr>
              <w:t>十AA-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5" w:line="219" w:lineRule="auto"/>
              <w:rPr/>
            </w:pPr>
            <w:r>
              <w:rPr>
                <w:b/>
                <w:bCs/>
                <w:spacing w:val="4"/>
              </w:rPr>
              <w:t>中等(~6%)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2" w:right="157" w:hanging="59"/>
              <w:spacing w:before="164" w:line="303" w:lineRule="auto"/>
              <w:rPr/>
            </w:pPr>
            <w:r>
              <w:rPr>
                <w:b/>
                <w:bCs/>
                <w:spacing w:val="-1"/>
              </w:rPr>
              <w:t>高(收益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6"/>
              </w:rPr>
              <w:t>率~3%)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8" w:right="339"/>
              <w:spacing w:before="164" w:line="303" w:lineRule="auto"/>
              <w:rPr/>
            </w:pPr>
            <w:r>
              <w:rPr>
                <w:b/>
                <w:bCs/>
                <w:spacing w:val="-1"/>
              </w:rPr>
              <w:t>中(有中国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10"/>
              </w:rPr>
              <w:t>合资)</w:t>
            </w:r>
          </w:p>
        </w:tc>
      </w:tr>
      <w:tr>
        <w:trPr>
          <w:trHeight w:val="1413" w:hRule="atLeast"/>
        </w:trPr>
        <w:tc>
          <w:tcPr>
            <w:tcW w:w="4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5"/>
              <w:rPr/>
            </w:pPr>
            <w:r>
              <w:rPr>
                <w:b/>
                <w:bCs/>
                <w:spacing w:val="-9"/>
              </w:rPr>
              <w:t>10</w:t>
            </w:r>
          </w:p>
        </w:tc>
        <w:tc>
          <w:tcPr>
            <w:tcW w:w="14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75"/>
              <w:rPr/>
            </w:pPr>
            <w:r>
              <w:rPr>
                <w:b/>
                <w:bCs/>
                <w:spacing w:val="-6"/>
              </w:rPr>
              <w:t>LIC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6"/>
              </w:rPr>
              <w:t>India</w:t>
            </w:r>
          </w:p>
        </w:tc>
        <w:tc>
          <w:tcPr>
            <w:tcW w:w="7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75" w:line="219" w:lineRule="auto"/>
              <w:rPr/>
            </w:pPr>
            <w:r>
              <w:rPr>
                <w:spacing w:val="-3"/>
              </w:rPr>
              <w:t>印度</w:t>
            </w:r>
          </w:p>
        </w:tc>
        <w:tc>
          <w:tcPr>
            <w:tcW w:w="16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74" w:line="220" w:lineRule="auto"/>
              <w:rPr/>
            </w:pPr>
            <w:r>
              <w:rPr>
                <w:b/>
                <w:bCs/>
              </w:rPr>
              <w:t>0.66万亿</w:t>
            </w:r>
          </w:p>
        </w:tc>
        <w:tc>
          <w:tcPr>
            <w:tcW w:w="13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5" w:line="224" w:lineRule="auto"/>
              <w:rPr/>
            </w:pPr>
            <w:r>
              <w:rPr>
                <w:b/>
                <w:bCs/>
                <w:spacing w:val="-3"/>
              </w:rPr>
              <w:t>A/A+</w:t>
            </w:r>
          </w:p>
        </w:tc>
        <w:tc>
          <w:tcPr>
            <w:tcW w:w="1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2"/>
              <w:spacing w:before="75" w:line="219" w:lineRule="auto"/>
              <w:rPr/>
            </w:pPr>
            <w:r>
              <w:rPr>
                <w:b/>
                <w:bCs/>
                <w:spacing w:val="3"/>
              </w:rPr>
              <w:t>高(~15%)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3"/>
              <w:spacing w:before="75" w:line="219" w:lineRule="auto"/>
              <w:rPr/>
            </w:pPr>
            <w:r>
              <w:rPr>
                <w:b/>
                <w:bCs/>
                <w:spacing w:val="-1"/>
              </w:rPr>
              <w:t>中等</w:t>
            </w:r>
          </w:p>
        </w:tc>
        <w:tc>
          <w:tcPr>
            <w:tcW w:w="14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29"/>
              <w:spacing w:before="305" w:line="292" w:lineRule="auto"/>
              <w:rPr/>
            </w:pPr>
            <w:r>
              <w:rPr>
                <w:b/>
                <w:bCs/>
                <w:spacing w:val="-5"/>
              </w:rPr>
              <w:t>低(专注印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16"/>
              </w:rPr>
              <w:t>度)</w:t>
            </w:r>
          </w:p>
        </w:tc>
      </w:tr>
    </w:tbl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98" w:line="18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详细分析报告</w:t>
      </w:r>
    </w:p>
    <w:p>
      <w:pPr>
        <w:spacing w:line="187" w:lineRule="auto"/>
        <w:sectPr>
          <w:type w:val="continuous"/>
          <w:pgSz w:w="12240" w:h="15840"/>
          <w:pgMar w:top="1113" w:right="1019" w:bottom="0" w:left="454" w:header="0" w:footer="0" w:gutter="0"/>
          <w:cols w:equalWidth="0" w:num="1">
            <w:col w:w="10766" w:space="0"/>
          </w:cols>
        </w:sectPr>
        <w:rPr>
          <w:sz w:val="30"/>
          <w:szCs w:val="30"/>
        </w:rPr>
      </w:pPr>
    </w:p>
    <w:p>
      <w:pPr>
        <w:pStyle w:val="BodyText"/>
        <w:ind w:right="40"/>
        <w:spacing w:before="50" w:line="313" w:lineRule="auto"/>
        <w:jc w:val="both"/>
        <w:rPr/>
      </w:pPr>
      <w:r>
        <w:rPr>
          <w:spacing w:val="11"/>
        </w:rPr>
        <w:t>全球保险行业资产总规模已超40万亿美元，20</w:t>
      </w:r>
      <w:r>
        <w:rPr>
          <w:spacing w:val="10"/>
        </w:rPr>
        <w:t>24年增长约3%,主要受金融市场回暖驱动。中国</w:t>
      </w:r>
      <w:r>
        <w:rPr/>
        <w:t xml:space="preserve"> </w:t>
      </w:r>
      <w:r>
        <w:rPr/>
        <w:t>作为最大新兴市场，保险深度和密度仍低，寿险和健康险需求爆发式增长，</w:t>
      </w:r>
      <w:r>
        <w:rPr>
          <w:spacing w:val="-1"/>
        </w:rPr>
        <w:t>推动本土公司快速扩</w:t>
      </w:r>
      <w:r>
        <w:rPr/>
        <w:t xml:space="preserve">  </w:t>
      </w:r>
      <w:r>
        <w:rPr>
          <w:spacing w:val="-2"/>
        </w:rPr>
        <w:t>张。以下从多个维度横向比较前十公司，并评估未来资产排名趋势。</w:t>
      </w:r>
    </w:p>
    <w:p>
      <w:pPr>
        <w:pStyle w:val="BodyText"/>
        <w:ind w:left="3"/>
        <w:spacing w:before="244" w:line="222" w:lineRule="auto"/>
        <w:rPr/>
      </w:pPr>
      <w:r>
        <w:rPr>
          <w:b/>
          <w:bCs/>
          <w:spacing w:val="-4"/>
        </w:rPr>
        <w:t>排名依据与整体格局</w:t>
      </w:r>
    </w:p>
    <w:p>
      <w:pPr>
        <w:pStyle w:val="BodyText"/>
        <w:spacing w:before="222" w:line="324" w:lineRule="auto"/>
        <w:jc w:val="both"/>
        <w:rPr/>
      </w:pPr>
      <w:r>
        <w:rPr>
          <w:spacing w:val="9"/>
        </w:rPr>
        <w:t>2026年初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66"/>
          <w:w w:val="101"/>
        </w:rPr>
        <w:t xml:space="preserve"> </w:t>
      </w:r>
      <w:r>
        <w:rPr>
          <w:rFonts w:ascii="Arial" w:hAnsi="Arial" w:eastAsia="Arial" w:cs="Arial"/>
        </w:rPr>
        <w:t>Best</w:t>
      </w:r>
      <w:r>
        <w:rPr>
          <w:spacing w:val="9"/>
        </w:rPr>
        <w:t>排名(基于2024年末非银行资产)显示，</w:t>
      </w:r>
      <w:r>
        <w:rPr>
          <w:spacing w:val="9"/>
        </w:rPr>
        <w:t xml:space="preserve"> </w:t>
      </w:r>
      <w:r>
        <w:rPr>
          <w:rFonts w:ascii="Arial" w:hAnsi="Arial" w:eastAsia="Arial" w:cs="Arial"/>
        </w:rPr>
        <w:t>Berkshire</w:t>
      </w:r>
      <w:r>
        <w:rPr>
          <w:rFonts w:ascii="Arial" w:hAnsi="Arial" w:eastAsia="Arial" w:cs="Arial"/>
          <w:spacing w:val="22"/>
          <w:w w:val="101"/>
        </w:rPr>
        <w:t xml:space="preserve">  </w:t>
      </w:r>
      <w:r>
        <w:rPr>
          <w:rFonts w:ascii="Arial" w:hAnsi="Arial" w:eastAsia="Arial" w:cs="Arial"/>
        </w:rPr>
        <w:t>Hathaway</w:t>
      </w:r>
      <w:r>
        <w:rPr>
          <w:spacing w:val="9"/>
        </w:rPr>
        <w:t>凭借投资组合</w:t>
      </w:r>
      <w:r>
        <w:rPr/>
        <w:t xml:space="preserve">  </w:t>
      </w:r>
      <w:r>
        <w:rPr>
          <w:spacing w:val="-3"/>
        </w:rPr>
        <w:t>和再保险业务首次登顶，超越长期领先的</w:t>
      </w:r>
      <w:r>
        <w:rPr>
          <w:rFonts w:ascii="SimSun" w:hAnsi="SimSun" w:eastAsia="SimSun" w:cs="SimSun"/>
          <w:spacing w:val="-3"/>
        </w:rPr>
        <w:t>Allianz。</w:t>
      </w:r>
      <w:r>
        <w:rPr>
          <w:spacing w:val="-3"/>
        </w:rPr>
        <w:t>中国</w:t>
      </w:r>
      <w:r>
        <w:rPr>
          <w:spacing w:val="-4"/>
        </w:rPr>
        <w:t>公司</w:t>
      </w:r>
      <w:r>
        <w:rPr>
          <w:rFonts w:ascii="SimSun" w:hAnsi="SimSun" w:eastAsia="SimSun" w:cs="SimSun"/>
          <w:spacing w:val="-4"/>
        </w:rPr>
        <w:t>China Life</w:t>
      </w:r>
      <w:r>
        <w:rPr>
          <w:spacing w:val="-4"/>
        </w:rPr>
        <w:t>和</w:t>
      </w:r>
      <w:r>
        <w:rPr>
          <w:rFonts w:ascii="SimSun" w:hAnsi="SimSun" w:eastAsia="SimSun" w:cs="SimSun"/>
          <w:spacing w:val="-4"/>
        </w:rPr>
        <w:t>Ping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rFonts w:ascii="SimSun" w:hAnsi="SimSun" w:eastAsia="SimSun" w:cs="SimSun"/>
          <w:spacing w:val="-4"/>
        </w:rPr>
        <w:t>An</w:t>
      </w:r>
      <w:r>
        <w:rPr>
          <w:spacing w:val="-4"/>
        </w:rPr>
        <w:t>紧随其后，反映</w:t>
      </w:r>
      <w:r>
        <w:rPr/>
        <w:t xml:space="preserve"> </w:t>
      </w:r>
      <w:r>
        <w:rPr>
          <w:spacing w:val="1"/>
        </w:rPr>
        <w:t>亚洲市场崛起。印度</w:t>
      </w:r>
      <w:r>
        <w:rPr>
          <w:rFonts w:ascii="Arial" w:hAnsi="Arial" w:eastAsia="Arial" w:cs="Arial"/>
        </w:rPr>
        <w:t>LIC</w:t>
      </w:r>
      <w:r>
        <w:rPr>
          <w:spacing w:val="1"/>
        </w:rPr>
        <w:t>也进入前十，体现新兴</w:t>
      </w:r>
      <w:r>
        <w:rPr/>
        <w:t>市场潜力。排名使用非银行资产标准，确保公平比</w:t>
      </w:r>
      <w:r>
        <w:rPr/>
        <w:t xml:space="preserve"> </w:t>
      </w:r>
      <w:r>
        <w:rPr>
          <w:spacing w:val="-3"/>
        </w:rPr>
        <w:t>较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(Ping</w:t>
      </w:r>
      <w:r>
        <w:rPr>
          <w:rFonts w:ascii="SimSun" w:hAnsi="SimSun" w:eastAsia="SimSun" w:cs="SimSun"/>
          <w:spacing w:val="98"/>
        </w:rPr>
        <w:t xml:space="preserve"> </w:t>
      </w:r>
      <w:r>
        <w:rPr>
          <w:rFonts w:ascii="SimSun" w:hAnsi="SimSun" w:eastAsia="SimSun" w:cs="SimSun"/>
          <w:spacing w:val="-3"/>
        </w:rPr>
        <w:t>An</w:t>
      </w:r>
      <w:r>
        <w:rPr>
          <w:spacing w:val="-3"/>
        </w:rPr>
        <w:t>总资产含银行超1.8万亿美元，但纯保险部分略低)。</w:t>
      </w:r>
    </w:p>
    <w:p>
      <w:pPr>
        <w:pStyle w:val="BodyText"/>
        <w:ind w:left="3"/>
        <w:spacing w:before="194" w:line="222" w:lineRule="auto"/>
        <w:rPr/>
      </w:pPr>
      <w:r>
        <w:rPr>
          <w:b/>
          <w:bCs/>
          <w:spacing w:val="-4"/>
        </w:rPr>
        <w:t>融资情况分析</w:t>
      </w:r>
    </w:p>
    <w:p>
      <w:pPr>
        <w:pStyle w:val="BodyText"/>
        <w:ind w:right="105"/>
        <w:spacing w:before="234" w:line="320" w:lineRule="auto"/>
        <w:rPr/>
      </w:pPr>
      <w:r>
        <w:rPr>
          <w:spacing w:val="1"/>
        </w:rPr>
        <w:t>顶级保险公司融资能力强，依赖高信用评级发行债券或吸引投资。大多数公司资本充足率远超监</w:t>
      </w:r>
      <w:r>
        <w:rPr>
          <w:spacing w:val="5"/>
        </w:rPr>
        <w:t xml:space="preserve"> </w:t>
      </w:r>
      <w:r>
        <w:rPr/>
        <w:t>管要求(如</w:t>
      </w:r>
      <w:r>
        <w:rPr>
          <w:rFonts w:ascii="SimSun" w:hAnsi="SimSun" w:eastAsia="SimSun" w:cs="SimSun"/>
        </w:rPr>
        <w:t>Solvency II</w:t>
      </w:r>
      <w:r>
        <w:rPr/>
        <w:t>或中国偿二代)。</w:t>
      </w:r>
      <w:r>
        <w:rPr>
          <w:rFonts w:ascii="SimSun" w:hAnsi="SimSun" w:eastAsia="SimSun" w:cs="SimSun"/>
        </w:rPr>
        <w:t>Berkshire</w:t>
      </w:r>
      <w:r>
        <w:rPr>
          <w:rFonts w:ascii="SimSun" w:hAnsi="SimSun" w:eastAsia="SimSun" w:cs="SimSun"/>
          <w:spacing w:val="86"/>
        </w:rPr>
        <w:t xml:space="preserve"> </w:t>
      </w:r>
      <w:r>
        <w:rPr>
          <w:rFonts w:ascii="SimSun" w:hAnsi="SimSun" w:eastAsia="SimSun" w:cs="SimSun"/>
        </w:rPr>
        <w:t>Hathaway</w:t>
      </w:r>
      <w:r>
        <w:rPr/>
        <w:t>浮存金优势突出，几</w:t>
      </w:r>
      <w:r>
        <w:rPr>
          <w:spacing w:val="-1"/>
        </w:rPr>
        <w:t>乎零成本融</w:t>
      </w:r>
    </w:p>
    <w:p>
      <w:pPr>
        <w:pStyle w:val="BodyText"/>
        <w:ind w:right="105"/>
        <w:spacing w:before="8" w:line="320" w:lineRule="auto"/>
        <w:rPr/>
      </w:pPr>
      <w:r>
        <w:rPr>
          <w:spacing w:val="-2"/>
        </w:rPr>
        <w:t>资；</w:t>
      </w:r>
      <w:r>
        <w:rPr>
          <w:rFonts w:ascii="SimSun" w:hAnsi="SimSun" w:eastAsia="SimSun" w:cs="SimSun"/>
          <w:spacing w:val="-2"/>
        </w:rPr>
        <w:t>Allianz</w:t>
      </w:r>
      <w:r>
        <w:rPr>
          <w:spacing w:val="-2"/>
        </w:rPr>
        <w:t>和</w:t>
      </w:r>
      <w:r>
        <w:rPr>
          <w:rFonts w:ascii="SimSun" w:hAnsi="SimSun" w:eastAsia="SimSun" w:cs="SimSun"/>
          <w:spacing w:val="-2"/>
        </w:rPr>
        <w:t>AXA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-2"/>
        </w:rPr>
        <w:t>欧洲债券市场活跃；中国公司受</w:t>
      </w:r>
      <w:r>
        <w:rPr>
          <w:spacing w:val="-3"/>
        </w:rPr>
        <w:t>益于国内低成本资金。整体而言，欧美公司融</w:t>
      </w:r>
      <w:r>
        <w:rPr/>
        <w:t xml:space="preserve"> </w:t>
      </w:r>
      <w:r>
        <w:rPr>
          <w:spacing w:val="-2"/>
        </w:rPr>
        <w:t>资成本略低，中国公司规模优势弥补。</w:t>
      </w:r>
    </w:p>
    <w:p>
      <w:pPr>
        <w:pStyle w:val="BodyText"/>
        <w:ind w:left="3"/>
        <w:spacing w:before="225" w:line="222" w:lineRule="auto"/>
        <w:rPr/>
      </w:pPr>
      <w:r>
        <w:rPr>
          <w:b/>
          <w:bCs/>
          <w:spacing w:val="1"/>
        </w:rPr>
        <w:t>信誉度评估</w:t>
      </w:r>
    </w:p>
    <w:p>
      <w:pPr>
        <w:pStyle w:val="BodyText"/>
        <w:spacing w:before="200" w:line="218" w:lineRule="auto"/>
        <w:rPr/>
      </w:pPr>
      <w:r>
        <w:rPr>
          <w:spacing w:val="-1"/>
        </w:rPr>
        <w:t>信誉度主要参考</w:t>
      </w:r>
      <w:r>
        <w:rPr>
          <w:rFonts w:ascii="SimSun" w:hAnsi="SimSun" w:eastAsia="SimSun" w:cs="SimSun"/>
          <w:spacing w:val="-1"/>
        </w:rPr>
        <w:t>AM  Best</w:t>
      </w:r>
      <w:r>
        <w:rPr>
          <w:spacing w:val="-1"/>
        </w:rPr>
        <w:t>财务实力评级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(FSR)  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S&amp;P/Moody'</w:t>
      </w:r>
      <w:r>
        <w:rPr>
          <w:rFonts w:ascii="SimSun" w:hAnsi="SimSun" w:eastAsia="SimSun" w:cs="SimSun"/>
          <w:spacing w:val="-2"/>
        </w:rPr>
        <w:t>s  </w:t>
      </w:r>
      <w:r>
        <w:rPr>
          <w:spacing w:val="-2"/>
        </w:rPr>
        <w:t>发行人评级。前十公司普遍在</w:t>
      </w:r>
    </w:p>
    <w:p>
      <w:pPr>
        <w:pStyle w:val="BodyText"/>
        <w:ind w:right="92"/>
        <w:spacing w:before="131" w:line="320" w:lineRule="auto"/>
        <w:rPr/>
      </w:pPr>
      <w:r>
        <w:rPr>
          <w:rFonts w:ascii="SimSun" w:hAnsi="SimSun" w:eastAsia="SimSun" w:cs="SimSun"/>
        </w:rPr>
        <w:t>A+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至</w:t>
      </w:r>
      <w:r>
        <w:rPr>
          <w:rFonts w:ascii="SimSun" w:hAnsi="SimSun" w:eastAsia="SimSun" w:cs="SimSun"/>
        </w:rPr>
        <w:t>A++ </w:t>
      </w:r>
      <w:r>
        <w:rPr/>
        <w:t>区间，表明优秀偿付能力和低违约风险。具</w:t>
      </w:r>
      <w:r>
        <w:rPr>
          <w:spacing w:val="-1"/>
        </w:rPr>
        <w:t>体如</w:t>
      </w:r>
      <w:r>
        <w:rPr>
          <w:rFonts w:ascii="SimSun" w:hAnsi="SimSun" w:eastAsia="SimSun" w:cs="SimSun"/>
          <w:spacing w:val="-1"/>
        </w:rPr>
        <w:t>Berkshire</w:t>
      </w:r>
      <w:r>
        <w:rPr>
          <w:spacing w:val="-1"/>
        </w:rPr>
        <w:t>子公司</w:t>
      </w:r>
      <w:r>
        <w:rPr>
          <w:rFonts w:ascii="SimSun" w:hAnsi="SimSun" w:eastAsia="SimSun" w:cs="SimSun"/>
          <w:spacing w:val="-1"/>
        </w:rPr>
        <w:t>A++,Allianz   A+,</w:t>
      </w:r>
      <w:r>
        <w:rPr>
          <w:spacing w:val="-1"/>
        </w:rPr>
        <w:t>中</w:t>
      </w:r>
      <w:r>
        <w:rPr/>
        <w:t xml:space="preserve"> </w:t>
      </w:r>
      <w:r>
        <w:rPr>
          <w:spacing w:val="3"/>
        </w:rPr>
        <w:t>国公司</w:t>
      </w:r>
      <w:r>
        <w:rPr>
          <w:rFonts w:ascii="SimSun" w:hAnsi="SimSun" w:eastAsia="SimSun" w:cs="SimSun"/>
          <w:spacing w:val="3"/>
        </w:rPr>
        <w:t>A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3"/>
        </w:rPr>
        <w:t>级(受国家主权影响)。无重大负面事件，整体信</w:t>
      </w:r>
      <w:r>
        <w:rPr>
          <w:spacing w:val="2"/>
        </w:rPr>
        <w:t>誉极高。</w:t>
      </w:r>
    </w:p>
    <w:p>
      <w:pPr>
        <w:pStyle w:val="BodyText"/>
        <w:ind w:left="3"/>
        <w:spacing w:before="235" w:line="222" w:lineRule="auto"/>
        <w:rPr/>
      </w:pPr>
      <w:r>
        <w:rPr>
          <w:b/>
          <w:bCs/>
          <w:spacing w:val="-4"/>
        </w:rPr>
        <w:t>过去五年增长幅度</w:t>
      </w:r>
    </w:p>
    <w:p>
      <w:pPr>
        <w:pStyle w:val="BodyText"/>
        <w:ind w:right="20"/>
        <w:spacing w:before="205" w:line="321" w:lineRule="auto"/>
        <w:rPr/>
      </w:pPr>
      <w:r>
        <w:rPr>
          <w:spacing w:val="13"/>
        </w:rPr>
        <w:t>2020-2025年，全球保险资产增长约20-30%,但分化明显。中国市</w:t>
      </w:r>
      <w:r>
        <w:rPr>
          <w:spacing w:val="12"/>
        </w:rPr>
        <w:t>场受益于老龄化、中产扩大</w:t>
      </w:r>
      <w:r>
        <w:rPr/>
        <w:t xml:space="preserve"> </w:t>
      </w:r>
      <w:r>
        <w:rPr>
          <w:spacing w:val="4"/>
        </w:rPr>
        <w:t>和政策支持，</w:t>
      </w:r>
      <w:r>
        <w:rPr>
          <w:rFonts w:ascii="SimSun" w:hAnsi="SimSun" w:eastAsia="SimSun" w:cs="SimSun"/>
        </w:rPr>
        <w:t>Ping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</w:rPr>
        <w:t>An</w:t>
      </w:r>
      <w:r>
        <w:rPr>
          <w:spacing w:val="4"/>
        </w:rPr>
        <w:t>总资产从约10万亿人民币增至13万亿以上，复合增长超20%;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</w:rPr>
        <w:t>China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Life  </w:t>
      </w:r>
      <w:r>
        <w:rPr>
          <w:spacing w:val="6"/>
        </w:rPr>
        <w:t>类似高增长。欧美公司受低利率和成熟市场影响，增长5-10%(如</w:t>
      </w:r>
      <w:r>
        <w:rPr>
          <w:rFonts w:ascii="SimSun" w:hAnsi="SimSun" w:eastAsia="SimSun" w:cs="SimSun"/>
        </w:rPr>
        <w:t>Prudential</w:t>
      </w:r>
      <w:r>
        <w:rPr>
          <w:rFonts w:ascii="SimSun" w:hAnsi="SimSun" w:eastAsia="SimSun" w:cs="SimSun"/>
          <w:spacing w:val="6"/>
        </w:rPr>
        <w:t xml:space="preserve"> 6.9%</w:t>
      </w:r>
      <w:r>
        <w:rPr>
          <w:spacing w:val="6"/>
        </w:rPr>
        <w:t>单年</w:t>
      </w:r>
      <w:r>
        <w:rPr>
          <w:spacing w:val="5"/>
        </w:rPr>
        <w:t>增长)。</w:t>
      </w:r>
    </w:p>
    <w:p>
      <w:pPr>
        <w:pStyle w:val="BodyText"/>
        <w:spacing w:before="7" w:line="213" w:lineRule="auto"/>
        <w:rPr/>
      </w:pPr>
      <w:r>
        <w:rPr>
          <w:spacing w:val="2"/>
        </w:rPr>
        <w:t>印度</w:t>
      </w:r>
      <w:r>
        <w:rPr>
          <w:rFonts w:ascii="Arial" w:hAnsi="Arial" w:eastAsia="Arial" w:cs="Arial"/>
        </w:rPr>
        <w:t>LIC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2"/>
        </w:rPr>
        <w:t>增长15%左右。总体，中国公司增长幅度领先。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/>
      </w:pPr>
      <w:r>
        <w:rPr>
          <w:b/>
          <w:bCs/>
          <w:spacing w:val="-5"/>
        </w:rPr>
        <w:t>实际分红情况</w:t>
      </w:r>
    </w:p>
    <w:p>
      <w:pPr>
        <w:pStyle w:val="BodyText"/>
        <w:ind w:right="53"/>
        <w:spacing w:before="232" w:line="319" w:lineRule="auto"/>
        <w:jc w:val="both"/>
        <w:rPr/>
      </w:pPr>
      <w:r>
        <w:rPr>
          <w:spacing w:val="1"/>
        </w:rPr>
        <w:t>上市公司多提供稳定股息，吸引收入型投资者。</w:t>
      </w:r>
      <w:r>
        <w:rPr>
          <w:rFonts w:ascii="SimSun" w:hAnsi="SimSun" w:eastAsia="SimSun" w:cs="SimSun"/>
        </w:rPr>
        <w:t>Allianz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</w:rPr>
        <w:t>Legal</w:t>
      </w:r>
      <w:r>
        <w:rPr>
          <w:rFonts w:ascii="SimSun" w:hAnsi="SimSun" w:eastAsia="SimSun" w:cs="SimSun"/>
          <w:spacing w:val="1"/>
        </w:rPr>
        <w:t xml:space="preserve">  &amp;</w:t>
      </w:r>
      <w:r>
        <w:rPr>
          <w:rFonts w:ascii="SimSun" w:hAnsi="SimSun" w:eastAsia="SimSun" w:cs="SimSun"/>
        </w:rPr>
        <w:t>General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</w:rPr>
        <w:t>AXA</w:t>
      </w:r>
      <w:r>
        <w:rPr>
          <w:spacing w:val="1"/>
        </w:rPr>
        <w:t>和</w:t>
      </w:r>
      <w:r>
        <w:rPr>
          <w:rFonts w:ascii="SimSun" w:hAnsi="SimSun" w:eastAsia="SimSun" w:cs="SimSun"/>
        </w:rPr>
        <w:t>MetLife</w:t>
      </w:r>
      <w:r>
        <w:rPr>
          <w:spacing w:val="1"/>
        </w:rPr>
        <w:t>收益</w:t>
      </w:r>
      <w:r>
        <w:rPr>
          <w:spacing w:val="11"/>
        </w:rPr>
        <w:t xml:space="preserve"> </w:t>
      </w:r>
      <w:r>
        <w:rPr>
          <w:spacing w:val="12"/>
        </w:rPr>
        <w:t>率较高(4-5%);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</w:rPr>
        <w:t>Prudential</w:t>
      </w:r>
      <w:r>
        <w:rPr>
          <w:spacing w:val="12"/>
        </w:rPr>
        <w:t>和</w:t>
      </w:r>
      <w:r>
        <w:rPr>
          <w:rFonts w:ascii="SimSun" w:hAnsi="SimSun" w:eastAsia="SimSun" w:cs="SimSun"/>
        </w:rPr>
        <w:t>Manulife</w:t>
      </w:r>
      <w:r>
        <w:rPr>
          <w:spacing w:val="12"/>
        </w:rPr>
        <w:t>约3-4%。中国公司如</w:t>
      </w:r>
      <w:r>
        <w:rPr>
          <w:rFonts w:ascii="SimSun" w:hAnsi="SimSun" w:eastAsia="SimSun" w:cs="SimSun"/>
        </w:rPr>
        <w:t>Ping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rFonts w:ascii="SimSun" w:hAnsi="SimSun" w:eastAsia="SimSun" w:cs="SimSun"/>
        </w:rPr>
        <w:t>An</w:t>
      </w:r>
      <w:r>
        <w:rPr>
          <w:spacing w:val="12"/>
        </w:rPr>
        <w:t>和</w:t>
      </w:r>
      <w:r>
        <w:rPr>
          <w:rFonts w:ascii="SimSun" w:hAnsi="SimSun" w:eastAsia="SimSun" w:cs="SimSun"/>
        </w:rPr>
        <w:t>China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</w:rPr>
        <w:t>Life</w:t>
      </w:r>
      <w:r>
        <w:rPr>
          <w:spacing w:val="12"/>
        </w:rPr>
        <w:t>派</w:t>
      </w:r>
      <w:r>
        <w:rPr>
          <w:spacing w:val="11"/>
        </w:rPr>
        <w:t>息中等但</w:t>
      </w:r>
      <w:r>
        <w:rPr/>
        <w:t xml:space="preserve">  </w:t>
      </w:r>
      <w:r>
        <w:rPr>
          <w:spacing w:val="8"/>
        </w:rPr>
        <w:t>增长中。</w:t>
      </w:r>
      <w:r>
        <w:rPr>
          <w:rFonts w:ascii="SimSun" w:hAnsi="SimSun" w:eastAsia="SimSun" w:cs="SimSun"/>
        </w:rPr>
        <w:t>Berkshire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</w:rPr>
        <w:t>Hathaway</w:t>
      </w:r>
      <w:r>
        <w:rPr>
          <w:spacing w:val="8"/>
        </w:rPr>
        <w:t>不分红，全额再投资；互助公司(如部分日本公司)以保单分红形</w:t>
      </w:r>
      <w:r>
        <w:rPr/>
        <w:t xml:space="preserve"> </w:t>
      </w:r>
      <w:r>
        <w:rPr>
          <w:spacing w:val="7"/>
        </w:rPr>
        <w:t>式回报。2025年互助公司如</w:t>
      </w:r>
      <w:r>
        <w:rPr>
          <w:rFonts w:ascii="SimSun" w:hAnsi="SimSun" w:eastAsia="SimSun" w:cs="SimSun"/>
        </w:rPr>
        <w:t>Northwestern</w:t>
      </w:r>
      <w:r>
        <w:rPr>
          <w:rFonts w:ascii="SimSun" w:hAnsi="SimSun" w:eastAsia="SimSun" w:cs="SimSun"/>
          <w:spacing w:val="107"/>
        </w:rPr>
        <w:t xml:space="preserve"> </w:t>
      </w:r>
      <w:r>
        <w:rPr>
          <w:rFonts w:ascii="SimSun" w:hAnsi="SimSun" w:eastAsia="SimSun" w:cs="SimSun"/>
        </w:rPr>
        <w:t>Mutual</w:t>
      </w:r>
      <w:r>
        <w:rPr>
          <w:spacing w:val="7"/>
        </w:rPr>
        <w:t>分红超90亿美元。</w:t>
      </w:r>
    </w:p>
    <w:p>
      <w:pPr>
        <w:pStyle w:val="BodyText"/>
        <w:ind w:left="3"/>
        <w:spacing w:before="220" w:line="221" w:lineRule="auto"/>
        <w:rPr/>
      </w:pPr>
      <w:r>
        <w:rPr>
          <w:b/>
          <w:bCs/>
          <w:spacing w:val="-1"/>
        </w:rPr>
        <w:t>未来在中国发展潜力</w:t>
      </w:r>
    </w:p>
    <w:p>
      <w:pPr>
        <w:spacing w:line="221" w:lineRule="auto"/>
        <w:sectPr>
          <w:pgSz w:w="12240" w:h="15840"/>
          <w:pgMar w:top="1238" w:right="1035" w:bottom="0" w:left="970" w:header="0" w:footer="0" w:gutter="0"/>
        </w:sectPr>
        <w:rPr/>
      </w:pPr>
    </w:p>
    <w:p>
      <w:pPr>
        <w:pStyle w:val="BodyText"/>
        <w:ind w:right="25"/>
        <w:spacing w:before="48" w:line="316" w:lineRule="auto"/>
        <w:rPr/>
      </w:pPr>
      <w:r>
        <w:rPr>
          <w:spacing w:val="7"/>
        </w:rPr>
        <w:t>中国保险市场2025年规模超1万亿美元，预计2026-2030寿险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7"/>
        </w:rPr>
        <w:t xml:space="preserve">   7.9%,</w:t>
      </w:r>
      <w:r>
        <w:rPr>
          <w:spacing w:val="7"/>
        </w:rPr>
        <w:t>总保费增长至1.14万</w:t>
      </w:r>
      <w:r>
        <w:rPr>
          <w:spacing w:val="11"/>
        </w:rPr>
        <w:t xml:space="preserve"> </w:t>
      </w:r>
      <w:r>
        <w:rPr>
          <w:spacing w:val="17"/>
        </w:rPr>
        <w:t>亿美元。渗透率低(约4%)提供巨大空间。本土公司</w:t>
      </w:r>
      <w:r>
        <w:rPr>
          <w:rFonts w:ascii="SimSun" w:hAnsi="SimSun" w:eastAsia="SimSun" w:cs="SimSun"/>
        </w:rPr>
        <w:t>Ping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</w:rPr>
        <w:t>An</w:t>
      </w:r>
      <w:r>
        <w:rPr>
          <w:spacing w:val="17"/>
        </w:rPr>
        <w:t>和</w:t>
      </w:r>
      <w:r>
        <w:rPr>
          <w:rFonts w:ascii="SimSun" w:hAnsi="SimSun" w:eastAsia="SimSun" w:cs="SimSun"/>
        </w:rPr>
        <w:t>China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</w:rPr>
        <w:t>Life</w:t>
      </w:r>
      <w:r>
        <w:rPr>
          <w:spacing w:val="17"/>
        </w:rPr>
        <w:t>市场份额超30%,科</w:t>
      </w:r>
      <w:r>
        <w:rPr/>
        <w:t xml:space="preserve"> </w:t>
      </w:r>
      <w:r>
        <w:rPr>
          <w:spacing w:val="9"/>
        </w:rPr>
        <w:t>技</w:t>
      </w:r>
      <w:r>
        <w:rPr>
          <w:spacing w:val="9"/>
        </w:rPr>
        <w:t xml:space="preserve"> </w:t>
      </w:r>
      <w:r>
        <w:rPr>
          <w:spacing w:val="9"/>
        </w:rPr>
        <w:t>(</w:t>
      </w:r>
      <w:r>
        <w:rPr>
          <w:spacing w:val="-38"/>
        </w:rPr>
        <w:t xml:space="preserve"> </w:t>
      </w:r>
      <w:r>
        <w:rPr>
          <w:spacing w:val="9"/>
        </w:rPr>
        <w:t>如</w:t>
      </w:r>
      <w:r>
        <w:rPr>
          <w:rFonts w:ascii="Times New Roman" w:hAnsi="Times New Roman" w:eastAsia="Times New Roman" w:cs="Times New Roman"/>
        </w:rPr>
        <w:t>Ping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An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</w:rPr>
        <w:t>fintech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9"/>
        </w:rPr>
        <w:t>和渠道优势显著。外国公司总体份额&lt;10%,主要通过合资(如</w:t>
      </w:r>
    </w:p>
    <w:p>
      <w:pPr>
        <w:pStyle w:val="BodyText"/>
        <w:ind w:right="146"/>
        <w:spacing w:before="37" w:line="312" w:lineRule="auto"/>
        <w:rPr/>
      </w:pPr>
      <w:r>
        <w:rPr>
          <w:rFonts w:ascii="SimSun" w:hAnsi="SimSun" w:eastAsia="SimSun" w:cs="SimSun"/>
          <w:spacing w:val="-1"/>
        </w:rPr>
        <w:t>Allianz、AXA、MetLife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与中国伙伴合作),增长受限监管和竞争。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Manulife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Prude</w:t>
      </w:r>
      <w:r>
        <w:rPr>
          <w:rFonts w:ascii="SimSun" w:hAnsi="SimSun" w:eastAsia="SimSun" w:cs="SimSun"/>
          <w:spacing w:val="-2"/>
        </w:rPr>
        <w:t>ntial</w:t>
      </w:r>
      <w:r>
        <w:rPr>
          <w:spacing w:val="-2"/>
        </w:rPr>
        <w:t>亚洲布</w:t>
      </w:r>
      <w:r>
        <w:rPr/>
        <w:t xml:space="preserve"> </w:t>
      </w:r>
      <w:r>
        <w:rPr/>
        <w:t>局较好，但仍难挑战本土巨头。</w:t>
      </w:r>
      <w:r>
        <w:rPr>
          <w:rFonts w:ascii="SimSun" w:hAnsi="SimSun" w:eastAsia="SimSun" w:cs="SimSun"/>
        </w:rPr>
        <w:t>Berkshire</w:t>
      </w:r>
      <w:r>
        <w:rPr/>
        <w:t>和</w:t>
      </w:r>
      <w:r>
        <w:rPr>
          <w:rFonts w:ascii="SimSun" w:hAnsi="SimSun" w:eastAsia="SimSun" w:cs="SimSun"/>
        </w:rPr>
        <w:t>LIC</w:t>
      </w:r>
      <w:r>
        <w:rPr/>
        <w:t>无直</w:t>
      </w:r>
      <w:r>
        <w:rPr>
          <w:spacing w:val="-1"/>
        </w:rPr>
        <w:t>接中国业务，潜力低。</w:t>
      </w:r>
    </w:p>
    <w:p>
      <w:pPr>
        <w:pStyle w:val="BodyText"/>
        <w:ind w:left="3"/>
        <w:spacing w:before="225" w:line="222" w:lineRule="auto"/>
        <w:rPr/>
      </w:pPr>
      <w:r>
        <w:rPr>
          <w:b/>
          <w:bCs/>
          <w:spacing w:val="-4"/>
        </w:rPr>
        <w:t>未来资产排名评估</w:t>
      </w:r>
    </w:p>
    <w:p>
      <w:pPr>
        <w:pStyle w:val="BodyText"/>
        <w:ind w:right="11"/>
        <w:spacing w:before="212" w:line="317" w:lineRule="auto"/>
        <w:rPr/>
      </w:pPr>
      <w:r>
        <w:rPr>
          <w:spacing w:val="-2"/>
        </w:rPr>
        <w:t>考虑到中国市场高速增长(远超欧美成熟市场)、人口红利和数字化转型，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Ping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An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Insurance</w:t>
      </w:r>
      <w:r>
        <w:rPr>
          <w:b/>
          <w:bCs/>
          <w:spacing w:val="-2"/>
        </w:rPr>
        <w:t>最</w:t>
      </w:r>
      <w:r>
        <w:rPr/>
        <w:t xml:space="preserve">  </w:t>
      </w:r>
      <w:r>
        <w:rPr>
          <w:spacing w:val="6"/>
        </w:rPr>
        <w:t>有可能成为未来资产首位：其综合金融模式(保险+银行+科技)总资产已超1.8万亿美元，增长势</w:t>
      </w:r>
      <w:r>
        <w:rPr/>
        <w:t xml:space="preserve"> </w:t>
      </w:r>
      <w:r>
        <w:rPr>
          <w:spacing w:val="-2"/>
        </w:rPr>
        <w:t>头强劲。</w:t>
      </w:r>
      <w:r>
        <w:rPr>
          <w:rFonts w:ascii="SimSun" w:hAnsi="SimSun" w:eastAsia="SimSun" w:cs="SimSun"/>
          <w:b/>
          <w:bCs/>
          <w:spacing w:val="-2"/>
        </w:rPr>
        <w:t>China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Life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Insurance</w:t>
      </w:r>
      <w:r>
        <w:rPr>
          <w:b/>
          <w:bCs/>
          <w:spacing w:val="-2"/>
        </w:rPr>
        <w:t>位</w:t>
      </w:r>
      <w:r>
        <w:rPr>
          <w:spacing w:val="-2"/>
        </w:rPr>
        <w:t>列第二，凭借寿险垄断地位和国家支持，将持续扩大。</w:t>
      </w:r>
    </w:p>
    <w:p>
      <w:pPr>
        <w:pStyle w:val="BodyText"/>
        <w:spacing w:before="4" w:line="323" w:lineRule="auto"/>
        <w:rPr/>
      </w:pPr>
      <w:r>
        <w:rPr>
          <w:rFonts w:ascii="Times New Roman" w:hAnsi="Times New Roman" w:eastAsia="Times New Roman" w:cs="Times New Roman"/>
          <w:b/>
          <w:bCs/>
        </w:rPr>
        <w:t>Berkshire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  </w:t>
      </w:r>
      <w:r>
        <w:rPr>
          <w:rFonts w:ascii="Times New Roman" w:hAnsi="Times New Roman" w:eastAsia="Times New Roman" w:cs="Times New Roman"/>
          <w:b/>
          <w:bCs/>
        </w:rPr>
        <w:t>Hathaway</w:t>
      </w:r>
      <w:r>
        <w:rPr>
          <w:b/>
          <w:bCs/>
        </w:rPr>
        <w:t>可</w:t>
      </w:r>
      <w:r>
        <w:rPr/>
        <w:t>能维持前三，凭借稳定投资回报，但增长速度或被中国公司超越。其他如</w:t>
      </w:r>
      <w:r>
        <w:rPr/>
        <w:t xml:space="preserve"> </w:t>
      </w:r>
      <w:r>
        <w:rPr>
          <w:rFonts w:ascii="Arial" w:hAnsi="Arial" w:eastAsia="Arial" w:cs="Arial"/>
        </w:rPr>
        <w:t>Allianz</w:t>
      </w:r>
      <w:r>
        <w:rPr>
          <w:spacing w:val="1"/>
        </w:rPr>
        <w:t>和</w:t>
      </w:r>
      <w:r>
        <w:rPr>
          <w:rFonts w:ascii="Arial" w:hAnsi="Arial" w:eastAsia="Arial" w:cs="Arial"/>
        </w:rPr>
        <w:t>AXA</w:t>
      </w:r>
      <w:r>
        <w:rPr>
          <w:spacing w:val="1"/>
        </w:rPr>
        <w:t>欧洲强势，但中国潜力有限；</w:t>
      </w:r>
      <w:r>
        <w:rPr>
          <w:rFonts w:ascii="Arial" w:hAnsi="Arial" w:eastAsia="Arial" w:cs="Arial"/>
        </w:rPr>
        <w:t>LIC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India</w:t>
      </w:r>
      <w:r>
        <w:rPr>
          <w:spacing w:val="1"/>
        </w:rPr>
        <w:t>依赖印度市场增长，或</w:t>
      </w:r>
      <w:r>
        <w:rPr/>
        <w:t>进入前五。总体，证</w:t>
      </w:r>
      <w:r>
        <w:rPr/>
        <w:t xml:space="preserve"> </w:t>
      </w:r>
      <w:r>
        <w:rPr>
          <w:spacing w:val="9"/>
        </w:rPr>
        <w:t>据显示亚洲(尤其是中国)公司将在未来5-10年主导资产排名。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0"/>
        </w:rPr>
        <w:t>Key Citations</w:t>
      </w:r>
    </w:p>
    <w:p>
      <w:pPr>
        <w:ind w:left="518" w:right="474" w:hanging="159"/>
        <w:spacing w:before="200" w:line="32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·AM  Best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via  Reinsurance  News:World's  Largest  Insurance  Companies  by  Net  Non-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Banking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Assets(2024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Year-End)</w:t>
      </w:r>
    </w:p>
    <w:p>
      <w:pPr>
        <w:ind w:left="359"/>
        <w:spacing w:before="2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·Insurance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Business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Mag:Berkshire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Hath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away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Overtakes  Allianz(2026   Report)</w:t>
      </w:r>
    </w:p>
    <w:p>
      <w:pPr>
        <w:ind w:left="35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·Beinsure.com:Top  25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Insurance  Companies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by  Assets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2026</w:t>
      </w:r>
    </w:p>
    <w:p>
      <w:pPr>
        <w:ind w:left="359"/>
        <w:spacing w:before="2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1"/>
        </w:rPr>
        <w:t>·GlobalData:China</w:t>
      </w:r>
      <w:r>
        <w:rPr>
          <w:rFonts w:ascii="Arial" w:hAnsi="Arial" w:eastAsia="Arial" w:cs="Arial"/>
          <w:sz w:val="24"/>
          <w:szCs w:val="24"/>
          <w:spacing w:val="20"/>
          <w:w w:val="101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Li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fe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Insurance</w:t>
      </w:r>
      <w:r>
        <w:rPr>
          <w:rFonts w:ascii="Arial" w:hAnsi="Arial" w:eastAsia="Arial" w:cs="Arial"/>
          <w:sz w:val="24"/>
          <w:szCs w:val="24"/>
          <w:spacing w:val="20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Market</w:t>
      </w:r>
      <w:r>
        <w:rPr>
          <w:rFonts w:ascii="Arial" w:hAnsi="Arial" w:eastAsia="Arial" w:cs="Arial"/>
          <w:sz w:val="24"/>
          <w:szCs w:val="24"/>
          <w:spacing w:val="18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CAGR</w:t>
      </w:r>
      <w:r>
        <w:rPr>
          <w:rFonts w:ascii="Arial" w:hAnsi="Arial" w:eastAsia="Arial" w:cs="Arial"/>
          <w:sz w:val="24"/>
          <w:szCs w:val="24"/>
          <w:spacing w:val="21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Forecast  2026-2030</w:t>
      </w:r>
    </w:p>
    <w:p>
      <w:pPr>
        <w:ind w:left="359"/>
        <w:spacing w:before="20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·S&amp;P  Global  and  Statista:Insurance  Mark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et  Growth</w:t>
      </w:r>
      <w:r>
        <w:rPr>
          <w:rFonts w:ascii="Arial" w:hAnsi="Arial" w:eastAsia="Arial" w:cs="Arial"/>
          <w:sz w:val="24"/>
          <w:szCs w:val="24"/>
          <w:spacing w:val="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Ratings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Insights</w:t>
      </w:r>
    </w:p>
    <w:p>
      <w:pPr>
        <w:ind w:left="359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·Ping  An  Official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Reports:Total  Assets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2025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Updat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es</w:t>
      </w:r>
    </w:p>
    <w:sectPr>
      <w:pgSz w:w="12240" w:h="15840"/>
      <w:pgMar w:top="1218" w:right="101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2026-03-15T23:59:31</vt:filetime>
  </property>
  <property fmtid="{D5CDD505-2E9C-101B-9397-08002B2CF9AE}" pid="4" name="UsrData">
    <vt:lpwstr>69b6d7601ac7a6001fbdaeb3wl</vt:lpwstr>
  </property>
</Properties>
</file>