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9" w:line="217" w:lineRule="auto"/>
        <w:rPr/>
      </w:pPr>
      <w:r>
        <w:rPr>
          <w:b/>
          <w:bCs/>
          <w:spacing w:val="-2"/>
        </w:rPr>
        <w:t>近10年国际自来水企业技术创新产业化</w:t>
      </w:r>
      <w:r>
        <w:rPr>
          <w:rFonts w:ascii="SimSun" w:hAnsi="SimSun" w:eastAsia="SimSun" w:cs="SimSun"/>
          <w:b/>
          <w:bCs/>
          <w:spacing w:val="-2"/>
        </w:rPr>
        <w:t>Top10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b/>
          <w:bCs/>
          <w:spacing w:val="-2"/>
        </w:rPr>
        <w:t>成果研判及对我国的</w:t>
      </w:r>
      <w:r>
        <w:rPr>
          <w:b/>
          <w:bCs/>
          <w:spacing w:val="-3"/>
        </w:rPr>
        <w:t>战略启示</w:t>
      </w:r>
    </w:p>
    <w:p>
      <w:pPr>
        <w:pStyle w:val="BodyText"/>
        <w:ind w:left="3"/>
        <w:spacing w:before="202" w:line="221" w:lineRule="auto"/>
        <w:rPr/>
      </w:pPr>
      <w:r>
        <w:rPr>
          <w:b/>
          <w:bCs/>
          <w:spacing w:val="-5"/>
        </w:rPr>
        <w:t>国家级水务产业智库高级研究员</w:t>
      </w:r>
    </w:p>
    <w:p>
      <w:pPr>
        <w:pStyle w:val="BodyText"/>
        <w:ind w:left="3"/>
        <w:spacing w:before="195" w:line="223" w:lineRule="auto"/>
        <w:rPr/>
      </w:pPr>
      <w:r>
        <w:rPr>
          <w:b/>
          <w:bCs/>
          <w:spacing w:val="6"/>
        </w:rPr>
        <w:t>报告撰写日期：2026年1月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6"/>
        </w:rPr>
        <w:t>第一章引言</w:t>
      </w:r>
    </w:p>
    <w:p>
      <w:pPr>
        <w:pStyle w:val="BodyText"/>
        <w:ind w:left="3"/>
        <w:spacing w:before="187" w:line="221" w:lineRule="auto"/>
        <w:outlineLvl w:val="3"/>
        <w:rPr/>
      </w:pPr>
      <w:r>
        <w:rPr>
          <w:b/>
          <w:bCs/>
          <w:spacing w:val="4"/>
        </w:rPr>
        <w:t>第一节研究背景与意义</w:t>
      </w:r>
    </w:p>
    <w:p>
      <w:pPr>
        <w:pStyle w:val="BodyText"/>
        <w:spacing w:before="237" w:line="325" w:lineRule="auto"/>
        <w:rPr/>
      </w:pPr>
      <w:r>
        <w:rPr>
          <w:spacing w:val="6"/>
        </w:rPr>
        <w:t>据联合国教科文组织《2024年联合国世界水发展报告》指出，全球约20-30亿人面临不同程度的</w:t>
      </w:r>
      <w:r>
        <w:rPr>
          <w:spacing w:val="3"/>
        </w:rPr>
        <w:t xml:space="preserve"> </w:t>
      </w:r>
      <w:r>
        <w:rPr>
          <w:spacing w:val="5"/>
        </w:rPr>
        <w:t>缺水困境，水资源管理正处于从传统供给向可持续、智慧化转型的关键期。近十年(2015-</w:t>
      </w:r>
    </w:p>
    <w:p>
      <w:pPr>
        <w:pStyle w:val="BodyText"/>
        <w:ind w:right="59"/>
        <w:spacing w:line="332" w:lineRule="auto"/>
        <w:rPr/>
      </w:pPr>
      <w:r>
        <w:rPr>
          <w:spacing w:val="7"/>
        </w:rPr>
        <w:t>2025),国际自来水企业与水务技术公司通过先进氧化工艺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Advanced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</w:rPr>
        <w:t>Oxidation</w:t>
      </w:r>
      <w:r>
        <w:rPr>
          <w:rFonts w:ascii="Arial" w:hAnsi="Arial" w:eastAsia="Arial" w:cs="Arial"/>
          <w:spacing w:val="7"/>
        </w:rPr>
        <w:t xml:space="preserve">    </w:t>
      </w:r>
      <w:r>
        <w:rPr>
          <w:rFonts w:ascii="Arial" w:hAnsi="Arial" w:eastAsia="Arial" w:cs="Arial"/>
        </w:rPr>
        <w:t>Processes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</w:rPr>
        <w:t>AOPs</w:t>
      </w:r>
      <w:r>
        <w:rPr>
          <w:rFonts w:ascii="SimSun" w:hAnsi="SimSun" w:eastAsia="SimSun" w:cs="SimSun"/>
          <w:spacing w:val="1"/>
        </w:rPr>
        <w:t>,  </w:t>
      </w:r>
      <w:r>
        <w:rPr>
          <w:spacing w:val="1"/>
        </w:rPr>
        <w:t>指利用臭氧、过氧化氢、紫外光等产生羟基自由基降解有机污染物</w:t>
      </w:r>
      <w:r>
        <w:rPr/>
        <w:t>的深度氧化技术)、膜</w:t>
      </w:r>
      <w:r>
        <w:rPr/>
        <w:t xml:space="preserve"> </w:t>
      </w:r>
      <w:r>
        <w:rPr/>
        <w:t>技术、智慧水务等领域的突破性创新，显著提升了供水安全、经</w:t>
      </w:r>
      <w:r>
        <w:rPr>
          <w:spacing w:val="-1"/>
        </w:rPr>
        <w:t>济效益与环境可持续性。</w:t>
      </w:r>
    </w:p>
    <w:p>
      <w:pPr>
        <w:pStyle w:val="BodyText"/>
        <w:ind w:right="126"/>
        <w:spacing w:before="11" w:line="329" w:lineRule="auto"/>
        <w:tabs>
          <w:tab w:val="left" w:pos="170"/>
        </w:tabs>
        <w:rPr/>
      </w:pPr>
      <w:r>
        <w:rPr>
          <w:spacing w:val="7"/>
        </w:rPr>
        <w:t>本报告聚焦近十年已实现规模化产业化(商业</w:t>
      </w:r>
      <w:r>
        <w:rPr>
          <w:spacing w:val="6"/>
        </w:rPr>
        <w:t>化应用、经济收益显著)的十大成果，旨在为我国</w:t>
      </w:r>
      <w:r>
        <w:rPr/>
        <w:t xml:space="preserve"> </w:t>
      </w:r>
      <w:r>
        <w:rPr/>
        <w:t>水务企业提供战略借鉴。研究强调，在一定程度上，这些国际成果已证明其产业化应用经济收益</w:t>
      </w:r>
      <w:r>
        <w:rPr>
          <w:spacing w:val="17"/>
        </w:rPr>
        <w:t xml:space="preserve"> </w:t>
      </w:r>
      <w:r>
        <w:rPr/>
        <w:tab/>
      </w:r>
      <w:r>
        <w:rPr>
          <w:spacing w:val="3"/>
        </w:rPr>
        <w:t>(指技术从实验室到商业部署后产生的净现值、内部收益率</w:t>
      </w:r>
      <w:r>
        <w:rPr>
          <w:rFonts w:ascii="SimSun" w:hAnsi="SimSun" w:eastAsia="SimSun" w:cs="SimSun"/>
        </w:rPr>
        <w:t>IRR</w:t>
      </w:r>
      <w:r>
        <w:rPr>
          <w:spacing w:val="3"/>
        </w:rPr>
        <w:t>及全生命周期成本节约)的可行</w:t>
      </w:r>
      <w:r>
        <w:rPr>
          <w:spacing w:val="17"/>
        </w:rPr>
        <w:t xml:space="preserve"> </w:t>
      </w:r>
      <w:r>
        <w:rPr>
          <w:spacing w:val="-1"/>
        </w:rPr>
        <w:t>性，但也需注意到其潜在挑战，如高初始投资与本地化适应性。</w:t>
      </w:r>
    </w:p>
    <w:p>
      <w:pPr>
        <w:pStyle w:val="BodyText"/>
        <w:ind w:left="3"/>
        <w:spacing w:before="254" w:line="221" w:lineRule="auto"/>
        <w:outlineLvl w:val="3"/>
        <w:rPr/>
      </w:pPr>
      <w:r>
        <w:rPr>
          <w:b/>
          <w:bCs/>
          <w:spacing w:val="1"/>
        </w:rPr>
        <w:t>第二节研究方法与数据来源</w:t>
      </w:r>
    </w:p>
    <w:p>
      <w:pPr>
        <w:pStyle w:val="BodyText"/>
        <w:spacing w:before="215" w:line="213" w:lineRule="auto"/>
        <w:rPr/>
      </w:pPr>
      <w:r>
        <w:rPr/>
        <w:t>本报告采用多源数据交叉验证方法，主要依据世界银行水资源报告、联</w:t>
      </w:r>
      <w:r>
        <w:rPr>
          <w:spacing w:val="-1"/>
        </w:rPr>
        <w:t>合国水机制系列出版物、</w:t>
      </w:r>
    </w:p>
    <w:p>
      <w:pPr>
        <w:pStyle w:val="BodyText"/>
        <w:ind w:right="18"/>
        <w:spacing w:before="139" w:line="31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Global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</w:rPr>
        <w:t>Water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</w:rPr>
        <w:t>Awards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(全球水奖)历年获奖项目(2015-2</w:t>
      </w:r>
      <w:r>
        <w:rPr>
          <w:spacing w:val="6"/>
        </w:rPr>
        <w:t>025)、</w:t>
      </w:r>
      <w:r>
        <w:rPr>
          <w:spacing w:val="6"/>
        </w:rPr>
        <w:t xml:space="preserve"> </w:t>
      </w:r>
      <w:r>
        <w:rPr>
          <w:rFonts w:ascii="SimSun" w:hAnsi="SimSun" w:eastAsia="SimSun" w:cs="SimSun"/>
        </w:rPr>
        <w:t>StartUs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</w:rPr>
        <w:t>Insights</w:t>
      </w:r>
      <w:r>
        <w:rPr>
          <w:spacing w:val="6"/>
        </w:rPr>
        <w:t>水处理趋势</w:t>
      </w:r>
      <w:r>
        <w:rPr/>
        <w:t xml:space="preserve"> </w:t>
      </w:r>
      <w:r>
        <w:rPr>
          <w:spacing w:val="2"/>
        </w:rPr>
        <w:t>报告及</w:t>
      </w:r>
      <w:r>
        <w:rPr>
          <w:rFonts w:ascii="SimSun" w:hAnsi="SimSun" w:eastAsia="SimSun" w:cs="SimSun"/>
        </w:rPr>
        <w:t>Xylem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等权威机构分析。成果遴选标准包括：产业化规模(处理能力≥10万</w:t>
      </w:r>
      <w:r>
        <w:rPr>
          <w:rFonts w:ascii="SimSun" w:hAnsi="SimSun" w:eastAsia="SimSun" w:cs="SimSun"/>
          <w:spacing w:val="2"/>
        </w:rPr>
        <w:t>m³/</w:t>
      </w:r>
      <w:r>
        <w:rPr>
          <w:spacing w:val="2"/>
        </w:rPr>
        <w:t>日或覆盖百</w:t>
      </w:r>
      <w:r>
        <w:rPr>
          <w:spacing w:val="9"/>
        </w:rPr>
        <w:t xml:space="preserve"> </w:t>
      </w:r>
      <w:r>
        <w:rPr>
          <w:spacing w:val="-2"/>
        </w:rPr>
        <w:t>万级人口)、经济指标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(IRR≥8% </w:t>
      </w:r>
      <w:r>
        <w:rPr>
          <w:spacing w:val="-2"/>
        </w:rPr>
        <w:t>或显著降低运营成本)、技术成熟度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(TRL8-9)。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17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第二章近十年国际自来水企业技术创新产业化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Top10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sz w:val="30"/>
          <w:szCs w:val="30"/>
          <w:b/>
          <w:bCs/>
          <w:spacing w:val="-2"/>
        </w:rPr>
        <w:t>成果研判</w:t>
      </w:r>
    </w:p>
    <w:p>
      <w:pPr>
        <w:pStyle w:val="BodyText"/>
        <w:ind w:left="3"/>
        <w:spacing w:before="207" w:line="217" w:lineRule="auto"/>
        <w:outlineLvl w:val="3"/>
        <w:rPr/>
      </w:pPr>
      <w:r>
        <w:rPr>
          <w:b/>
          <w:bCs/>
          <w:spacing w:val="-5"/>
        </w:rPr>
        <w:t>第一节</w:t>
      </w:r>
      <w:r>
        <w:rPr>
          <w:spacing w:val="-49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Top10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b/>
          <w:bCs/>
          <w:spacing w:val="-5"/>
        </w:rPr>
        <w:t>成果总体概述</w:t>
      </w:r>
    </w:p>
    <w:p>
      <w:pPr>
        <w:pStyle w:val="BodyText"/>
        <w:ind w:right="56"/>
        <w:spacing w:before="188" w:line="316" w:lineRule="auto"/>
        <w:rPr>
          <w:rFonts w:ascii="SimSun" w:hAnsi="SimSun" w:eastAsia="SimSun" w:cs="SimSun"/>
        </w:rPr>
      </w:pPr>
      <w:r>
        <w:rPr/>
        <w:t>据</w:t>
      </w:r>
      <w:r>
        <w:rPr>
          <w:rFonts w:ascii="Times New Roman" w:hAnsi="Times New Roman" w:eastAsia="Times New Roman" w:cs="Times New Roman"/>
        </w:rPr>
        <w:t>Global   Water    Awards</w:t>
      </w:r>
      <w:r>
        <w:rPr/>
        <w:t>及</w:t>
      </w:r>
      <w:r>
        <w:rPr>
          <w:rFonts w:ascii="Times New Roman" w:hAnsi="Times New Roman" w:eastAsia="Times New Roman" w:cs="Times New Roman"/>
        </w:rPr>
        <w:t>StartUs       Insig</w:t>
      </w:r>
      <w:r>
        <w:rPr>
          <w:rFonts w:ascii="Times New Roman" w:hAnsi="Times New Roman" w:eastAsia="Times New Roman" w:cs="Times New Roman"/>
          <w:spacing w:val="-1"/>
        </w:rPr>
        <w:t>hts</w:t>
      </w:r>
      <w:r>
        <w:rPr>
          <w:spacing w:val="-1"/>
        </w:rPr>
        <w:t>综合评估，近十年最具代表性的产业化成果主要集</w:t>
      </w:r>
      <w:r>
        <w:rPr/>
        <w:t xml:space="preserve">  </w:t>
      </w:r>
      <w:r>
        <w:rPr/>
        <w:t>中在膜污染控制、高级氧化工艺、水力模型数字化孪生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(Digital    Twin,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/>
        <w:t>指通过实时传感器与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-1"/>
        </w:rPr>
        <w:t>I</w:t>
      </w:r>
      <w:r>
        <w:rPr>
          <w:spacing w:val="-1"/>
        </w:rPr>
        <w:t>构</w:t>
      </w:r>
      <w:r>
        <w:rPr/>
        <w:t xml:space="preserve"> </w:t>
      </w:r>
      <w:r>
        <w:rPr>
          <w:spacing w:val="3"/>
        </w:rPr>
        <w:t>建供水系统虚拟镜像，实现预测性运维的技术)及智慧水务中台等领域。这些成果通常而言已实</w:t>
      </w:r>
      <w:r>
        <w:rPr>
          <w:spacing w:val="18"/>
        </w:rPr>
        <w:t xml:space="preserve"> </w:t>
      </w:r>
      <w:r>
        <w:rPr>
          <w:spacing w:val="5"/>
        </w:rPr>
        <w:t>现正向现金流，并产生显著的</w:t>
      </w:r>
      <w:r>
        <w:rPr>
          <w:rFonts w:ascii="Times New Roman" w:hAnsi="Times New Roman" w:eastAsia="Times New Roman" w:cs="Times New Roman"/>
        </w:rPr>
        <w:t>ROI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(投资回报率)与</w:t>
      </w:r>
      <w:r>
        <w:rPr>
          <w:rFonts w:ascii="Times New Roman" w:hAnsi="Times New Roman" w:eastAsia="Times New Roman" w:cs="Times New Roman"/>
        </w:rPr>
        <w:t>IRR</w:t>
      </w:r>
      <w:r>
        <w:rPr>
          <w:rFonts w:ascii="SimSun" w:hAnsi="SimSun" w:eastAsia="SimSun" w:cs="SimSun"/>
          <w:spacing w:val="5"/>
        </w:rPr>
        <w:t>。</w:t>
      </w:r>
    </w:p>
    <w:p>
      <w:pPr>
        <w:pStyle w:val="BodyText"/>
        <w:ind w:left="3"/>
        <w:spacing w:before="277" w:line="217" w:lineRule="auto"/>
        <w:outlineLvl w:val="3"/>
        <w:rPr/>
      </w:pPr>
      <w:r>
        <w:rPr>
          <w:b/>
          <w:bCs/>
          <w:spacing w:val="-4"/>
        </w:rPr>
        <w:t>第二节</w:t>
      </w:r>
      <w:r>
        <w:rPr>
          <w:spacing w:val="-59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Top10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b/>
          <w:bCs/>
          <w:spacing w:val="-4"/>
        </w:rPr>
        <w:t>成果列表及核心特征</w:t>
      </w:r>
    </w:p>
    <w:p>
      <w:pPr>
        <w:pStyle w:val="BodyText"/>
        <w:ind w:right="213"/>
        <w:spacing w:before="222" w:line="321" w:lineRule="auto"/>
        <w:rPr/>
      </w:pPr>
      <w:r>
        <w:rPr>
          <w:spacing w:val="3"/>
        </w:rPr>
        <w:t>以下为基于权威奖项与市场报告遴选的</w:t>
      </w:r>
      <w:r>
        <w:rPr>
          <w:rFonts w:ascii="SimSun" w:hAnsi="SimSun" w:eastAsia="SimSun" w:cs="SimSun"/>
        </w:rPr>
        <w:t>Top</w:t>
      </w:r>
      <w:r>
        <w:rPr>
          <w:rFonts w:ascii="SimSun" w:hAnsi="SimSun" w:eastAsia="SimSun" w:cs="SimSun"/>
          <w:spacing w:val="3"/>
        </w:rPr>
        <w:t>10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3"/>
        </w:rPr>
        <w:t>成果(排序综合考</w:t>
      </w:r>
      <w:r>
        <w:rPr>
          <w:spacing w:val="2"/>
        </w:rPr>
        <w:t>虑经济规模、技术影响力及全球</w:t>
      </w:r>
      <w:r>
        <w:rPr/>
        <w:t xml:space="preserve"> </w:t>
      </w:r>
      <w:r>
        <w:rPr>
          <w:spacing w:val="6"/>
        </w:rPr>
        <w:t>推广度):</w:t>
      </w:r>
    </w:p>
    <w:p>
      <w:pPr>
        <w:spacing w:line="321" w:lineRule="auto"/>
        <w:sectPr>
          <w:pgSz w:w="12240" w:h="15840"/>
          <w:pgMar w:top="1141" w:right="1029" w:bottom="0" w:left="970" w:header="0" w:footer="0" w:gutter="0"/>
        </w:sectPr>
        <w:rPr/>
      </w:pPr>
    </w:p>
    <w:p>
      <w:pPr>
        <w:pStyle w:val="BodyText"/>
        <w:spacing w:before="49" w:line="217" w:lineRule="auto"/>
        <w:rPr/>
      </w:pPr>
      <w:r>
        <w:rPr>
          <w:b/>
          <w:bCs/>
          <w:spacing w:val="1"/>
        </w:rPr>
        <w:t>表1:近十年国际自来水企业技术创新产业化</w:t>
      </w:r>
      <w:r>
        <w:rPr>
          <w:rFonts w:ascii="SimSun" w:hAnsi="SimSun" w:eastAsia="SimSun" w:cs="SimSun"/>
          <w:b/>
          <w:bCs/>
        </w:rPr>
        <w:t>Top10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b/>
          <w:bCs/>
        </w:rPr>
        <w:t>成果汇总表</w:t>
      </w:r>
    </w:p>
    <w:p>
      <w:pPr>
        <w:spacing w:line="217" w:lineRule="auto"/>
        <w:sectPr>
          <w:pgSz w:w="12240" w:h="15840"/>
          <w:pgMar w:top="1190" w:right="1836" w:bottom="0" w:left="983" w:header="0" w:footer="0" w:gutter="0"/>
        </w:sectPr>
        <w:rPr/>
      </w:pPr>
    </w:p>
    <w:p>
      <w:pPr>
        <w:pStyle w:val="BodyText"/>
        <w:ind w:left="625"/>
        <w:spacing w:before="46" w:line="222" w:lineRule="auto"/>
        <w:rPr>
          <w:sz w:val="21"/>
          <w:szCs w:val="21"/>
        </w:rPr>
      </w:pPr>
      <w:r>
        <w:rPr>
          <w:sz w:val="21"/>
          <w:szCs w:val="21"/>
        </w:rPr>
        <w:t>排</w:t>
      </w:r>
    </w:p>
    <w:p>
      <w:pPr>
        <w:pStyle w:val="BodyText"/>
        <w:ind w:left="628"/>
        <w:spacing w:before="113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名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625"/>
        <w:spacing w:before="68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成果名称/技术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293" w:firstLine="10"/>
        <w:spacing w:before="68" w:line="3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下一代低压膜生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物反应器</w:t>
      </w:r>
    </w:p>
    <w:p>
      <w:pPr>
        <w:pStyle w:val="BodyText"/>
        <w:ind w:left="140"/>
        <w:spacing w:before="4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(MBR)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</w:t>
      </w:r>
      <w:r>
        <w:rPr>
          <w:sz w:val="21"/>
          <w:szCs w:val="21"/>
          <w:spacing w:val="-7"/>
        </w:rPr>
        <w:t>集成系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50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代表企业/项</w:t>
      </w:r>
    </w:p>
    <w:p>
      <w:pPr>
        <w:pStyle w:val="BodyText"/>
        <w:spacing w:before="95" w:line="225" w:lineRule="auto"/>
        <w:rPr>
          <w:sz w:val="21"/>
          <w:szCs w:val="21"/>
        </w:rPr>
      </w:pPr>
      <w:r>
        <w:rPr>
          <w:sz w:val="21"/>
          <w:szCs w:val="21"/>
        </w:rPr>
        <w:t>目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right="759"/>
        <w:spacing w:before="60" w:line="33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Xylem/</w:t>
      </w:r>
      <w:r>
        <w:rPr>
          <w:rFonts w:ascii="Arial" w:hAnsi="Arial" w:eastAsia="Arial" w:cs="Arial"/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Veolia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核心描述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282"/>
        <w:spacing w:before="68" w:line="319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增强抗污染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30"/>
        </w:rPr>
        <w:t>膜材料+生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物处理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26"/>
        <w:spacing w:before="41" w:line="31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产业化应用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b/>
          <w:bCs/>
          <w:spacing w:val="3"/>
        </w:rPr>
        <w:t>情况</w:t>
      </w:r>
    </w:p>
    <w:p>
      <w:pPr>
        <w:pStyle w:val="BodyText"/>
        <w:ind w:right="111"/>
        <w:spacing w:before="246" w:line="313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全球数百市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政项目，单</w:t>
      </w:r>
    </w:p>
    <w:p>
      <w:pPr>
        <w:pStyle w:val="BodyText"/>
        <w:spacing w:before="16" w:line="222" w:lineRule="auto"/>
        <w:rPr>
          <w:sz w:val="21"/>
          <w:szCs w:val="21"/>
        </w:rPr>
      </w:pPr>
      <w:r>
        <w:rPr>
          <w:sz w:val="21"/>
          <w:szCs w:val="21"/>
          <w:spacing w:val="15"/>
        </w:rPr>
        <w:t>厂处理&gt;50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275" w:hanging="20"/>
        <w:spacing w:before="41" w:line="3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经济/环境收益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b/>
          <w:bCs/>
          <w:spacing w:val="-4"/>
        </w:rPr>
        <w:t>估算</w:t>
      </w:r>
    </w:p>
    <w:p>
      <w:pPr>
        <w:pStyle w:val="BodyText"/>
        <w:ind w:left="16" w:right="311"/>
        <w:spacing w:before="251" w:line="27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1"/>
          <w:szCs w:val="21"/>
          <w:spacing w:val="3"/>
        </w:rPr>
        <w:t>运营成本降低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25-40%,</w:t>
      </w:r>
    </w:p>
    <w:p>
      <w:pPr>
        <w:ind w:left="27"/>
        <w:spacing w:before="4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IRR&gt;12%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权威来源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right="190"/>
        <w:spacing w:before="61" w:line="34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StartUs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Insights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2025:Global</w:t>
      </w:r>
    </w:p>
    <w:p>
      <w:pPr>
        <w:spacing w:before="5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3"/>
        </w:rPr>
        <w:t>Water Awards</w:t>
      </w:r>
    </w:p>
    <w:p>
      <w:pPr>
        <w:spacing w:line="196" w:lineRule="auto"/>
        <w:sectPr>
          <w:pgSz w:w="12240" w:h="15840"/>
          <w:pgMar w:top="1112" w:right="1170" w:bottom="0" w:left="354" w:header="0" w:footer="0" w:gutter="0"/>
          <w:cols w:equalWidth="0" w:num="7">
            <w:col w:w="1036" w:space="100"/>
            <w:col w:w="1760" w:space="100"/>
            <w:col w:w="1401" w:space="100"/>
            <w:col w:w="1381" w:space="100"/>
            <w:col w:w="1173" w:space="100"/>
            <w:col w:w="1607" w:space="100"/>
            <w:col w:w="176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25"/>
        <w:spacing w:line="222" w:lineRule="auto"/>
        <w:tabs>
          <w:tab w:val="left" w:pos="1149"/>
        </w:tabs>
        <w:rPr>
          <w:rFonts w:ascii="SimSun" w:hAnsi="SimSun" w:eastAsia="SimSun" w:cs="SimSun"/>
          <w:sz w:val="21"/>
          <w:szCs w:val="21"/>
        </w:rPr>
      </w:pPr>
      <w:r>
        <w:rPr>
          <w:sz w:val="19"/>
          <w:szCs w:val="19"/>
          <w:u w:val="single" w:color="auto"/>
          <w:position w:val="1"/>
        </w:rPr>
        <w:tab/>
      </w:r>
      <w:r>
        <w:rPr>
          <w:sz w:val="19"/>
          <w:szCs w:val="19"/>
          <w:u w:val="single" w:color="auto"/>
          <w:spacing w:val="-4"/>
          <w:position w:val="1"/>
        </w:rPr>
        <w:t>统</w:t>
      </w:r>
      <w:r>
        <w:rPr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2"/>
        </w:rPr>
        <w:t xml:space="preserve">   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-4"/>
        </w:rPr>
        <w:t>万</w:t>
      </w:r>
      <w:r>
        <w:rPr>
          <w:rFonts w:ascii="Arial" w:hAnsi="Arial" w:eastAsia="Arial" w:cs="Arial"/>
          <w:sz w:val="21"/>
          <w:szCs w:val="21"/>
          <w:u w:val="single" w:color="auto"/>
          <w:spacing w:val="-4"/>
        </w:rPr>
        <w:t>m</w:t>
      </w:r>
      <w:r>
        <w:rPr>
          <w:rFonts w:ascii="Arial" w:hAnsi="Arial" w:eastAsia="Arial" w:cs="Arial"/>
          <w:sz w:val="21"/>
          <w:szCs w:val="21"/>
          <w:u w:val="single" w:color="auto"/>
          <w:spacing w:val="25"/>
        </w:rPr>
        <w:t xml:space="preserve">  </w:t>
      </w:r>
      <w:r>
        <w:rPr>
          <w:rFonts w:ascii="Arial" w:hAnsi="Arial" w:eastAsia="Arial" w:cs="Arial"/>
          <w:sz w:val="21"/>
          <w:szCs w:val="21"/>
          <w:u w:val="single" w:color="auto"/>
          <w:spacing w:val="-4"/>
        </w:rPr>
        <w:t>³</w:t>
      </w:r>
      <w:r>
        <w:rPr>
          <w:rFonts w:ascii="Arial" w:hAnsi="Arial" w:eastAsia="Arial" w:cs="Arial"/>
          <w:sz w:val="21"/>
          <w:szCs w:val="21"/>
          <w:u w:val="single" w:color="auto"/>
          <w:spacing w:val="23"/>
        </w:rPr>
        <w:t xml:space="preserve">  </w:t>
      </w:r>
      <w:r>
        <w:rPr>
          <w:rFonts w:ascii="Arial" w:hAnsi="Arial" w:eastAsia="Arial" w:cs="Arial"/>
          <w:sz w:val="21"/>
          <w:szCs w:val="21"/>
          <w:u w:val="single" w:color="auto"/>
          <w:spacing w:val="-4"/>
        </w:rPr>
        <w:t>/</w:t>
      </w:r>
      <w:r>
        <w:rPr>
          <w:rFonts w:ascii="SimSun" w:hAnsi="SimSun" w:eastAsia="SimSun" w:cs="SimSun"/>
          <w:sz w:val="21"/>
          <w:szCs w:val="21"/>
          <w:u w:val="single" w:color="auto"/>
          <w:spacing w:val="-4"/>
        </w:rPr>
        <w:t>日</w:t>
      </w:r>
      <w:r>
        <w:rPr>
          <w:rFonts w:ascii="SimSun" w:hAnsi="SimSun" w:eastAsia="SimSun" w:cs="SimSun"/>
          <w:sz w:val="21"/>
          <w:szCs w:val="21"/>
          <w:u w:val="single" w:color="auto"/>
        </w:rPr>
        <w:t xml:space="preserve">                                   </w:t>
      </w:r>
    </w:p>
    <w:p>
      <w:pPr>
        <w:spacing w:before="72"/>
        <w:rPr/>
      </w:pPr>
      <w:r/>
    </w:p>
    <w:p>
      <w:pPr>
        <w:sectPr>
          <w:type w:val="continuous"/>
          <w:pgSz w:w="12240" w:h="15840"/>
          <w:pgMar w:top="1112" w:right="1170" w:bottom="0" w:left="354" w:header="0" w:footer="0" w:gutter="0"/>
          <w:cols w:equalWidth="0" w:num="1">
            <w:col w:w="10716" w:space="0"/>
          </w:cols>
        </w:sectPr>
        <w:rPr/>
      </w:pPr>
    </w:p>
    <w:p>
      <w:pPr>
        <w:ind w:left="625"/>
        <w:spacing w:before="43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72"/>
        <w:spacing w:before="41" w:line="329" w:lineRule="auto"/>
        <w:tabs>
          <w:tab w:val="left" w:pos="140"/>
        </w:tabs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高级氧化工艺</w:t>
      </w:r>
      <w:r>
        <w:rPr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</w:rPr>
        <w:tab/>
      </w:r>
      <w:r>
        <w:rPr>
          <w:rFonts w:ascii="Arial" w:hAnsi="Arial" w:eastAsia="Arial" w:cs="Arial"/>
          <w:sz w:val="21"/>
          <w:szCs w:val="21"/>
          <w:spacing w:val="-2"/>
        </w:rPr>
        <w:t>(AOPs)+UV/</w:t>
      </w:r>
      <w:r>
        <w:rPr>
          <w:rFonts w:ascii="Arial" w:hAnsi="Arial" w:eastAsia="Arial" w:cs="Arial"/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臭氧组合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54"/>
        <w:spacing w:before="67" w:line="33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Aquatech/</w:t>
      </w:r>
      <w:r>
        <w:rPr>
          <w:rFonts w:ascii="Arial" w:hAnsi="Arial" w:eastAsia="Arial" w:cs="Arial"/>
          <w:sz w:val="21"/>
          <w:szCs w:val="21"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Xylem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5"/>
        <w:spacing w:before="40" w:line="311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针对新兴污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2"/>
        </w:rPr>
        <w:t>染物</w:t>
      </w:r>
      <w:r>
        <w:rPr>
          <w:sz w:val="21"/>
          <w:szCs w:val="21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(</w:t>
      </w:r>
      <w:r>
        <w:rPr>
          <w:rFonts w:ascii="Arial" w:hAnsi="Arial" w:eastAsia="Arial" w:cs="Arial"/>
          <w:sz w:val="21"/>
          <w:szCs w:val="21"/>
        </w:rPr>
        <w:t>PFAS </w:t>
      </w:r>
      <w:r>
        <w:rPr>
          <w:sz w:val="21"/>
          <w:szCs w:val="21"/>
          <w:spacing w:val="22"/>
        </w:rPr>
        <w:t>等)深度降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6"/>
        <w:spacing w:before="41" w:line="31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工业及市政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规模化部署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2"/>
        <w:spacing w:before="41" w:line="313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污染物去除率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&gt;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9"/>
        </w:rPr>
        <w:t>9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9"/>
        </w:rPr>
        <w:t>0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9"/>
        </w:rPr>
        <w:t>%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9"/>
        </w:rPr>
        <w:t>,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9"/>
        </w:rPr>
        <w:t>能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9"/>
        </w:rPr>
        <w:t>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3"/>
        </w:rPr>
        <w:t>效率提升30%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9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2"/>
        </w:rPr>
        <w:t>Knowledge</w:t>
      </w:r>
    </w:p>
    <w:p>
      <w:pPr>
        <w:spacing w:before="15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2"/>
        </w:rPr>
        <w:t>Sourcing</w:t>
      </w:r>
      <w:r>
        <w:rPr>
          <w:rFonts w:ascii="Arial" w:hAnsi="Arial" w:eastAsia="Arial" w:cs="Arial"/>
          <w:sz w:val="21"/>
          <w:szCs w:val="21"/>
          <w:b/>
          <w:bCs/>
          <w:spacing w:val="5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</w:rPr>
        <w:t>2025</w:t>
      </w:r>
    </w:p>
    <w:p>
      <w:pPr>
        <w:spacing w:line="198" w:lineRule="auto"/>
        <w:sectPr>
          <w:type w:val="continuous"/>
          <w:pgSz w:w="12240" w:h="15840"/>
          <w:pgMar w:top="1112" w:right="1170" w:bottom="0" w:left="354" w:header="0" w:footer="0" w:gutter="0"/>
          <w:cols w:equalWidth="0" w:num="7">
            <w:col w:w="1036" w:space="100"/>
            <w:col w:w="1760" w:space="100"/>
            <w:col w:w="1401" w:space="100"/>
            <w:col w:w="1381" w:space="100"/>
            <w:col w:w="1190" w:space="100"/>
            <w:col w:w="1590" w:space="100"/>
            <w:col w:w="176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445"/>
        <w:spacing w:before="3" w:line="181" w:lineRule="auto"/>
        <w:rPr>
          <w:sz w:val="21"/>
          <w:szCs w:val="21"/>
        </w:rPr>
      </w:pPr>
      <w:r>
        <w:rPr>
          <w:sz w:val="21"/>
          <w:szCs w:val="21"/>
        </w:rPr>
        <w:t>解</w:t>
      </w:r>
    </w:p>
    <w:tbl>
      <w:tblPr>
        <w:tblStyle w:val="TableNormal"/>
        <w:tblW w:w="10089" w:type="dxa"/>
        <w:tblInd w:w="6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"/>
        <w:gridCol w:w="1960"/>
        <w:gridCol w:w="1422"/>
        <w:gridCol w:w="1556"/>
        <w:gridCol w:w="1381"/>
        <w:gridCol w:w="1622"/>
        <w:gridCol w:w="1888"/>
      </w:tblGrid>
      <w:tr>
        <w:trPr>
          <w:trHeight w:val="1424" w:hRule="atLeast"/>
        </w:trPr>
        <w:tc>
          <w:tcPr>
            <w:tcW w:w="2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9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right="222"/>
              <w:spacing w:before="68" w:line="322" w:lineRule="auto"/>
              <w:rPr/>
            </w:pPr>
            <w:r>
              <w:rPr>
                <w:spacing w:val="2"/>
              </w:rPr>
              <w:t>水务数字化孪生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平台</w:t>
            </w:r>
          </w:p>
        </w:tc>
        <w:tc>
          <w:tcPr>
            <w:tcW w:w="142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60" w:line="287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  <w:position w:val="1"/>
              </w:rPr>
              <w:t>Idrica/</w:t>
            </w:r>
          </w:p>
          <w:p>
            <w:pPr>
              <w:ind w:left="149"/>
              <w:spacing w:before="97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Xylem</w:t>
            </w:r>
            <w:r>
              <w:rPr>
                <w:rFonts w:ascii="Arial" w:hAnsi="Arial" w:eastAsia="Arial" w:cs="Arial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Vue</w:t>
            </w:r>
          </w:p>
        </w:tc>
        <w:tc>
          <w:tcPr>
            <w:tcW w:w="155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right="149"/>
              <w:spacing w:before="68" w:line="302" w:lineRule="auto"/>
              <w:rPr/>
            </w:pPr>
            <w:r>
              <w:rPr>
                <w:spacing w:val="6"/>
              </w:rPr>
              <w:t>实时模拟+</w:t>
            </w:r>
            <w:r>
              <w:rPr>
                <w:rFonts w:ascii="Arial" w:hAnsi="Arial" w:eastAsia="Arial" w:cs="Arial"/>
              </w:rPr>
              <w:t>AI</w:t>
            </w:r>
            <w:r>
              <w:rPr>
                <w:rFonts w:ascii="Arial" w:hAnsi="Arial" w:eastAsia="Arial" w:cs="Arial"/>
                <w:spacing w:val="3"/>
              </w:rPr>
              <w:t xml:space="preserve"> </w:t>
            </w:r>
            <w:r>
              <w:rPr>
                <w:spacing w:val="3"/>
              </w:rPr>
              <w:t>预测漏损与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水质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9" w:line="221" w:lineRule="auto"/>
              <w:rPr/>
            </w:pPr>
            <w:r>
              <w:rPr/>
              <w:t>欧洲及美国</w:t>
            </w:r>
          </w:p>
          <w:p>
            <w:pPr>
              <w:pStyle w:val="TableText"/>
              <w:ind w:left="151" w:right="186"/>
              <w:spacing w:before="109" w:line="295" w:lineRule="auto"/>
              <w:rPr/>
            </w:pPr>
            <w:r>
              <w:rPr>
                <w:spacing w:val="-2"/>
              </w:rPr>
              <w:t>大型水务集</w:t>
            </w:r>
            <w:r>
              <w:rPr>
                <w:spacing w:val="1"/>
              </w:rPr>
              <w:t xml:space="preserve"> </w:t>
            </w:r>
            <w:r>
              <w:rPr/>
              <w:t>团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8" w:line="222" w:lineRule="auto"/>
              <w:rPr/>
            </w:pPr>
            <w:r>
              <w:rPr>
                <w:spacing w:val="-3"/>
              </w:rPr>
              <w:t>非收益水</w:t>
            </w:r>
          </w:p>
          <w:p>
            <w:pPr>
              <w:pStyle w:val="TableText"/>
              <w:ind w:left="60" w:right="212" w:firstLine="129"/>
              <w:spacing w:before="64" w:line="32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(NRW)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</w:t>
            </w:r>
            <w:r>
              <w:rPr>
                <w:spacing w:val="-1"/>
              </w:rPr>
              <w:t>降低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15-30%</w:t>
            </w:r>
          </w:p>
        </w:tc>
        <w:tc>
          <w:tcPr>
            <w:tcW w:w="188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9" w:line="224" w:lineRule="auto"/>
              <w:rPr/>
            </w:pPr>
            <w:r>
              <w:rPr>
                <w:rFonts w:ascii="SimSun" w:hAnsi="SimSun" w:eastAsia="SimSun" w:cs="SimSun"/>
                <w:b/>
                <w:bCs/>
              </w:rPr>
              <w:t>Idrica</w:t>
            </w:r>
            <w:r>
              <w:rPr>
                <w:b/>
                <w:bCs/>
                <w:spacing w:val="8"/>
              </w:rPr>
              <w:t>报告2025</w:t>
            </w:r>
          </w:p>
        </w:tc>
      </w:tr>
      <w:tr>
        <w:trPr>
          <w:trHeight w:val="1221" w:hRule="atLeast"/>
        </w:trPr>
        <w:tc>
          <w:tcPr>
            <w:tcW w:w="2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before="43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4</w:t>
            </w:r>
          </w:p>
        </w:tc>
        <w:tc>
          <w:tcPr>
            <w:tcW w:w="19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49"/>
              <w:spacing w:before="303" w:line="222" w:lineRule="auto"/>
              <w:rPr/>
            </w:pPr>
            <w:r>
              <w:rPr>
                <w:spacing w:val="-1"/>
              </w:rPr>
              <w:t>现场灰水/黑水再</w:t>
            </w:r>
          </w:p>
          <w:p>
            <w:pPr>
              <w:pStyle w:val="TableText"/>
              <w:ind w:left="252"/>
              <w:spacing w:before="94" w:line="221" w:lineRule="auto"/>
              <w:rPr/>
            </w:pPr>
            <w:r>
              <w:rPr>
                <w:b/>
                <w:bCs/>
                <w:spacing w:val="-4"/>
              </w:rPr>
              <w:t>生利用系统</w:t>
            </w:r>
          </w:p>
        </w:tc>
        <w:tc>
          <w:tcPr>
            <w:tcW w:w="142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Epic</w:t>
            </w:r>
          </w:p>
          <w:p>
            <w:pPr>
              <w:ind w:left="149"/>
              <w:spacing w:before="149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Cleantec</w:t>
            </w:r>
          </w:p>
        </w:tc>
        <w:tc>
          <w:tcPr>
            <w:tcW w:w="155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42" w:right="230" w:firstLine="84"/>
              <w:spacing w:before="294" w:line="273" w:lineRule="auto"/>
              <w:jc w:val="both"/>
              <w:rPr>
                <w:sz w:val="20"/>
                <w:szCs w:val="20"/>
              </w:rPr>
            </w:pPr>
            <w:r>
              <w:rPr>
                <w:spacing w:val="2"/>
              </w:rPr>
              <w:t>建筑级分布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式处理，再</w:t>
            </w:r>
            <w:r>
              <w:rPr>
                <w:spacing w:val="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生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率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9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5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%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1"/>
              <w:spacing w:before="283" w:line="221" w:lineRule="auto"/>
              <w:rPr/>
            </w:pPr>
            <w:r>
              <w:rPr>
                <w:spacing w:val="-3"/>
              </w:rPr>
              <w:t>美国大型商</w:t>
            </w:r>
          </w:p>
          <w:p>
            <w:pPr>
              <w:pStyle w:val="TableText"/>
              <w:ind w:left="154"/>
              <w:spacing w:before="116" w:line="222" w:lineRule="auto"/>
              <w:rPr/>
            </w:pPr>
            <w:r>
              <w:rPr>
                <w:b/>
                <w:bCs/>
                <w:spacing w:val="1"/>
              </w:rPr>
              <w:t>业建筑</w:t>
            </w:r>
          </w:p>
        </w:tc>
        <w:tc>
          <w:tcPr>
            <w:tcW w:w="162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63" w:right="285"/>
              <w:spacing w:before="280" w:line="326" w:lineRule="auto"/>
              <w:rPr/>
            </w:pPr>
            <w:r>
              <w:rPr>
                <w:b/>
                <w:bCs/>
                <w:spacing w:val="-1"/>
              </w:rPr>
              <w:t>用水成本降低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27"/>
              </w:rPr>
              <w:t>50%以上</w:t>
            </w:r>
          </w:p>
        </w:tc>
        <w:tc>
          <w:tcPr>
            <w:tcW w:w="188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1"/>
              <w:spacing w:before="306" w:line="217" w:lineRule="auto"/>
              <w:rPr/>
            </w:pPr>
            <w:r>
              <w:rPr>
                <w:rFonts w:ascii="SimSun" w:hAnsi="SimSun" w:eastAsia="SimSun" w:cs="SimSun"/>
                <w:b/>
                <w:bCs/>
              </w:rPr>
              <w:t>Aquacycl</w:t>
            </w:r>
            <w:r>
              <w:rPr>
                <w:b/>
                <w:bCs/>
                <w:spacing w:val="21"/>
              </w:rPr>
              <w:t>报告</w:t>
            </w:r>
          </w:p>
        </w:tc>
      </w:tr>
      <w:tr>
        <w:trPr>
          <w:trHeight w:val="1059" w:hRule="atLeast"/>
        </w:trPr>
        <w:tc>
          <w:tcPr>
            <w:tcW w:w="2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9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 w:right="254" w:hanging="9"/>
              <w:spacing w:before="68" w:line="290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-4"/>
              </w:rPr>
              <w:t>纳米复合膜增强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反渗透</w:t>
            </w:r>
            <w:r>
              <w:rPr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(RO)</w:t>
            </w:r>
          </w:p>
        </w:tc>
        <w:tc>
          <w:tcPr>
            <w:tcW w:w="142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 w:right="426" w:firstLine="3"/>
              <w:spacing w:before="68" w:line="312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24"/>
              </w:rPr>
              <w:t>多家(如</w:t>
            </w:r>
            <w:r>
              <w:rPr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"/>
              </w:rPr>
              <w:t>SUEZ)</w:t>
            </w:r>
          </w:p>
        </w:tc>
        <w:tc>
          <w:tcPr>
            <w:tcW w:w="155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 w:right="288"/>
              <w:spacing w:before="69" w:line="294" w:lineRule="auto"/>
              <w:rPr/>
            </w:pPr>
            <w:r>
              <w:rPr>
                <w:b/>
                <w:bCs/>
                <w:spacing w:val="-5"/>
              </w:rPr>
              <w:t>高通量、低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污染</w:t>
            </w:r>
            <w:r>
              <w:rPr>
                <w:rFonts w:ascii="SimSun" w:hAnsi="SimSun" w:eastAsia="SimSun" w:cs="SimSun"/>
                <w:b/>
                <w:bCs/>
                <w:spacing w:val="-2"/>
              </w:rPr>
              <w:t>RO</w:t>
            </w:r>
            <w:r>
              <w:rPr>
                <w:rFonts w:ascii="SimSun" w:hAnsi="SimSun" w:eastAsia="SimSun" w:cs="SimSun"/>
                <w:spacing w:val="-8"/>
              </w:rPr>
              <w:t xml:space="preserve"> </w:t>
            </w:r>
            <w:r>
              <w:rPr>
                <w:b/>
                <w:bCs/>
                <w:spacing w:val="-2"/>
              </w:rPr>
              <w:t>膜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84"/>
              <w:spacing w:before="69" w:line="294" w:lineRule="auto"/>
              <w:rPr/>
            </w:pPr>
            <w:r>
              <w:rPr>
                <w:b/>
                <w:bCs/>
                <w:spacing w:val="-4"/>
              </w:rPr>
              <w:t>海水淡化及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苦咸水厂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8" w:line="222" w:lineRule="auto"/>
              <w:rPr/>
            </w:pPr>
            <w:r>
              <w:rPr>
                <w:b/>
                <w:bCs/>
                <w:spacing w:val="5"/>
              </w:rPr>
              <w:t>能耗降低20-</w:t>
            </w:r>
          </w:p>
          <w:p>
            <w:pPr>
              <w:ind w:left="60"/>
              <w:spacing w:before="109" w:line="188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b/>
                <w:bCs/>
                <w:spacing w:val="-11"/>
              </w:rPr>
              <w:t>35%</w:t>
            </w:r>
          </w:p>
        </w:tc>
        <w:tc>
          <w:tcPr>
            <w:tcW w:w="188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28"/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StartUs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Insights</w:t>
            </w:r>
          </w:p>
        </w:tc>
      </w:tr>
      <w:tr>
        <w:trPr>
          <w:trHeight w:val="1203" w:hRule="atLeast"/>
        </w:trPr>
        <w:tc>
          <w:tcPr>
            <w:tcW w:w="2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8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0"/>
              <w:spacing w:before="288" w:line="222" w:lineRule="auto"/>
              <w:rPr/>
            </w:pPr>
            <w:r>
              <w:rPr>
                <w:spacing w:val="1"/>
              </w:rPr>
              <w:t>智能漏损检测与</w:t>
            </w:r>
          </w:p>
          <w:p>
            <w:pPr>
              <w:pStyle w:val="TableText"/>
              <w:ind w:left="404" w:right="861" w:hanging="155"/>
              <w:spacing w:before="127" w:line="25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spacing w:val="2"/>
              </w:rPr>
              <w:t>分区管理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(IoT+AI)</w:t>
            </w:r>
          </w:p>
        </w:tc>
        <w:tc>
          <w:tcPr>
            <w:tcW w:w="14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American</w:t>
            </w:r>
          </w:p>
          <w:p>
            <w:pPr>
              <w:pStyle w:val="TableText"/>
              <w:ind w:left="149"/>
              <w:spacing w:before="134" w:line="223" w:lineRule="auto"/>
              <w:rPr/>
            </w:pPr>
            <w:r>
              <w:rPr>
                <w:rFonts w:ascii="Arial" w:hAnsi="Arial" w:eastAsia="Arial" w:cs="Arial"/>
                <w:b/>
                <w:bCs/>
                <w:spacing w:val="-1"/>
              </w:rPr>
              <w:t>Water</w:t>
            </w:r>
            <w:r>
              <w:rPr>
                <w:rFonts w:ascii="Arial" w:hAnsi="Arial" w:eastAsia="Arial" w:cs="Arial"/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-1"/>
              </w:rPr>
              <w:t>等</w:t>
            </w:r>
          </w:p>
        </w:tc>
        <w:tc>
          <w:tcPr>
            <w:tcW w:w="155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7" w:right="286"/>
              <w:spacing w:before="299" w:line="327" w:lineRule="auto"/>
              <w:rPr/>
            </w:pPr>
            <w:r>
              <w:rPr>
                <w:spacing w:val="-2"/>
              </w:rPr>
              <w:t>声学传感器</w:t>
            </w:r>
            <w:r>
              <w:rPr/>
              <w:t xml:space="preserve"> </w:t>
            </w:r>
            <w:r>
              <w:rPr>
                <w:spacing w:val="6"/>
              </w:rPr>
              <w:t>+实时分析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306" w:line="221" w:lineRule="auto"/>
              <w:rPr/>
            </w:pPr>
            <w:r>
              <w:rPr>
                <w:spacing w:val="-2"/>
              </w:rPr>
              <w:t>全美多城市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0" w:right="126" w:firstLine="13"/>
              <w:spacing w:before="307" w:line="286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b/>
                <w:bCs/>
                <w:spacing w:val="4"/>
              </w:rPr>
              <w:t>漏损率下降20-</w:t>
            </w:r>
            <w:r>
              <w:rPr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b/>
                <w:bCs/>
                <w:spacing w:val="-11"/>
              </w:rPr>
              <w:t>40%</w:t>
            </w:r>
          </w:p>
        </w:tc>
        <w:tc>
          <w:tcPr>
            <w:tcW w:w="18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1"/>
              <w:spacing w:before="305" w:line="224" w:lineRule="auto"/>
              <w:rPr/>
            </w:pPr>
            <w:r>
              <w:rPr>
                <w:rFonts w:ascii="SimSun" w:hAnsi="SimSun" w:eastAsia="SimSun" w:cs="SimSun"/>
                <w:b/>
                <w:bCs/>
                <w:spacing w:val="-3"/>
              </w:rPr>
              <w:t>WaterWorld</w:t>
            </w:r>
            <w:r>
              <w:rPr>
                <w:rFonts w:ascii="SimSun" w:hAnsi="SimSun" w:eastAsia="SimSun" w:cs="SimSun"/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报告</w:t>
            </w:r>
          </w:p>
        </w:tc>
      </w:tr>
      <w:tr>
        <w:trPr>
          <w:trHeight w:val="1072" w:hRule="atLeast"/>
        </w:trPr>
        <w:tc>
          <w:tcPr>
            <w:tcW w:w="2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right="152" w:hanging="9"/>
              <w:spacing w:before="69" w:line="275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PFAS </w:t>
            </w:r>
            <w:r>
              <w:rPr>
                <w:spacing w:val="-1"/>
              </w:rPr>
              <w:t>永久去除还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原脱氟技术</w:t>
            </w:r>
          </w:p>
        </w:tc>
        <w:tc>
          <w:tcPr>
            <w:tcW w:w="14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149" w:right="418"/>
              <w:spacing w:before="68" w:line="292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Enspired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Solutions</w:t>
            </w:r>
          </w:p>
        </w:tc>
        <w:tc>
          <w:tcPr>
            <w:tcW w:w="155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right="195"/>
              <w:spacing w:before="68" w:line="288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UV</w:t>
            </w:r>
            <w:r>
              <w:rPr>
                <w:spacing w:val="-2"/>
              </w:rPr>
              <w:t>触发分子</w:t>
            </w:r>
            <w:r>
              <w:rPr/>
              <w:t xml:space="preserve"> </w:t>
            </w:r>
            <w:r>
              <w:rPr>
                <w:spacing w:val="9"/>
              </w:rPr>
              <w:t>拆解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 w:right="188"/>
              <w:spacing w:before="68" w:line="288" w:lineRule="auto"/>
              <w:rPr/>
            </w:pPr>
            <w:r>
              <w:rPr>
                <w:spacing w:val="-2"/>
              </w:rPr>
              <w:t>试点向规模</w:t>
            </w:r>
            <w:r>
              <w:rPr/>
              <w:t xml:space="preserve"> </w:t>
            </w:r>
            <w:r>
              <w:rPr/>
              <w:t>化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69" w:line="222" w:lineRule="auto"/>
              <w:rPr/>
            </w:pPr>
            <w:r>
              <w:rPr>
                <w:b/>
                <w:bCs/>
                <w:spacing w:val="12"/>
              </w:rPr>
              <w:t>去除率近100%</w:t>
            </w:r>
          </w:p>
        </w:tc>
        <w:tc>
          <w:tcPr>
            <w:tcW w:w="18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ind w:left="128"/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Aquacycl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2025</w:t>
            </w:r>
          </w:p>
        </w:tc>
      </w:tr>
      <w:tr>
        <w:trPr>
          <w:trHeight w:val="860" w:hRule="atLeast"/>
        </w:trPr>
        <w:tc>
          <w:tcPr>
            <w:tcW w:w="2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8</w:t>
            </w:r>
          </w:p>
        </w:tc>
        <w:tc>
          <w:tcPr>
            <w:tcW w:w="1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 w:right="256" w:firstLine="67"/>
              <w:spacing w:before="69" w:line="248" w:lineRule="auto"/>
              <w:rPr>
                <w:sz w:val="19"/>
                <w:szCs w:val="19"/>
              </w:rPr>
            </w:pPr>
            <w:r>
              <w:rPr>
                <w:spacing w:val="-1"/>
              </w:rPr>
              <w:t>模块化陶瓷超滤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6"/>
              </w:rPr>
              <w:t>系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统</w:t>
            </w:r>
          </w:p>
        </w:tc>
        <w:tc>
          <w:tcPr>
            <w:tcW w:w="14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69" w:line="223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4Earth</w:t>
            </w:r>
            <w:r>
              <w:rPr>
                <w:rFonts w:ascii="Arial" w:hAnsi="Arial" w:eastAsia="Arial" w:cs="Arial"/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等</w:t>
            </w:r>
          </w:p>
        </w:tc>
        <w:tc>
          <w:tcPr>
            <w:tcW w:w="155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68" w:line="221" w:lineRule="auto"/>
              <w:rPr/>
            </w:pPr>
            <w:r>
              <w:rPr>
                <w:spacing w:val="1"/>
              </w:rPr>
              <w:t>耐久陶瓷膜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3" w:right="42" w:hanging="1002"/>
              <w:spacing w:before="304" w:line="252" w:lineRule="auto"/>
              <w:rPr>
                <w:sz w:val="19"/>
                <w:szCs w:val="19"/>
              </w:rPr>
            </w:pPr>
            <w:r>
              <w:rPr>
                <w:spacing w:val="-3"/>
              </w:rPr>
              <w:t>分布式供水</w:t>
            </w:r>
            <w:r>
              <w:rPr/>
              <w:t xml:space="preserve">  </w:t>
            </w:r>
            <w:r>
              <w:rPr>
                <w:sz w:val="19"/>
                <w:szCs w:val="19"/>
                <w:spacing w:val="-6"/>
              </w:rPr>
              <w:t>寿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 w:right="306" w:hanging="19"/>
              <w:spacing w:before="304" w:line="252" w:lineRule="auto"/>
              <w:rPr>
                <w:sz w:val="19"/>
                <w:szCs w:val="19"/>
              </w:rPr>
            </w:pPr>
            <w:r>
              <w:rPr>
                <w:spacing w:val="-1"/>
              </w:rPr>
              <w:t>维护成本低，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6"/>
              </w:rPr>
              <w:t>命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&gt;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2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0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年</w:t>
            </w:r>
          </w:p>
        </w:tc>
        <w:tc>
          <w:tcPr>
            <w:tcW w:w="18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128"/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StartUs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Insights</w:t>
            </w:r>
          </w:p>
        </w:tc>
      </w:tr>
      <w:tr>
        <w:trPr>
          <w:trHeight w:val="1343" w:hRule="atLeast"/>
        </w:trPr>
        <w:tc>
          <w:tcPr>
            <w:tcW w:w="2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9</w:t>
            </w:r>
          </w:p>
        </w:tc>
        <w:tc>
          <w:tcPr>
            <w:tcW w:w="19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68" w:line="221" w:lineRule="auto"/>
              <w:rPr/>
            </w:pPr>
            <w:r>
              <w:rPr>
                <w:spacing w:val="-1"/>
              </w:rPr>
              <w:t>概念型资源工厂</w:t>
            </w:r>
          </w:p>
          <w:p>
            <w:pPr>
              <w:pStyle w:val="TableText"/>
              <w:ind w:left="217" w:right="300" w:firstLine="172"/>
              <w:spacing w:before="99" w:line="248" w:lineRule="auto"/>
              <w:rPr/>
            </w:pPr>
            <w:r>
              <w:rPr>
                <w:spacing w:val="1"/>
              </w:rPr>
              <w:t>(资源回收+循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环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142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68" w:line="221" w:lineRule="auto"/>
              <w:rPr/>
            </w:pPr>
            <w:r>
              <w:rPr/>
              <w:t>中国概念厂</w:t>
            </w:r>
          </w:p>
          <w:p>
            <w:pPr>
              <w:pStyle w:val="TableText"/>
              <w:ind w:left="279"/>
              <w:spacing w:before="100" w:line="222" w:lineRule="auto"/>
              <w:rPr/>
            </w:pPr>
            <w:r>
              <w:rPr/>
              <w:t>(国际借鉴)</w:t>
            </w:r>
          </w:p>
        </w:tc>
        <w:tc>
          <w:tcPr>
            <w:tcW w:w="155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right="187"/>
              <w:spacing w:before="69" w:line="312" w:lineRule="auto"/>
              <w:rPr/>
            </w:pPr>
            <w:r>
              <w:rPr>
                <w:spacing w:val="-3"/>
              </w:rPr>
              <w:t>能源/营养物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回收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 w:right="171"/>
              <w:spacing w:before="69" w:line="320" w:lineRule="auto"/>
              <w:rPr/>
            </w:pPr>
            <w:r>
              <w:rPr>
                <w:spacing w:val="1"/>
              </w:rPr>
              <w:t>亚洲多地推</w:t>
            </w:r>
            <w:r>
              <w:rPr>
                <w:spacing w:val="1"/>
              </w:rPr>
              <w:t xml:space="preserve"> </w:t>
            </w:r>
            <w:r>
              <w:rPr/>
              <w:t>广</w:t>
            </w:r>
          </w:p>
        </w:tc>
        <w:tc>
          <w:tcPr>
            <w:tcW w:w="162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314"/>
              <w:spacing w:before="69" w:line="323" w:lineRule="auto"/>
              <w:rPr/>
            </w:pPr>
            <w:r>
              <w:rPr>
                <w:spacing w:val="-3"/>
              </w:rPr>
              <w:t>实现碳中和目</w:t>
            </w:r>
            <w:r>
              <w:rPr>
                <w:spacing w:val="3"/>
              </w:rPr>
              <w:t xml:space="preserve"> </w:t>
            </w:r>
            <w:r>
              <w:rPr/>
              <w:t>标</w:t>
            </w:r>
          </w:p>
        </w:tc>
        <w:tc>
          <w:tcPr>
            <w:tcW w:w="188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128" w:right="596"/>
              <w:spacing w:before="60" w:line="344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IWA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Project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Awards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2240" w:h="15840"/>
          <w:pgMar w:top="1112" w:right="1170" w:bottom="0" w:left="354" w:header="0" w:footer="0" w:gutter="0"/>
          <w:cols w:equalWidth="0" w:num="1">
            <w:col w:w="10716" w:space="0"/>
          </w:cols>
        </w:sectPr>
        <w:rPr/>
      </w:pPr>
    </w:p>
    <w:p>
      <w:pPr>
        <w:ind w:left="625"/>
        <w:spacing w:before="65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281" w:hanging="9"/>
        <w:spacing w:before="63" w:line="254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太阳能驱动大气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水生成+膜过滤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5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AirOWater</w:t>
      </w:r>
    </w:p>
    <w:p>
      <w:pPr>
        <w:pStyle w:val="BodyText"/>
        <w:spacing w:before="127" w:line="190" w:lineRule="auto"/>
        <w:rPr>
          <w:sz w:val="21"/>
          <w:szCs w:val="21"/>
        </w:rPr>
      </w:pPr>
      <w:r>
        <w:rPr>
          <w:sz w:val="21"/>
          <w:szCs w:val="21"/>
        </w:rPr>
        <w:t>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6"/>
        <w:spacing w:before="54" w:line="25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空气取水+净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222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偏远地区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4"/>
        <w:spacing w:before="41" w:line="26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独立供水，成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b/>
          <w:bCs/>
          <w:spacing w:val="-4"/>
        </w:rPr>
        <w:t>本竞争力强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7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StartUs</w:t>
      </w:r>
      <w:r>
        <w:rPr>
          <w:rFonts w:ascii="Arial" w:hAnsi="Arial" w:eastAsia="Arial" w:cs="Arial"/>
          <w:sz w:val="21"/>
          <w:szCs w:val="21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Insights</w:t>
      </w:r>
    </w:p>
    <w:p>
      <w:pPr>
        <w:spacing w:line="198" w:lineRule="auto"/>
        <w:sectPr>
          <w:type w:val="continuous"/>
          <w:pgSz w:w="12240" w:h="15840"/>
          <w:pgMar w:top="1112" w:right="1170" w:bottom="0" w:left="354" w:header="0" w:footer="0" w:gutter="0"/>
          <w:cols w:equalWidth="0" w:num="7">
            <w:col w:w="1026" w:space="100"/>
            <w:col w:w="1770" w:space="100"/>
            <w:col w:w="1401" w:space="100"/>
            <w:col w:w="1351" w:space="100"/>
            <w:col w:w="1223" w:space="100"/>
            <w:col w:w="1587" w:space="100"/>
            <w:col w:w="176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7"/>
        <w:spacing w:before="51" w:line="222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(一)潜在挑战与适用条件分析</w:t>
      </w:r>
    </w:p>
    <w:p>
      <w:pPr>
        <w:pStyle w:val="BodyText"/>
        <w:ind w:left="7"/>
        <w:spacing w:before="227" w:line="364" w:lineRule="auto"/>
        <w:jc w:val="both"/>
        <w:rPr>
          <w:sz w:val="22"/>
          <w:szCs w:val="22"/>
        </w:rPr>
      </w:pPr>
      <w:r>
        <w:rPr>
          <w:sz w:val="22"/>
          <w:szCs w:val="22"/>
          <w:spacing w:val="26"/>
        </w:rPr>
        <w:t>尽管上述成果优势显著,然而，也需注意到其潜在局限：高初始投资</w:t>
      </w:r>
      <w:r>
        <w:rPr>
          <w:sz w:val="22"/>
          <w:szCs w:val="22"/>
          <w:spacing w:val="25"/>
        </w:rPr>
        <w:t>(膜系统</w:t>
      </w:r>
      <w:r>
        <w:rPr>
          <w:rFonts w:ascii="Arial" w:hAnsi="Arial" w:eastAsia="Arial" w:cs="Arial"/>
          <w:sz w:val="22"/>
          <w:szCs w:val="22"/>
        </w:rPr>
        <w:t>CAPEX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5"/>
        </w:rPr>
        <w:t>通常为传统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3"/>
        </w:rPr>
        <w:t>工艺2-3倍)及对水质/气候的敏感性。该类技术的适用条件在于规模</w:t>
      </w:r>
      <w:r>
        <w:rPr>
          <w:sz w:val="22"/>
          <w:szCs w:val="22"/>
          <w:spacing w:val="22"/>
        </w:rPr>
        <w:t>经济与政策补贴支持，有待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进一步观察本地化成本曲线。</w:t>
      </w:r>
    </w:p>
    <w:p>
      <w:pPr>
        <w:pStyle w:val="BodyText"/>
        <w:ind w:left="11"/>
        <w:spacing w:before="325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第三章国内同行业企业现状对比分析</w:t>
      </w:r>
    </w:p>
    <w:p>
      <w:pPr>
        <w:pStyle w:val="BodyText"/>
        <w:ind w:left="10"/>
        <w:spacing w:before="207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第一节国内现状概述</w:t>
      </w:r>
    </w:p>
    <w:p>
      <w:pPr>
        <w:pStyle w:val="BodyText"/>
        <w:ind w:left="7" w:right="109"/>
        <w:spacing w:before="210" w:line="359" w:lineRule="auto"/>
        <w:jc w:val="both"/>
        <w:rPr>
          <w:sz w:val="22"/>
          <w:szCs w:val="22"/>
        </w:rPr>
      </w:pPr>
      <w:r>
        <w:rPr>
          <w:sz w:val="22"/>
          <w:szCs w:val="22"/>
          <w:spacing w:val="20"/>
        </w:rPr>
        <w:t>据中国住房和城乡建设部相关规划及行业报告，我国供水企业近年来加速推进智慧水务建设，但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0"/>
        </w:rPr>
        <w:t>与国际领先水平相比，在膜污染控制深度应用及</w:t>
      </w:r>
      <w:r>
        <w:rPr>
          <w:rFonts w:ascii="Times New Roman" w:hAnsi="Times New Roman" w:eastAsia="Times New Roman" w:cs="Times New Roman"/>
          <w:sz w:val="22"/>
          <w:szCs w:val="22"/>
        </w:rPr>
        <w:t>AOPs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19"/>
        </w:rPr>
        <w:t>规模化上仍存在差距。国内碧水源、北控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水务等企业在膜技术上取得进展，但整体产业化经济收益尚待提升。</w:t>
      </w:r>
    </w:p>
    <w:p>
      <w:pPr>
        <w:pStyle w:val="BodyText"/>
        <w:ind w:left="11"/>
        <w:spacing w:before="174" w:line="222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第二节中外对比表格</w:t>
      </w:r>
    </w:p>
    <w:p>
      <w:pPr>
        <w:pStyle w:val="BodyText"/>
        <w:ind w:left="7"/>
        <w:spacing w:before="261" w:line="221" w:lineRule="auto"/>
        <w:rPr>
          <w:sz w:val="22"/>
          <w:szCs w:val="22"/>
        </w:rPr>
      </w:pPr>
      <w:r>
        <w:rPr>
          <w:sz w:val="22"/>
          <w:szCs w:val="22"/>
          <w:spacing w:val="31"/>
        </w:rPr>
        <w:t>表2:中外自来水企业技术创新产业化水平对比(2025-2026数据)</w:t>
      </w:r>
    </w:p>
    <w:p>
      <w:pPr>
        <w:spacing w:line="176" w:lineRule="exact"/>
        <w:rPr/>
      </w:pPr>
      <w:r/>
    </w:p>
    <w:p>
      <w:pPr>
        <w:spacing w:line="176" w:lineRule="exact"/>
        <w:sectPr>
          <w:pgSz w:w="12240" w:h="15840"/>
          <w:pgMar w:top="1099" w:right="1061" w:bottom="0" w:left="972" w:header="0" w:footer="0" w:gutter="0"/>
          <w:cols w:equalWidth="0" w:num="1">
            <w:col w:w="10207" w:space="0"/>
          </w:cols>
        </w:sectPr>
        <w:rPr/>
      </w:pP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维度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3" w:line="221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膜技术渗透率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  <w:szCs w:val="22"/>
          <w:spacing w:val="-2"/>
        </w:rPr>
        <w:t>国际领先水平</w:t>
      </w:r>
      <w:r>
        <w:rPr>
          <w:sz w:val="22"/>
          <w:szCs w:val="22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(Veolia/Xylem</w:t>
      </w:r>
    </w:p>
    <w:p>
      <w:pPr>
        <w:pStyle w:val="BodyText"/>
        <w:ind w:left="3"/>
        <w:spacing w:before="120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等)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&gt;60%市政项目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88"/>
        <w:spacing w:before="46" w:line="2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国内代表水平(碧水源/北控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5"/>
        </w:rPr>
        <w:t>等)</w:t>
      </w:r>
    </w:p>
    <w:p>
      <w:pPr>
        <w:pStyle w:val="BodyText"/>
        <w:spacing w:before="220" w:line="223" w:lineRule="auto"/>
        <w:rPr>
          <w:sz w:val="25"/>
          <w:szCs w:val="25"/>
        </w:rPr>
      </w:pPr>
      <w:r>
        <w:rPr>
          <w:sz w:val="25"/>
          <w:szCs w:val="25"/>
          <w:spacing w:val="9"/>
        </w:rPr>
        <w:t>约30-40%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差距分析与启示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7" w:right="173" w:hanging="18"/>
        <w:spacing w:before="72" w:line="243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需加速抗污染膜国产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化</w:t>
      </w:r>
    </w:p>
    <w:p>
      <w:pPr>
        <w:spacing w:line="243" w:lineRule="auto"/>
        <w:sectPr>
          <w:type w:val="continuous"/>
          <w:pgSz w:w="12240" w:h="15840"/>
          <w:pgMar w:top="1099" w:right="1061" w:bottom="0" w:left="972" w:header="0" w:footer="0" w:gutter="0"/>
          <w:cols w:equalWidth="0" w:num="4">
            <w:col w:w="1718" w:space="100"/>
            <w:col w:w="3201" w:space="100"/>
            <w:col w:w="2910" w:space="100"/>
            <w:col w:w="2079" w:space="0"/>
          </w:cols>
        </w:sectPr>
        <w:rPr>
          <w:sz w:val="22"/>
          <w:szCs w:val="22"/>
        </w:rPr>
      </w:pPr>
    </w:p>
    <w:tbl>
      <w:tblPr>
        <w:tblStyle w:val="TableNormal"/>
        <w:tblW w:w="100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7"/>
        <w:gridCol w:w="2685"/>
        <w:gridCol w:w="2990"/>
        <w:gridCol w:w="2785"/>
      </w:tblGrid>
      <w:tr>
        <w:trPr>
          <w:trHeight w:val="708" w:hRule="atLeast"/>
        </w:trPr>
        <w:tc>
          <w:tcPr>
            <w:tcW w:w="16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71" w:line="222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AOPs </w:t>
            </w:r>
            <w:r>
              <w:rPr>
                <w:sz w:val="22"/>
                <w:szCs w:val="22"/>
                <w:spacing w:val="-3"/>
              </w:rPr>
              <w:t>应用规模</w:t>
            </w:r>
          </w:p>
        </w:tc>
        <w:tc>
          <w:tcPr>
            <w:tcW w:w="2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多厂&gt;10万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m³/ </w:t>
            </w:r>
            <w:r>
              <w:rPr>
                <w:sz w:val="22"/>
                <w:szCs w:val="22"/>
                <w:spacing w:val="-2"/>
              </w:rPr>
              <w:t>日</w:t>
            </w:r>
          </w:p>
        </w:tc>
        <w:tc>
          <w:tcPr>
            <w:tcW w:w="29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5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试点为主</w:t>
            </w:r>
          </w:p>
        </w:tc>
        <w:tc>
          <w:tcPr>
            <w:tcW w:w="27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建议加强工业示范</w:t>
            </w:r>
          </w:p>
        </w:tc>
      </w:tr>
      <w:tr>
        <w:trPr>
          <w:trHeight w:val="840" w:hRule="atLeast"/>
        </w:trPr>
        <w:tc>
          <w:tcPr>
            <w:tcW w:w="163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7" w:right="152"/>
              <w:spacing w:before="270" w:line="279" w:lineRule="auto"/>
              <w:rPr>
                <w:sz w:val="15"/>
                <w:szCs w:val="15"/>
              </w:rPr>
            </w:pPr>
            <w:r>
              <w:rPr>
                <w:sz w:val="22"/>
                <w:szCs w:val="22"/>
                <w:spacing w:val="-9"/>
              </w:rPr>
              <w:t>数字化孪生覆盖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15"/>
                <w:szCs w:val="15"/>
              </w:rPr>
              <w:t>率</w:t>
            </w:r>
          </w:p>
        </w:tc>
        <w:tc>
          <w:tcPr>
            <w:tcW w:w="268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60"/>
              <w:spacing w:before="2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70%以上大型水司</w:t>
            </w:r>
          </w:p>
        </w:tc>
        <w:tc>
          <w:tcPr>
            <w:tcW w:w="299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795"/>
              <w:spacing w:before="306" w:line="187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20-30%</w:t>
            </w:r>
          </w:p>
        </w:tc>
        <w:tc>
          <w:tcPr>
            <w:tcW w:w="278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815"/>
              <w:spacing w:before="27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加大</w:t>
            </w:r>
            <w:r>
              <w:rPr>
                <w:rFonts w:ascii="Arial" w:hAnsi="Arial" w:eastAsia="Arial" w:cs="Arial"/>
                <w:sz w:val="22"/>
                <w:szCs w:val="22"/>
              </w:rPr>
              <w:t>Al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>+</w:t>
            </w:r>
            <w:r>
              <w:rPr>
                <w:rFonts w:ascii="Arial" w:hAnsi="Arial" w:eastAsia="Arial" w:cs="Arial"/>
                <w:sz w:val="22"/>
                <w:szCs w:val="22"/>
              </w:rPr>
              <w:t>loT</w:t>
            </w:r>
            <w:r>
              <w:rPr>
                <w:sz w:val="22"/>
                <w:szCs w:val="22"/>
                <w:spacing w:val="2"/>
              </w:rPr>
              <w:t>投入</w:t>
            </w:r>
          </w:p>
        </w:tc>
      </w:tr>
      <w:tr>
        <w:trPr>
          <w:trHeight w:val="716" w:hRule="atLeast"/>
        </w:trPr>
        <w:tc>
          <w:tcPr>
            <w:tcW w:w="16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水再生利用率</w:t>
            </w:r>
          </w:p>
        </w:tc>
        <w:tc>
          <w:tcPr>
            <w:tcW w:w="26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5"/>
              </w:rPr>
              <w:t>部分城市&gt;30%</w:t>
            </w:r>
          </w:p>
        </w:tc>
        <w:tc>
          <w:tcPr>
            <w:tcW w:w="29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5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全国平均&lt;15%</w:t>
            </w:r>
          </w:p>
        </w:tc>
        <w:tc>
          <w:tcPr>
            <w:tcW w:w="27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政策驱动分布式系统</w:t>
            </w:r>
          </w:p>
        </w:tc>
      </w:tr>
    </w:tbl>
    <w:p>
      <w:pPr>
        <w:pStyle w:val="BodyText"/>
        <w:ind w:left="7"/>
        <w:spacing w:before="297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IRR</w:t>
      </w:r>
      <w:r>
        <w:rPr>
          <w:sz w:val="22"/>
          <w:szCs w:val="22"/>
          <w:spacing w:val="-2"/>
        </w:rPr>
        <w:t>平均水平</w:t>
      </w:r>
      <w:r>
        <w:rPr>
          <w:sz w:val="22"/>
          <w:szCs w:val="22"/>
          <w:spacing w:val="15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10-15%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 xml:space="preserve">                                6-10%                                              </w:t>
      </w:r>
      <w:r>
        <w:rPr>
          <w:sz w:val="22"/>
          <w:szCs w:val="22"/>
          <w:spacing w:val="-3"/>
        </w:rPr>
        <w:t>通过规模化提升经济</w:t>
      </w:r>
    </w:p>
    <w:p>
      <w:pPr>
        <w:pStyle w:val="BodyText"/>
        <w:ind w:left="8127"/>
        <w:spacing w:before="78" w:line="223" w:lineRule="auto"/>
        <w:rPr>
          <w:sz w:val="22"/>
          <w:szCs w:val="22"/>
        </w:rPr>
      </w:pPr>
      <w:r>
        <w:rPr>
          <w:sz w:val="22"/>
          <w:szCs w:val="22"/>
        </w:rPr>
        <w:t>性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第四章对我国水务企业的战略启示与攻关方向</w:t>
      </w:r>
    </w:p>
    <w:p>
      <w:pPr>
        <w:pStyle w:val="BodyText"/>
        <w:ind w:left="11"/>
        <w:spacing w:before="170" w:line="222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第一节总体战略判断</w:t>
      </w:r>
    </w:p>
    <w:p>
      <w:pPr>
        <w:pStyle w:val="BodyText"/>
        <w:ind w:left="7" w:right="180"/>
        <w:spacing w:before="241" w:line="362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研究表明，我国水务企业可借鉴国际经验，在一定程度上通过技术引进+自主创新，实现弯道超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9"/>
        </w:rPr>
        <w:t>车。建议关注数字中国、碳达峰碳中和及新型基础设施建设三大国家战略。</w:t>
      </w:r>
    </w:p>
    <w:p>
      <w:pPr>
        <w:pStyle w:val="BodyText"/>
        <w:ind w:left="10"/>
        <w:spacing w:before="185" w:line="187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第二节推荐3-5个技术攻关战略方向</w:t>
      </w:r>
    </w:p>
    <w:p>
      <w:pPr>
        <w:spacing w:line="187" w:lineRule="auto"/>
        <w:sectPr>
          <w:type w:val="continuous"/>
          <w:pgSz w:w="12240" w:h="15840"/>
          <w:pgMar w:top="1099" w:right="1061" w:bottom="0" w:left="972" w:header="0" w:footer="0" w:gutter="0"/>
          <w:cols w:equalWidth="0" w:num="1">
            <w:col w:w="10207" w:space="0"/>
          </w:cols>
        </w:sectPr>
        <w:rPr>
          <w:sz w:val="22"/>
          <w:szCs w:val="22"/>
        </w:rPr>
      </w:pPr>
    </w:p>
    <w:p>
      <w:pPr>
        <w:pStyle w:val="BodyText"/>
        <w:ind w:left="140"/>
        <w:spacing w:before="46" w:line="220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(一)方向一：规模化推广高级氧化工艺与膜技术耦合系统</w:t>
      </w:r>
    </w:p>
    <w:p>
      <w:pPr>
        <w:pStyle w:val="BodyText"/>
        <w:ind w:left="370"/>
        <w:spacing w:before="266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1"/>
        </w:rPr>
        <w:t>重点突破膜污染控制与</w:t>
      </w:r>
      <w:r>
        <w:rPr>
          <w:rFonts w:ascii="SimSun" w:hAnsi="SimSun" w:eastAsia="SimSun" w:cs="SimSun"/>
          <w:sz w:val="23"/>
          <w:szCs w:val="23"/>
        </w:rPr>
        <w:t>AOPs</w:t>
      </w:r>
      <w:r>
        <w:rPr>
          <w:rFonts w:ascii="SimSun" w:hAnsi="SimSun" w:eastAsia="SimSun" w:cs="SimSun"/>
          <w:sz w:val="23"/>
          <w:szCs w:val="23"/>
          <w:spacing w:val="66"/>
        </w:rPr>
        <w:t xml:space="preserve"> </w:t>
      </w:r>
      <w:r>
        <w:rPr>
          <w:sz w:val="23"/>
          <w:szCs w:val="23"/>
          <w:spacing w:val="1"/>
        </w:rPr>
        <w:t>能耗优化</w:t>
      </w:r>
    </w:p>
    <w:p>
      <w:pPr>
        <w:pStyle w:val="BodyText"/>
        <w:ind w:left="370"/>
        <w:spacing w:before="254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70"/>
        </w:rPr>
        <w:t xml:space="preserve"> </w:t>
      </w:r>
      <w:r>
        <w:rPr>
          <w:sz w:val="23"/>
          <w:szCs w:val="23"/>
          <w:spacing w:val="8"/>
        </w:rPr>
        <w:t>关联战略：碳中和(降低化学品使用与能耗)</w:t>
      </w:r>
    </w:p>
    <w:p>
      <w:pPr>
        <w:pStyle w:val="BodyText"/>
        <w:ind w:left="370"/>
        <w:spacing w:before="254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3"/>
        </w:rPr>
        <w:t>风险评估：高投资回报周期长，建议分步试点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76" w:line="221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(二)方向二：构建全国性智慧水务中台与数字化孪生</w:t>
      </w:r>
    </w:p>
    <w:p>
      <w:pPr>
        <w:pStyle w:val="BodyText"/>
        <w:ind w:left="370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spacing w:val="2"/>
        </w:rPr>
        <w:t>实现水力模型实时优化与预测性维护</w:t>
      </w:r>
    </w:p>
    <w:p>
      <w:pPr>
        <w:pStyle w:val="BodyText"/>
        <w:ind w:left="370"/>
        <w:spacing w:before="253" w:line="22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2"/>
        </w:rPr>
        <w:t>关联战略：数字中国、新型基础设施</w:t>
      </w:r>
    </w:p>
    <w:p>
      <w:pPr>
        <w:pStyle w:val="BodyText"/>
        <w:ind w:left="370"/>
        <w:spacing w:before="265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94"/>
        </w:rPr>
        <w:t xml:space="preserve"> </w:t>
      </w:r>
      <w:r>
        <w:rPr>
          <w:sz w:val="23"/>
          <w:szCs w:val="23"/>
          <w:spacing w:val="5"/>
        </w:rPr>
        <w:t>风险评估：数据安全与标准统一，有待进一</w:t>
      </w:r>
      <w:r>
        <w:rPr>
          <w:sz w:val="23"/>
          <w:szCs w:val="23"/>
          <w:spacing w:val="4"/>
        </w:rPr>
        <w:t>步观察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(三)方向三：推进分布式再生水利用与建筑级系统</w:t>
      </w:r>
    </w:p>
    <w:p>
      <w:pPr>
        <w:pStyle w:val="BodyText"/>
        <w:ind w:left="370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10"/>
        </w:rPr>
        <w:t>推广灰水/黑水95%再生</w:t>
      </w:r>
    </w:p>
    <w:p>
      <w:pPr>
        <w:pStyle w:val="BodyText"/>
        <w:ind w:left="370"/>
        <w:spacing w:before="243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1"/>
        </w:rPr>
        <w:t>关联战略：海绵城市与节水优先</w:t>
      </w:r>
    </w:p>
    <w:p>
      <w:pPr>
        <w:pStyle w:val="BodyText"/>
        <w:ind w:left="370"/>
        <w:spacing w:before="255" w:line="22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2"/>
        </w:rPr>
        <w:t>风险评估：用户接受度与法规完善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(四)方向四：研发</w:t>
      </w:r>
      <w:r>
        <w:rPr>
          <w:rFonts w:ascii="Times New Roman" w:hAnsi="Times New Roman" w:eastAsia="Times New Roman" w:cs="Times New Roman"/>
          <w:sz w:val="23"/>
          <w:szCs w:val="23"/>
        </w:rPr>
        <w:t>PFAS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13"/>
        </w:rPr>
        <w:t>等新兴污染物专用处理技术</w:t>
      </w:r>
    </w:p>
    <w:p>
      <w:pPr>
        <w:pStyle w:val="BodyText"/>
        <w:ind w:left="370"/>
        <w:spacing w:before="254" w:line="22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-1"/>
        </w:rPr>
        <w:t>借鉴国际还原脱氟技术</w:t>
      </w:r>
    </w:p>
    <w:p>
      <w:pPr>
        <w:pStyle w:val="BodyText"/>
        <w:ind w:left="370"/>
        <w:spacing w:before="266" w:line="22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spacing w:val="-1"/>
        </w:rPr>
        <w:t>关联战略：生态环境保护</w:t>
      </w:r>
    </w:p>
    <w:p>
      <w:pPr>
        <w:pStyle w:val="BodyText"/>
        <w:ind w:left="370"/>
        <w:spacing w:before="273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1"/>
        </w:rPr>
        <w:t>风险评估：技术成熟度与成本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第五章结论与政策建议</w:t>
      </w:r>
    </w:p>
    <w:p>
      <w:pPr>
        <w:pStyle w:val="BodyText"/>
        <w:spacing w:before="229" w:line="341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近十年国际成果显示，技术创新已成为提升供水韧性与可持续性的核心驱动力。我国水务企业应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0"/>
        </w:rPr>
        <w:t>以更高格局融入数字中国与碳达峰碳中和战略，建议政府加大财政补贴与示范工程支</w:t>
      </w:r>
      <w:r>
        <w:rPr>
          <w:sz w:val="23"/>
          <w:szCs w:val="23"/>
          <w:spacing w:val="9"/>
        </w:rPr>
        <w:t>持，推动产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学研用一体化。该战略的适用条件在于持续的政策稳定性与市场机制完善，有待进一步观察全球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5"/>
        </w:rPr>
        <w:t>技术迭代动态。</w:t>
      </w:r>
    </w:p>
    <w:p>
      <w:pPr>
        <w:spacing w:before="13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65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spacing w:line="198" w:lineRule="auto"/>
        <w:sectPr>
          <w:pgSz w:w="12240" w:h="15840"/>
          <w:pgMar w:top="1109" w:right="1152" w:bottom="0" w:left="989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ind w:left="148" w:right="729" w:hanging="149"/>
        <w:spacing w:before="64" w:line="3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·StartUs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Insights.Top   10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Water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Treatment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Trends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2025.</w:t>
      </w:r>
      <w:hyperlink w:history="true" r:id="rId1">
        <w:r>
          <w:rPr>
            <w:rFonts w:ascii="Arial" w:hAnsi="Arial" w:eastAsia="Arial" w:cs="Arial"/>
            <w:sz w:val="24"/>
            <w:szCs w:val="24"/>
            <w:spacing w:val="-2"/>
          </w:rPr>
          <w:t>https://www.startus</w:t>
        </w:r>
      </w:hyperlink>
      <w:r>
        <w:rPr>
          <w:rFonts w:ascii="Arial" w:hAnsi="Arial" w:eastAsia="Arial" w:cs="Arial"/>
          <w:sz w:val="24"/>
          <w:szCs w:val="24"/>
          <w:spacing w:val="-2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insights.com/innovators-guide/wat</w:t>
      </w:r>
      <w:r>
        <w:rPr>
          <w:rFonts w:ascii="Arial" w:hAnsi="Arial" w:eastAsia="Arial" w:cs="Arial"/>
          <w:sz w:val="24"/>
          <w:szCs w:val="24"/>
          <w:spacing w:val="-1"/>
        </w:rPr>
        <w:t>er-treatment-trends/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·Global   Water   Awards   official    site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.</w:t>
      </w:r>
      <w:hyperlink w:history="true" r:id="rId2"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https://globalwaterawards.com/</w:t>
        </w:r>
      </w:hyperlink>
    </w:p>
    <w:p>
      <w:pPr>
        <w:ind w:left="148" w:right="823" w:hanging="149"/>
        <w:spacing w:before="214" w:line="3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·Knowledge  Sourcing.Top  10  Innovations  in  Water  an</w:t>
      </w:r>
      <w:r>
        <w:rPr>
          <w:rFonts w:ascii="Arial" w:hAnsi="Arial" w:eastAsia="Arial" w:cs="Arial"/>
          <w:sz w:val="24"/>
          <w:szCs w:val="24"/>
          <w:spacing w:val="-2"/>
        </w:rPr>
        <w:t>d  Wastewater  Treatment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Technologies.</w:t>
      </w:r>
      <w:hyperlink w:history="true" r:id="rId3">
        <w:r>
          <w:rPr>
            <w:rFonts w:ascii="Arial" w:hAnsi="Arial" w:eastAsia="Arial" w:cs="Arial"/>
            <w:sz w:val="24"/>
            <w:szCs w:val="24"/>
          </w:rPr>
          <w:t>https://www.knowledge-sourcing.com/resources/thought-a</w:t>
        </w:r>
        <w:r>
          <w:rPr>
            <w:rFonts w:ascii="Arial" w:hAnsi="Arial" w:eastAsia="Arial" w:cs="Arial"/>
            <w:sz w:val="24"/>
            <w:szCs w:val="24"/>
            <w:spacing w:val="-1"/>
          </w:rPr>
          <w:t>rticles/top-</w:t>
        </w:r>
      </w:hyperlink>
      <w:r>
        <w:rPr>
          <w:rFonts w:ascii="Arial" w:hAnsi="Arial" w:eastAsia="Arial" w:cs="Arial"/>
          <w:sz w:val="24"/>
          <w:szCs w:val="24"/>
        </w:rPr>
        <w:t xml:space="preserve"> </w:t>
      </w:r>
      <w:hyperlink w:history="true" r:id="rId3">
        <w:r>
          <w:rPr>
            <w:rFonts w:ascii="Arial" w:hAnsi="Arial" w:eastAsia="Arial" w:cs="Arial"/>
            <w:sz w:val="24"/>
            <w:szCs w:val="24"/>
          </w:rPr>
          <w:t>10-innovations-in-water-and-was</w:t>
        </w:r>
        <w:r>
          <w:rPr>
            <w:rFonts w:ascii="Arial" w:hAnsi="Arial" w:eastAsia="Arial" w:cs="Arial"/>
            <w:sz w:val="24"/>
            <w:szCs w:val="24"/>
            <w:spacing w:val="-1"/>
          </w:rPr>
          <w:t>tewater-treatment-technologies/</w:t>
        </w:r>
      </w:hyperlink>
    </w:p>
    <w:p>
      <w:pPr>
        <w:ind w:left="148" w:right="855" w:hanging="149"/>
        <w:spacing w:before="232" w:line="3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·Aquacycl.13  New  Technologies  That  Are  Changing  the  Wastewater  Treatment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Landscape.</w:t>
      </w:r>
      <w:hyperlink w:history="true" r:id="rId4">
        <w:r>
          <w:rPr>
            <w:rFonts w:ascii="Arial" w:hAnsi="Arial" w:eastAsia="Arial" w:cs="Arial"/>
            <w:sz w:val="24"/>
            <w:szCs w:val="24"/>
          </w:rPr>
          <w:t>https://aquacycl.com/blog/13-new-technologies</w:t>
        </w:r>
        <w:r>
          <w:rPr>
            <w:rFonts w:ascii="Arial" w:hAnsi="Arial" w:eastAsia="Arial" w:cs="Arial"/>
            <w:sz w:val="24"/>
            <w:szCs w:val="24"/>
            <w:spacing w:val="-1"/>
          </w:rPr>
          <w:t>-that-are-changing-the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wastewater-treatment-landsc</w:t>
      </w:r>
      <w:r>
        <w:rPr>
          <w:rFonts w:ascii="Arial" w:hAnsi="Arial" w:eastAsia="Arial" w:cs="Arial"/>
          <w:sz w:val="24"/>
          <w:szCs w:val="24"/>
          <w:spacing w:val="-1"/>
        </w:rPr>
        <w:t>ape/</w:t>
      </w:r>
    </w:p>
    <w:p>
      <w:pPr>
        <w:ind w:left="148" w:hanging="149"/>
        <w:spacing w:before="187" w:line="3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·Idrica.TOP    EIGHT     TECHNOLOGICAL    TRENDS.</w:t>
      </w:r>
      <w:hyperlink w:history="true" r:id="rId5">
        <w:r>
          <w:rPr>
            <w:rFonts w:ascii="Arial" w:hAnsi="Arial" w:eastAsia="Arial" w:cs="Arial"/>
            <w:sz w:val="24"/>
            <w:szCs w:val="24"/>
          </w:rPr>
          <w:t>https://www.i</w:t>
        </w:r>
        <w:r>
          <w:rPr>
            <w:rFonts w:ascii="Arial" w:hAnsi="Arial" w:eastAsia="Arial" w:cs="Arial"/>
            <w:sz w:val="24"/>
            <w:szCs w:val="24"/>
            <w:spacing w:val="-1"/>
          </w:rPr>
          <w:t>drica.com/blog/the-top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eigth-technological-trends-set-to-shape-water-manage</w:t>
      </w:r>
      <w:r>
        <w:rPr>
          <w:rFonts w:ascii="Arial" w:hAnsi="Arial" w:eastAsia="Arial" w:cs="Arial"/>
          <w:sz w:val="24"/>
          <w:szCs w:val="24"/>
          <w:spacing w:val="-1"/>
        </w:rPr>
        <w:t>ment-in-2025/</w:t>
      </w:r>
    </w:p>
    <w:p>
      <w:pPr>
        <w:ind w:left="148" w:right="1556" w:hanging="149"/>
        <w:spacing w:before="196" w:line="32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·United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Nations.2024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United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Nations  World  Water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Development   Report.</w:t>
      </w:r>
      <w:r>
        <w:rPr>
          <w:rFonts w:ascii="Arial" w:hAnsi="Arial" w:eastAsia="Arial" w:cs="Arial"/>
          <w:sz w:val="24"/>
          <w:szCs w:val="24"/>
        </w:rPr>
        <w:t xml:space="preserve"> </w:t>
      </w:r>
      <w:hyperlink w:history="true" r:id="rId6">
        <w:r>
          <w:rPr>
            <w:rFonts w:ascii="Arial" w:hAnsi="Arial" w:eastAsia="Arial" w:cs="Arial"/>
            <w:sz w:val="24"/>
            <w:szCs w:val="24"/>
          </w:rPr>
          <w:t>https://www.unesco.org</w:t>
        </w:r>
        <w:r>
          <w:rPr>
            <w:rFonts w:ascii="Arial" w:hAnsi="Arial" w:eastAsia="Arial" w:cs="Arial"/>
            <w:sz w:val="24"/>
            <w:szCs w:val="24"/>
            <w:spacing w:val="-1"/>
          </w:rPr>
          <w:t>/reports/wwdr/2024/en</w:t>
        </w:r>
      </w:hyperlink>
    </w:p>
    <w:p>
      <w:pPr>
        <w:spacing w:before="20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·World   Bank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&amp;related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water</w:t>
      </w:r>
      <w:r>
        <w:rPr>
          <w:rFonts w:ascii="Arial" w:hAnsi="Arial" w:eastAsia="Arial" w:cs="Arial"/>
          <w:sz w:val="24"/>
          <w:szCs w:val="24"/>
          <w:spacing w:val="3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reports(v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arious).</w:t>
      </w:r>
    </w:p>
    <w:sectPr>
      <w:pgSz w:w="12240" w:h="15840"/>
      <w:pgMar w:top="1135" w:right="1172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s://www.unesco.org/reports/wwdr/2024/en" TargetMode="External"/><Relationship Id="rId5" Type="http://schemas.openxmlformats.org/officeDocument/2006/relationships/hyperlink" Target="https://www.idrica.com/blog/the-top" TargetMode="External"/><Relationship Id="rId4" Type="http://schemas.openxmlformats.org/officeDocument/2006/relationships/hyperlink" Target="https://aquacycl.com/blog/13-new-technologies-that-are-changing-the" TargetMode="External"/><Relationship Id="rId3" Type="http://schemas.openxmlformats.org/officeDocument/2006/relationships/hyperlink" Target="https://www.knowledge-sourcing.com/resources/thought-articles/top-10-innovations-in-water-and-wastewater-treatment-technologies/" TargetMode="External"/><Relationship Id="rId2" Type="http://schemas.openxmlformats.org/officeDocument/2006/relationships/hyperlink" Target="https://globalwaterawards.com/" TargetMode="External"/><Relationship Id="rId1" Type="http://schemas.openxmlformats.org/officeDocument/2006/relationships/hyperlink" Target="https://www.startus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2026-03-15T23:59:44</vt:filetime>
  </property>
  <property fmtid="{D5CDD505-2E9C-101B-9397-08002B2CF9AE}" pid="4" name="UsrData">
    <vt:lpwstr>69b6d76dd3e451001fc5bef3wl</vt:lpwstr>
  </property>
</Properties>
</file>