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467"/>
        <w:spacing w:before="47" w:line="363" w:lineRule="auto"/>
        <w:rPr/>
      </w:pP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spacing w:val="-2"/>
        </w:rPr>
        <w:t>算法能否提升现有电子学读出时幅修正方法——权威</w:t>
      </w:r>
      <w:r>
        <w:rPr>
          <w:spacing w:val="-3"/>
        </w:rPr>
        <w:t>调研报告</w:t>
      </w:r>
      <w:r>
        <w:rPr/>
        <w:t xml:space="preserve"> </w:t>
      </w:r>
      <w:r>
        <w:rPr>
          <w:spacing w:val="6"/>
        </w:rPr>
        <w:t>报告撰写机构：国家级高能物理探测技术智库(模拟)</w:t>
      </w:r>
    </w:p>
    <w:p>
      <w:pPr>
        <w:pStyle w:val="BodyText"/>
        <w:spacing w:line="223" w:lineRule="auto"/>
        <w:rPr/>
      </w:pPr>
      <w:r>
        <w:rPr>
          <w:spacing w:val="9"/>
        </w:rPr>
        <w:t>撰写日期：2026年1月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3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一、引言</w:t>
      </w:r>
    </w:p>
    <w:p>
      <w:pPr>
        <w:pStyle w:val="BodyText"/>
        <w:ind w:left="3"/>
        <w:spacing w:before="203" w:line="221" w:lineRule="auto"/>
        <w:outlineLvl w:val="3"/>
        <w:rPr/>
      </w:pPr>
      <w:r>
        <w:rPr>
          <w:b/>
          <w:bCs/>
          <w:spacing w:val="-4"/>
        </w:rPr>
        <w:t>(一)研究背景</w:t>
      </w:r>
    </w:p>
    <w:p>
      <w:pPr>
        <w:pStyle w:val="BodyText"/>
        <w:spacing w:before="207" w:line="316" w:lineRule="auto"/>
        <w:tabs>
          <w:tab w:val="left" w:pos="148"/>
        </w:tabs>
        <w:rPr>
          <w:rFonts w:ascii="Arial" w:hAnsi="Arial" w:eastAsia="Arial" w:cs="Arial"/>
        </w:rPr>
      </w:pPr>
      <w:r>
        <w:rPr>
          <w:spacing w:val="-2"/>
        </w:rPr>
        <w:t>据</w:t>
      </w:r>
      <w:r>
        <w:rPr>
          <w:rFonts w:ascii="SimSun" w:hAnsi="SimSun" w:eastAsia="SimSun" w:cs="SimSun"/>
          <w:spacing w:val="-2"/>
        </w:rPr>
        <w:t>CERN   ATLAS</w:t>
      </w:r>
      <w:r>
        <w:rPr>
          <w:spacing w:val="-2"/>
        </w:rPr>
        <w:t>实验组报告指出，在高能物理探测器中，时间抖动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(time jitter)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2"/>
        </w:rPr>
        <w:t>与非线性响应</w:t>
      </w:r>
      <w:r>
        <w:rPr/>
        <w:t xml:space="preserve"> </w:t>
      </w:r>
      <w:r>
        <w:rPr>
          <w:rFonts w:ascii="SimSun" w:hAnsi="SimSun" w:eastAsia="SimSun" w:cs="SimSun"/>
        </w:rPr>
        <w:tab/>
      </w:r>
      <w:r>
        <w:rPr>
          <w:rFonts w:ascii="SimSun" w:hAnsi="SimSun" w:eastAsia="SimSun" w:cs="SimSun"/>
          <w:spacing w:val="-1"/>
        </w:rPr>
        <w:t>(nonlinear  response)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"/>
        </w:rPr>
        <w:t>已成为制约精密定时测量的主要瓶颈之一。传统电子学读出系统普遍采</w:t>
      </w:r>
      <w:r>
        <w:rPr/>
        <w:t xml:space="preserve"> </w:t>
      </w:r>
      <w:r>
        <w:rPr/>
        <w:t>用恒比定时</w:t>
      </w:r>
      <w:r>
        <w:rPr/>
        <w:t xml:space="preserve"> </w:t>
      </w:r>
      <w:r>
        <w:rPr>
          <w:rFonts w:ascii="Arial" w:hAnsi="Arial" w:eastAsia="Arial" w:cs="Arial"/>
        </w:rPr>
        <w:t>(Constant    Fraction     Discriminator,CFD)  </w:t>
      </w:r>
      <w:r>
        <w:rPr/>
        <w:t>或领先边定时</w:t>
      </w:r>
      <w:r>
        <w:rPr/>
        <w:t xml:space="preserve"> </w:t>
      </w:r>
      <w:r>
        <w:rPr>
          <w:rFonts w:ascii="Arial" w:hAnsi="Arial" w:eastAsia="Arial" w:cs="Arial"/>
        </w:rPr>
        <w:t>(L</w:t>
      </w:r>
      <w:r>
        <w:rPr>
          <w:rFonts w:ascii="Arial" w:hAnsi="Arial" w:eastAsia="Arial" w:cs="Arial"/>
          <w:spacing w:val="-1"/>
        </w:rPr>
        <w:t>eading   Edge</w:t>
      </w:r>
    </w:p>
    <w:p>
      <w:pPr>
        <w:pStyle w:val="BodyText"/>
        <w:ind w:right="116"/>
        <w:spacing w:before="10" w:line="325" w:lineRule="auto"/>
        <w:rPr/>
      </w:pPr>
      <w:r>
        <w:rPr>
          <w:rFonts w:ascii="Times New Roman" w:hAnsi="Times New Roman" w:eastAsia="Times New Roman" w:cs="Times New Roman"/>
        </w:rPr>
        <w:t>Discriminator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rFonts w:ascii="Times New Roman" w:hAnsi="Times New Roman" w:eastAsia="Times New Roman" w:cs="Times New Roman"/>
        </w:rPr>
        <w:t>LED</w:t>
      </w:r>
      <w:r>
        <w:rPr>
          <w:rFonts w:ascii="Times New Roman" w:hAnsi="Times New Roman" w:eastAsia="Times New Roman" w:cs="Times New Roman"/>
          <w:spacing w:val="1"/>
        </w:rPr>
        <w:t>)       </w:t>
      </w:r>
      <w:r>
        <w:rPr>
          <w:spacing w:val="1"/>
        </w:rPr>
        <w:t>方法进行时幅修正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time</w:t>
      </w:r>
      <w:r>
        <w:rPr>
          <w:rFonts w:ascii="Times New Roman" w:hAnsi="Times New Roman" w:eastAsia="Times New Roman" w:cs="Times New Roman"/>
          <w:spacing w:val="1"/>
        </w:rPr>
        <w:t xml:space="preserve">       </w:t>
      </w:r>
      <w:r>
        <w:rPr>
          <w:rFonts w:ascii="Times New Roman" w:hAnsi="Times New Roman" w:eastAsia="Times New Roman" w:cs="Times New Roman"/>
        </w:rPr>
        <w:t>walk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slewing</w:t>
      </w:r>
      <w:r>
        <w:rPr>
          <w:rFonts w:ascii="Times New Roman" w:hAnsi="Times New Roman" w:eastAsia="Times New Roman" w:cs="Times New Roman"/>
          <w:spacing w:val="1"/>
        </w:rPr>
        <w:t xml:space="preserve">        </w:t>
      </w:r>
      <w:r>
        <w:rPr>
          <w:rFonts w:ascii="Times New Roman" w:hAnsi="Times New Roman" w:eastAsia="Times New Roman" w:cs="Times New Roman"/>
        </w:rPr>
        <w:t>correction</w:t>
      </w:r>
      <w:r>
        <w:rPr>
          <w:rFonts w:ascii="Times New Roman" w:hAnsi="Times New Roman" w:eastAsia="Times New Roman" w:cs="Times New Roman"/>
          <w:spacing w:val="1"/>
        </w:rPr>
        <w:t>),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1"/>
        </w:rPr>
        <w:t>即补偿由于信号</w:t>
      </w:r>
      <w:r>
        <w:rPr/>
        <w:t xml:space="preserve"> </w:t>
      </w:r>
      <w:r>
        <w:rPr/>
        <w:t>幅度差异导致的到达时间漂移。然而，这些经典方法在高计数率、多脉冲堆积及低信噪比场景</w:t>
      </w:r>
      <w:r>
        <w:rPr>
          <w:spacing w:val="5"/>
        </w:rPr>
        <w:t xml:space="preserve">  </w:t>
      </w:r>
      <w:r>
        <w:rPr>
          <w:spacing w:val="-6"/>
        </w:rPr>
        <w:t>下，性能受限。</w:t>
      </w:r>
    </w:p>
    <w:p>
      <w:pPr>
        <w:pStyle w:val="BodyText"/>
        <w:ind w:right="35"/>
        <w:spacing w:before="132" w:line="324" w:lineRule="auto"/>
        <w:jc w:val="both"/>
        <w:rPr/>
      </w:pPr>
      <w:r>
        <w:rPr>
          <w:spacing w:val="2"/>
        </w:rPr>
        <w:t>近年来，深度学习尤其是**卷积神经网络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</w:t>
      </w:r>
      <w:r>
        <w:rPr>
          <w:rFonts w:ascii="Times New Roman" w:hAnsi="Times New Roman" w:eastAsia="Times New Roman" w:cs="Times New Roman"/>
        </w:rPr>
        <w:t>Convolutional</w:t>
      </w:r>
      <w:r>
        <w:rPr>
          <w:rFonts w:ascii="Times New Roman" w:hAnsi="Times New Roman" w:eastAsia="Times New Roman" w:cs="Times New Roman"/>
          <w:spacing w:val="2"/>
        </w:rPr>
        <w:t xml:space="preserve">     </w:t>
      </w:r>
      <w:r>
        <w:rPr>
          <w:rFonts w:ascii="Times New Roman" w:hAnsi="Times New Roman" w:eastAsia="Times New Roman" w:cs="Times New Roman"/>
        </w:rPr>
        <w:t>Neural</w:t>
      </w:r>
      <w:r>
        <w:rPr>
          <w:rFonts w:ascii="Times New Roman" w:hAnsi="Times New Roman" w:eastAsia="Times New Roman" w:cs="Times New Roman"/>
          <w:spacing w:val="2"/>
        </w:rPr>
        <w:t xml:space="preserve">     </w:t>
      </w:r>
      <w:r>
        <w:rPr>
          <w:rFonts w:ascii="Times New Roman" w:hAnsi="Times New Roman" w:eastAsia="Times New Roman" w:cs="Times New Roman"/>
        </w:rPr>
        <w:t>Network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Times New Roman" w:hAnsi="Times New Roman" w:eastAsia="Times New Roman" w:cs="Times New Roman"/>
        </w:rPr>
        <w:t>CNN</w:t>
      </w:r>
      <w:r>
        <w:rPr>
          <w:rFonts w:ascii="Times New Roman" w:hAnsi="Times New Roman" w:eastAsia="Times New Roman" w:cs="Times New Roman"/>
          <w:spacing w:val="2"/>
        </w:rPr>
        <w:t>)  </w:t>
      </w:r>
      <w:r>
        <w:rPr>
          <w:spacing w:val="2"/>
        </w:rPr>
        <w:t>与注意力机</w:t>
      </w:r>
      <w:r>
        <w:rPr>
          <w:spacing w:val="14"/>
        </w:rPr>
        <w:t xml:space="preserve"> </w:t>
      </w:r>
      <w:r>
        <w:rPr>
          <w:spacing w:val="1"/>
        </w:rPr>
        <w:t>制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Attention</w:t>
      </w:r>
      <w:r>
        <w:rPr>
          <w:rFonts w:ascii="SimSun" w:hAnsi="SimSun" w:eastAsia="SimSun" w:cs="SimSun"/>
          <w:spacing w:val="1"/>
        </w:rPr>
        <w:t xml:space="preserve">   </w:t>
      </w:r>
      <w:r>
        <w:rPr>
          <w:rFonts w:ascii="SimSun" w:hAnsi="SimSun" w:eastAsia="SimSun" w:cs="SimSun"/>
        </w:rPr>
        <w:t>Mechanism</w:t>
      </w:r>
      <w:r>
        <w:rPr>
          <w:rFonts w:ascii="SimSun" w:hAnsi="SimSun" w:eastAsia="SimSun" w:cs="SimSun"/>
          <w:spacing w:val="1"/>
        </w:rPr>
        <w:t>)**</w:t>
      </w:r>
      <w:r>
        <w:rPr>
          <w:spacing w:val="1"/>
        </w:rPr>
        <w:t>的引入，为端到端信号处理提供</w:t>
      </w:r>
      <w:r>
        <w:rPr/>
        <w:t>了新范式。本报告旨在系统评估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spacing w:val="-2"/>
        </w:rPr>
        <w:t>算法在提升现有时幅修正方法方面的潜在能力。</w:t>
      </w:r>
    </w:p>
    <w:p>
      <w:pPr>
        <w:pStyle w:val="BodyText"/>
        <w:ind w:left="3"/>
        <w:spacing w:before="229" w:line="221" w:lineRule="auto"/>
        <w:outlineLvl w:val="3"/>
        <w:rPr/>
      </w:pPr>
      <w:r>
        <w:rPr>
          <w:b/>
          <w:bCs/>
          <w:spacing w:val="-2"/>
        </w:rPr>
        <w:t>(二)研究范围与方法</w:t>
      </w:r>
    </w:p>
    <w:p>
      <w:pPr>
        <w:pStyle w:val="BodyText"/>
        <w:ind w:right="41"/>
        <w:spacing w:before="206" w:line="320" w:lineRule="auto"/>
        <w:jc w:val="both"/>
        <w:rPr/>
      </w:pPr>
      <w:r>
        <w:rPr>
          <w:spacing w:val="4"/>
        </w:rPr>
        <w:t>本报告聚焦2018-2025年间高能物理、</w:t>
      </w:r>
      <w:r>
        <w:rPr>
          <w:spacing w:val="4"/>
        </w:rPr>
        <w:t xml:space="preserve"> </w:t>
      </w:r>
      <w:r>
        <w:rPr>
          <w:rFonts w:ascii="SimSun" w:hAnsi="SimSun" w:eastAsia="SimSun" w:cs="SimSun"/>
        </w:rPr>
        <w:t>TOF</w:t>
      </w:r>
      <w:r>
        <w:rPr>
          <w:rFonts w:ascii="SimSun" w:hAnsi="SimSun" w:eastAsia="SimSun" w:cs="SimSun"/>
          <w:spacing w:val="4"/>
        </w:rPr>
        <w:t>-</w:t>
      </w:r>
      <w:r>
        <w:rPr>
          <w:rFonts w:ascii="SimSun" w:hAnsi="SimSun" w:eastAsia="SimSun" w:cs="SimSun"/>
        </w:rPr>
        <w:t>PET</w:t>
      </w:r>
      <w:r>
        <w:rPr>
          <w:rFonts w:ascii="SimSun" w:hAnsi="SimSun" w:eastAsia="SimSun" w:cs="SimSun"/>
          <w:spacing w:val="97"/>
        </w:rPr>
        <w:t xml:space="preserve"> </w:t>
      </w:r>
      <w:r>
        <w:rPr>
          <w:spacing w:val="4"/>
        </w:rPr>
        <w:t>及闪烁体探测器领</w:t>
      </w:r>
      <w:r>
        <w:rPr>
          <w:spacing w:val="3"/>
        </w:rPr>
        <w:t>域相关文献，主要引用来源</w:t>
      </w:r>
      <w:r>
        <w:rPr/>
        <w:t xml:space="preserve"> </w:t>
      </w:r>
      <w:r>
        <w:rPr>
          <w:spacing w:val="-4"/>
        </w:rPr>
        <w:t>包括</w:t>
      </w:r>
      <w:r>
        <w:rPr>
          <w:rFonts w:ascii="SimSun" w:hAnsi="SimSun" w:eastAsia="SimSun" w:cs="SimSun"/>
          <w:spacing w:val="-4"/>
        </w:rPr>
        <w:t>arXiv</w:t>
      </w:r>
      <w:r>
        <w:rPr>
          <w:spacing w:val="-4"/>
        </w:rPr>
        <w:t>预印本、</w:t>
      </w:r>
      <w:r>
        <w:rPr>
          <w:rFonts w:ascii="SimSun" w:hAnsi="SimSun" w:eastAsia="SimSun" w:cs="SimSun"/>
          <w:spacing w:val="-4"/>
        </w:rPr>
        <w:t>IEEE</w:t>
      </w:r>
      <w:r>
        <w:rPr>
          <w:rFonts w:ascii="SimSun" w:hAnsi="SimSun" w:eastAsia="SimSun" w:cs="SimSun"/>
          <w:spacing w:val="43"/>
        </w:rPr>
        <w:t xml:space="preserve"> </w:t>
      </w:r>
      <w:r>
        <w:rPr>
          <w:spacing w:val="-4"/>
        </w:rPr>
        <w:t>核科学汇刊、</w:t>
      </w:r>
      <w:r>
        <w:rPr>
          <w:rFonts w:ascii="SimSun" w:hAnsi="SimSun" w:eastAsia="SimSun" w:cs="SimSun"/>
          <w:spacing w:val="-4"/>
        </w:rPr>
        <w:t>EJNMMI</w:t>
      </w:r>
      <w:r>
        <w:rPr>
          <w:rFonts w:ascii="SimSun" w:hAnsi="SimSun" w:eastAsia="SimSun" w:cs="SimSun"/>
          <w:spacing w:val="44"/>
        </w:rPr>
        <w:t xml:space="preserve">  </w:t>
      </w:r>
      <w:r>
        <w:rPr>
          <w:rFonts w:ascii="SimSun" w:hAnsi="SimSun" w:eastAsia="SimSun" w:cs="SimSun"/>
          <w:spacing w:val="-4"/>
        </w:rPr>
        <w:t>Physics</w:t>
      </w:r>
      <w:r>
        <w:rPr>
          <w:spacing w:val="-4"/>
        </w:rPr>
        <w:t>及</w:t>
      </w:r>
      <w:r>
        <w:rPr>
          <w:rFonts w:ascii="SimSun" w:hAnsi="SimSun" w:eastAsia="SimSun" w:cs="SimSun"/>
          <w:spacing w:val="-4"/>
        </w:rPr>
        <w:t>CERN</w:t>
      </w:r>
      <w:r>
        <w:rPr>
          <w:rFonts w:ascii="SimSun" w:hAnsi="SimSun" w:eastAsia="SimSun" w:cs="SimSun"/>
          <w:spacing w:val="79"/>
        </w:rPr>
        <w:t xml:space="preserve"> </w:t>
      </w:r>
      <w:r>
        <w:rPr>
          <w:spacing w:val="-4"/>
        </w:rPr>
        <w:t>内部技</w:t>
      </w:r>
      <w:r>
        <w:rPr>
          <w:spacing w:val="-5"/>
        </w:rPr>
        <w:t>术报告。评估维度涵盖时</w:t>
      </w:r>
      <w:r>
        <w:rPr/>
        <w:t xml:space="preserve"> </w:t>
      </w:r>
      <w:r>
        <w:rPr>
          <w:spacing w:val="-1"/>
        </w:rPr>
        <w:t>间分辨率改善幅度、鲁棒性、计算复杂度及硬件可实现性。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二、传统时幅修正方法回顾</w:t>
      </w:r>
    </w:p>
    <w:p>
      <w:pPr>
        <w:pStyle w:val="BodyText"/>
        <w:ind w:left="3"/>
        <w:spacing w:before="199" w:line="221" w:lineRule="auto"/>
        <w:outlineLvl w:val="3"/>
        <w:rPr/>
      </w:pPr>
      <w:r>
        <w:rPr>
          <w:b/>
          <w:bCs/>
          <w:spacing w:val="-3"/>
        </w:rPr>
        <w:t>(一)主流经典算法分类</w:t>
      </w:r>
    </w:p>
    <w:p>
      <w:pPr>
        <w:pStyle w:val="BodyText"/>
        <w:ind w:left="349"/>
        <w:spacing w:before="229" w:line="22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1.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4"/>
        </w:rPr>
        <w:t>领先边定时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(LED)</w:t>
      </w:r>
    </w:p>
    <w:p>
      <w:pPr>
        <w:pStyle w:val="BodyText"/>
        <w:ind w:left="669"/>
        <w:spacing w:before="119" w:line="213" w:lineRule="auto"/>
        <w:rPr/>
      </w:pPr>
      <w:r>
        <w:rPr>
          <w:spacing w:val="-2"/>
        </w:rPr>
        <w:t>简单实现，但时间游走效应严重，通常导致数十至上百皮秒的系统偏差。</w:t>
      </w:r>
    </w:p>
    <w:p>
      <w:pPr>
        <w:pStyle w:val="BodyText"/>
        <w:ind w:left="349"/>
        <w:spacing w:before="239" w:line="212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1"/>
        </w:rPr>
        <w:t>2.</w:t>
      </w:r>
      <w:r>
        <w:rPr>
          <w:rFonts w:ascii="Arial" w:hAnsi="Arial" w:eastAsia="Arial" w:cs="Arial"/>
          <w:spacing w:val="61"/>
        </w:rPr>
        <w:t xml:space="preserve"> </w:t>
      </w:r>
      <w:r>
        <w:rPr>
          <w:spacing w:val="-1"/>
        </w:rPr>
        <w:t>恒比定时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(CFD)</w:t>
      </w:r>
    </w:p>
    <w:p>
      <w:pPr>
        <w:pStyle w:val="BodyText"/>
        <w:ind w:left="669" w:right="196"/>
        <w:spacing w:before="164" w:line="335" w:lineRule="auto"/>
        <w:rPr/>
      </w:pPr>
      <w:r>
        <w:rPr>
          <w:spacing w:val="2"/>
        </w:rPr>
        <w:t>通过分数阈值交叉补偿幅度依赖，据</w:t>
      </w:r>
      <w:r>
        <w:rPr>
          <w:rFonts w:ascii="Times New Roman" w:hAnsi="Times New Roman" w:eastAsia="Times New Roman" w:cs="Times New Roman"/>
        </w:rPr>
        <w:t>IEEE</w:t>
      </w:r>
      <w:r>
        <w:rPr>
          <w:spacing w:val="2"/>
        </w:rPr>
        <w:t>文献，通常可将时间游走控制在20-50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ps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范围</w:t>
      </w:r>
      <w:r>
        <w:rPr>
          <w:spacing w:val="1"/>
        </w:rPr>
        <w:t xml:space="preserve"> </w:t>
      </w:r>
      <w:r>
        <w:rPr>
          <w:spacing w:val="-8"/>
        </w:rPr>
        <w:t>内。</w:t>
      </w:r>
    </w:p>
    <w:p>
      <w:pPr>
        <w:pStyle w:val="BodyText"/>
        <w:ind w:left="349"/>
        <w:spacing w:before="104" w:line="222" w:lineRule="auto"/>
        <w:rPr/>
      </w:pPr>
      <w:r>
        <w:rPr>
          <w:rFonts w:ascii="SimSun" w:hAnsi="SimSun" w:eastAsia="SimSun" w:cs="SimSun"/>
          <w:spacing w:val="-1"/>
        </w:rPr>
        <w:t>3.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1"/>
        </w:rPr>
        <w:t>多阈值拟合与后处理</w:t>
      </w:r>
    </w:p>
    <w:p>
      <w:pPr>
        <w:pStyle w:val="BodyText"/>
        <w:ind w:left="669"/>
        <w:spacing w:before="131" w:line="213" w:lineRule="auto"/>
        <w:rPr/>
      </w:pPr>
      <w:r>
        <w:rPr>
          <w:spacing w:val="-1"/>
        </w:rPr>
        <w:t>采用多个阈值采样上升沿，结合多项式或查找表修正，适用于</w:t>
      </w:r>
      <w:r>
        <w:rPr>
          <w:rFonts w:ascii="SimSun" w:hAnsi="SimSun" w:eastAsia="SimSun" w:cs="SimSun"/>
          <w:spacing w:val="-1"/>
        </w:rPr>
        <w:t>SiP</w:t>
      </w:r>
      <w:r>
        <w:rPr>
          <w:rFonts w:ascii="SimSun" w:hAnsi="SimSun" w:eastAsia="SimSun" w:cs="SimSun"/>
          <w:spacing w:val="-2"/>
        </w:rPr>
        <w:t>M </w:t>
      </w:r>
      <w:r>
        <w:rPr>
          <w:spacing w:val="-2"/>
        </w:rPr>
        <w:t>读出。</w:t>
      </w:r>
    </w:p>
    <w:p>
      <w:pPr>
        <w:spacing w:line="213" w:lineRule="auto"/>
        <w:sectPr>
          <w:pgSz w:w="12240" w:h="15840"/>
          <w:pgMar w:top="1169" w:right="1119" w:bottom="0" w:left="980" w:header="0" w:footer="0" w:gutter="0"/>
        </w:sectPr>
        <w:rPr/>
      </w:pPr>
    </w:p>
    <w:p>
      <w:pPr>
        <w:pStyle w:val="BodyText"/>
        <w:ind w:left="16"/>
        <w:spacing w:before="44" w:line="221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(二)传统方法的固有局限</w:t>
      </w:r>
    </w:p>
    <w:p>
      <w:pPr>
        <w:pStyle w:val="BodyText"/>
        <w:ind w:left="13"/>
        <w:spacing w:before="206" w:line="377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传统方</w:t>
      </w:r>
      <w:r>
        <w:rPr>
          <w:sz w:val="22"/>
          <w:szCs w:val="22"/>
          <w:b/>
          <w:bCs/>
          <w:spacing w:val="18"/>
        </w:rPr>
        <w:t>法本质上依赖信号形状的先验假设，在脉冲</w:t>
      </w:r>
      <w:r>
        <w:rPr>
          <w:sz w:val="22"/>
          <w:szCs w:val="22"/>
          <w:b/>
          <w:bCs/>
          <w:spacing w:val="17"/>
        </w:rPr>
        <w:t>堆积、基线漂移及</w:t>
      </w:r>
      <w:r>
        <w:rPr>
          <w:rFonts w:ascii="SimSun" w:hAnsi="SimSun" w:eastAsia="SimSun" w:cs="SimSun"/>
          <w:sz w:val="22"/>
          <w:szCs w:val="22"/>
          <w:b/>
          <w:bCs/>
        </w:rPr>
        <w:t>SiPM</w:t>
      </w:r>
      <w:r>
        <w:rPr>
          <w:rFonts w:ascii="SimSun" w:hAnsi="SimSun" w:eastAsia="SimSun" w:cs="SimSun"/>
          <w:sz w:val="22"/>
          <w:szCs w:val="22"/>
          <w:spacing w:val="69"/>
        </w:rPr>
        <w:t xml:space="preserve"> </w:t>
      </w:r>
      <w:r>
        <w:rPr>
          <w:sz w:val="22"/>
          <w:szCs w:val="22"/>
          <w:b/>
          <w:bCs/>
          <w:spacing w:val="17"/>
        </w:rPr>
        <w:t>串扰场景下，修正精度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1"/>
        </w:rPr>
        <w:t>显著下降。</w:t>
      </w:r>
    </w:p>
    <w:p>
      <w:pPr>
        <w:pStyle w:val="BodyText"/>
        <w:ind w:left="17"/>
        <w:spacing w:before="302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三、</w:t>
      </w:r>
      <w:r>
        <w:rPr>
          <w:rFonts w:ascii="Arial" w:hAnsi="Arial" w:eastAsia="Arial" w:cs="Arial"/>
          <w:sz w:val="30"/>
          <w:szCs w:val="30"/>
          <w:b/>
          <w:bCs/>
          <w:spacing w:val="-4"/>
        </w:rPr>
        <w:t>AI</w:t>
      </w:r>
      <w:r>
        <w:rPr>
          <w:sz w:val="30"/>
          <w:szCs w:val="30"/>
          <w:b/>
          <w:bCs/>
          <w:spacing w:val="-4"/>
        </w:rPr>
        <w:t>驱动的时幅修正方法进展</w:t>
      </w:r>
    </w:p>
    <w:p>
      <w:pPr>
        <w:pStyle w:val="BodyText"/>
        <w:ind w:left="16"/>
        <w:spacing w:before="219" w:line="221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(一)代表性</w:t>
      </w:r>
      <w:r>
        <w:rPr>
          <w:rFonts w:ascii="Arial" w:hAnsi="Arial" w:eastAsia="Arial" w:cs="Arial"/>
          <w:sz w:val="22"/>
          <w:szCs w:val="22"/>
          <w:b/>
          <w:bCs/>
        </w:rPr>
        <w:t>AI</w:t>
      </w:r>
      <w:r>
        <w:rPr>
          <w:sz w:val="22"/>
          <w:szCs w:val="22"/>
          <w:b/>
          <w:bCs/>
          <w:spacing w:val="18"/>
        </w:rPr>
        <w:t>方案分类</w:t>
      </w:r>
    </w:p>
    <w:p>
      <w:pPr>
        <w:pStyle w:val="BodyText"/>
        <w:ind w:left="363"/>
        <w:spacing w:before="230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1. </w:t>
      </w:r>
      <w:r>
        <w:rPr>
          <w:sz w:val="22"/>
          <w:szCs w:val="22"/>
          <w:spacing w:val="16"/>
        </w:rPr>
        <w:t>基于波形的端到端深度学习</w:t>
      </w:r>
    </w:p>
    <w:p>
      <w:pPr>
        <w:pStyle w:val="BodyText"/>
        <w:ind w:left="673"/>
        <w:spacing w:before="147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直接输入数字化波形，输出修正后到达时间。</w:t>
      </w:r>
    </w:p>
    <w:p>
      <w:pPr>
        <w:pStyle w:val="BodyText"/>
        <w:ind w:left="366"/>
        <w:spacing w:before="302" w:line="221" w:lineRule="auto"/>
        <w:outlineLvl w:val="4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2.</w:t>
      </w:r>
      <w:r>
        <w:rPr>
          <w:rFonts w:ascii="SimSun" w:hAnsi="SimSun" w:eastAsia="SimSun" w:cs="SimSun"/>
          <w:sz w:val="22"/>
          <w:szCs w:val="22"/>
          <w:b/>
          <w:bCs/>
        </w:rPr>
        <w:t>UNet</w:t>
      </w:r>
      <w:r>
        <w:rPr>
          <w:rFonts w:ascii="SimSun" w:hAnsi="SimSun" w:eastAsia="SimSun" w:cs="SimSun"/>
          <w:sz w:val="22"/>
          <w:szCs w:val="22"/>
          <w:spacing w:val="22"/>
        </w:rPr>
        <w:t xml:space="preserve">  </w:t>
      </w:r>
      <w:r>
        <w:rPr>
          <w:sz w:val="22"/>
          <w:szCs w:val="22"/>
          <w:b/>
          <w:bCs/>
          <w:spacing w:val="4"/>
        </w:rPr>
        <w:t>类架构</w:t>
      </w:r>
    </w:p>
    <w:p>
      <w:pPr>
        <w:pStyle w:val="BodyText"/>
        <w:ind w:left="673"/>
        <w:spacing w:before="141" w:line="213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采用编码-解码结构，擅长捕捉局部与全局时序特征。</w:t>
      </w:r>
    </w:p>
    <w:p>
      <w:pPr>
        <w:pStyle w:val="BodyText"/>
        <w:ind w:left="366"/>
        <w:spacing w:before="256" w:line="217" w:lineRule="auto"/>
        <w:outlineLvl w:val="3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1"/>
        </w:rPr>
        <w:t>3.</w:t>
      </w:r>
      <w:r>
        <w:rPr>
          <w:rFonts w:ascii="SimSun" w:hAnsi="SimSun" w:eastAsia="SimSun" w:cs="SimSun"/>
          <w:sz w:val="25"/>
          <w:szCs w:val="25"/>
          <w:spacing w:val="-46"/>
        </w:rPr>
        <w:t xml:space="preserve"> </w:t>
      </w:r>
      <w:r>
        <w:rPr>
          <w:sz w:val="25"/>
          <w:szCs w:val="25"/>
          <w:b/>
          <w:bCs/>
          <w:spacing w:val="-11"/>
        </w:rPr>
        <w:t>残差网络与注意力机制融合</w:t>
      </w:r>
    </w:p>
    <w:p>
      <w:pPr>
        <w:pStyle w:val="BodyText"/>
        <w:ind w:left="673"/>
        <w:spacing w:before="156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通过残差连接与多头注意力，提升对幅度变</w:t>
      </w:r>
      <w:r>
        <w:rPr>
          <w:sz w:val="22"/>
          <w:szCs w:val="22"/>
          <w:spacing w:val="18"/>
        </w:rPr>
        <w:t>化的鲁棒性。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2" w:line="222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(二)典型文献性能对比表</w:t>
      </w:r>
    </w:p>
    <w:p>
      <w:pPr>
        <w:pStyle w:val="BodyText"/>
        <w:ind w:left="13" w:right="129"/>
        <w:spacing w:before="235" w:line="345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表1:</w:t>
      </w:r>
      <w:r>
        <w:rPr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AI</w:t>
      </w:r>
      <w:r>
        <w:rPr>
          <w:sz w:val="22"/>
          <w:szCs w:val="22"/>
          <w:spacing w:val="20"/>
        </w:rPr>
        <w:t>算法与传统</w:t>
      </w:r>
      <w:r>
        <w:rPr>
          <w:rFonts w:ascii="SimSun" w:hAnsi="SimSun" w:eastAsia="SimSun" w:cs="SimSun"/>
          <w:sz w:val="22"/>
          <w:szCs w:val="22"/>
        </w:rPr>
        <w:t>CFD</w:t>
      </w:r>
      <w:r>
        <w:rPr>
          <w:rFonts w:ascii="SimSun" w:hAnsi="SimSun" w:eastAsia="SimSun" w:cs="SimSun"/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20"/>
        </w:rPr>
        <w:t>方法在不同探测器平台上的时间分辨率对比(单位：</w:t>
      </w:r>
      <w:r>
        <w:rPr>
          <w:sz w:val="22"/>
          <w:szCs w:val="22"/>
          <w:spacing w:val="2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ps</w:t>
      </w:r>
      <w:r>
        <w:rPr>
          <w:rFonts w:ascii="SimSun" w:hAnsi="SimSun" w:eastAsia="SimSun" w:cs="SimSun"/>
          <w:sz w:val="22"/>
          <w:szCs w:val="22"/>
          <w:spacing w:val="20"/>
        </w:rPr>
        <w:t xml:space="preserve">   </w:t>
      </w:r>
      <w:r>
        <w:rPr>
          <w:rFonts w:ascii="SimSun" w:hAnsi="SimSun" w:eastAsia="SimSun" w:cs="SimSun"/>
          <w:sz w:val="22"/>
          <w:szCs w:val="22"/>
        </w:rPr>
        <w:t>RMS</w:t>
      </w:r>
      <w:r>
        <w:rPr>
          <w:rFonts w:ascii="SimSun" w:hAnsi="SimSun" w:eastAsia="SimSun" w:cs="SimSun"/>
          <w:sz w:val="22"/>
          <w:szCs w:val="22"/>
          <w:spacing w:val="20"/>
        </w:rPr>
        <w:t>,</w:t>
      </w:r>
      <w:r>
        <w:rPr>
          <w:sz w:val="22"/>
          <w:szCs w:val="22"/>
          <w:spacing w:val="20"/>
        </w:rPr>
        <w:t>数据来源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0"/>
        </w:rPr>
        <w:t>于公开文献，2020-2025)</w:t>
      </w:r>
    </w:p>
    <w:p>
      <w:pPr>
        <w:spacing w:line="53" w:lineRule="exact"/>
        <w:rPr/>
      </w:pPr>
      <w:r/>
    </w:p>
    <w:p>
      <w:pPr>
        <w:spacing w:line="53" w:lineRule="exact"/>
        <w:sectPr>
          <w:pgSz w:w="12240" w:h="15840"/>
          <w:pgMar w:top="1319" w:right="1042" w:bottom="0" w:left="966" w:header="0" w:footer="0" w:gutter="0"/>
          <w:cols w:equalWidth="0" w:num="1">
            <w:col w:w="10231" w:space="0"/>
          </w:cols>
        </w:sectPr>
        <w:rPr/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探测器类型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3" w:right="553"/>
        <w:spacing w:before="71" w:line="303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spacing w:val="4"/>
        </w:rPr>
        <w:t>快速闪烁体+</w:t>
      </w:r>
      <w:r>
        <w:rPr>
          <w:sz w:val="22"/>
          <w:szCs w:val="22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SiPM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63"/>
        <w:spacing w:before="43" w:line="2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传统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CFD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5"/>
        </w:rPr>
        <w:t>性能</w:t>
      </w:r>
    </w:p>
    <w:p>
      <w:pPr>
        <w:spacing w:before="274" w:line="18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45-60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AI</w:t>
      </w:r>
      <w:r>
        <w:rPr>
          <w:sz w:val="22"/>
          <w:szCs w:val="22"/>
          <w:b/>
          <w:bCs/>
          <w:spacing w:val="-9"/>
        </w:rPr>
        <w:t>方法类型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before="65" w:line="299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  <w:position w:val="1"/>
        </w:rPr>
        <w:t>UNet-based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42" w:hanging="3"/>
        <w:spacing w:before="103" w:line="326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6"/>
        </w:rPr>
        <w:t>AI </w:t>
      </w:r>
      <w:r>
        <w:rPr>
          <w:sz w:val="16"/>
          <w:szCs w:val="16"/>
          <w:b/>
          <w:bCs/>
          <w:spacing w:val="-6"/>
        </w:rPr>
        <w:t>改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b/>
          <w:bCs/>
          <w:spacing w:val="-6"/>
        </w:rPr>
        <w:t>善</w:t>
      </w:r>
      <w:r>
        <w:rPr>
          <w:sz w:val="16"/>
          <w:szCs w:val="16"/>
        </w:rPr>
        <w:t xml:space="preserve"> </w:t>
      </w:r>
      <w:r>
        <w:rPr>
          <w:sz w:val="22"/>
          <w:szCs w:val="22"/>
          <w:b/>
          <w:bCs/>
          <w:spacing w:val="-6"/>
        </w:rPr>
        <w:t>幅度</w:t>
      </w:r>
    </w:p>
    <w:p>
      <w:pPr>
        <w:spacing w:before="210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8-23%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23"/>
        <w:spacing w:before="47" w:line="2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最终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CTR/CTR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sz w:val="22"/>
          <w:szCs w:val="22"/>
          <w:b/>
          <w:bCs/>
          <w:spacing w:val="-6"/>
        </w:rPr>
        <w:t>改善</w:t>
      </w:r>
    </w:p>
    <w:p>
      <w:pPr>
        <w:spacing w:before="258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35-52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1"/>
        </w:rPr>
        <w:t>参考文献来源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right="771"/>
        <w:spacing w:before="64" w:line="29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Arial" w:hAnsi="Arial" w:eastAsia="Arial" w:cs="Arial"/>
          <w:sz w:val="22"/>
          <w:szCs w:val="22"/>
          <w:spacing w:val="-1"/>
        </w:rPr>
        <w:t>arXiv:2312.05883</w:t>
      </w:r>
      <w:r>
        <w:rPr>
          <w:rFonts w:ascii="Arial" w:hAnsi="Arial" w:eastAsia="Arial" w:cs="Arial"/>
          <w:sz w:val="22"/>
          <w:szCs w:val="2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(2023)</w:t>
      </w:r>
    </w:p>
    <w:p>
      <w:pPr>
        <w:spacing w:line="292" w:lineRule="auto"/>
        <w:sectPr>
          <w:type w:val="continuous"/>
          <w:pgSz w:w="12240" w:h="15840"/>
          <w:pgMar w:top="1319" w:right="1042" w:bottom="0" w:left="966" w:header="0" w:footer="0" w:gutter="0"/>
          <w:cols w:equalWidth="0" w:num="6">
            <w:col w:w="1804" w:space="100"/>
            <w:col w:w="1030" w:space="100"/>
            <w:col w:w="1910" w:space="100"/>
            <w:col w:w="981" w:space="100"/>
            <w:col w:w="1520" w:space="100"/>
            <w:col w:w="2488" w:space="0"/>
          </w:cols>
        </w:sectPr>
        <w:rPr>
          <w:rFonts w:ascii="Times New Roman" w:hAnsi="Times New Roman" w:eastAsia="Times New Roman" w:cs="Times New Roman"/>
          <w:sz w:val="25"/>
          <w:szCs w:val="25"/>
        </w:rPr>
      </w:pPr>
    </w:p>
    <w:tbl>
      <w:tblPr>
        <w:tblStyle w:val="TableNormal"/>
        <w:tblW w:w="1012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87"/>
        <w:gridCol w:w="1117"/>
        <w:gridCol w:w="2061"/>
        <w:gridCol w:w="1050"/>
        <w:gridCol w:w="1368"/>
        <w:gridCol w:w="2840"/>
      </w:tblGrid>
      <w:tr>
        <w:trPr>
          <w:trHeight w:val="861" w:hRule="atLeast"/>
        </w:trPr>
        <w:tc>
          <w:tcPr>
            <w:tcW w:w="168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ind w:left="13"/>
              <w:spacing w:before="6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BGO+SiPM</w:t>
            </w:r>
          </w:p>
          <w:p>
            <w:pPr>
              <w:pStyle w:val="TableText"/>
              <w:ind w:left="13"/>
              <w:spacing w:before="136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(TOF-PET)</w:t>
            </w:r>
          </w:p>
        </w:tc>
        <w:tc>
          <w:tcPr>
            <w:tcW w:w="111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56" w:lineRule="auto"/>
              <w:rPr/>
            </w:pPr>
            <w:r/>
          </w:p>
          <w:p>
            <w:pPr>
              <w:ind w:left="216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120-180</w:t>
            </w:r>
          </w:p>
        </w:tc>
        <w:tc>
          <w:tcPr>
            <w:tcW w:w="2061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127" w:right="171" w:firstLine="81"/>
              <w:spacing w:before="282" w:line="244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CNN</w:t>
            </w:r>
            <w:r>
              <w:rPr>
                <w:rFonts w:ascii="SimHei" w:hAnsi="SimHei" w:eastAsia="SimHei" w:cs="SimHei"/>
                <w:sz w:val="22"/>
                <w:szCs w:val="22"/>
              </w:rPr>
              <w:t>(波形直接输</w:t>
            </w:r>
            <w:r>
              <w:rPr>
                <w:rFonts w:ascii="SimHei" w:hAnsi="SimHei" w:eastAsia="SimHei" w:cs="SimHei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4"/>
              </w:rPr>
              <w:t>入</w:t>
            </w:r>
            <w:r>
              <w:rPr>
                <w:rFonts w:ascii="SimHei" w:hAnsi="SimHei" w:eastAsia="SimHei" w:cs="SimHei"/>
                <w:sz w:val="21"/>
                <w:szCs w:val="21"/>
                <w:spacing w:val="23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4"/>
              </w:rPr>
              <w:t>)</w:t>
            </w:r>
          </w:p>
        </w:tc>
        <w:tc>
          <w:tcPr>
            <w:tcW w:w="105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178"/>
              <w:spacing w:before="269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2"/>
              </w:rPr>
              <w:t>~20%</w:t>
            </w:r>
          </w:p>
        </w:tc>
        <w:tc>
          <w:tcPr>
            <w:tcW w:w="1368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56" w:lineRule="auto"/>
              <w:rPr/>
            </w:pPr>
            <w:r/>
          </w:p>
          <w:p>
            <w:pPr>
              <w:ind w:left="208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95-145</w:t>
            </w:r>
          </w:p>
        </w:tc>
        <w:tc>
          <w:tcPr>
            <w:tcW w:w="284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460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EJNMMI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Physics</w:t>
            </w:r>
          </w:p>
          <w:p>
            <w:pPr>
              <w:ind w:left="630"/>
              <w:spacing w:before="110" w:line="180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(2025)</w:t>
            </w:r>
          </w:p>
        </w:tc>
      </w:tr>
      <w:tr>
        <w:trPr>
          <w:trHeight w:val="952" w:hRule="atLeast"/>
        </w:trPr>
        <w:tc>
          <w:tcPr>
            <w:tcW w:w="168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19" w:lineRule="auto"/>
              <w:rPr/>
            </w:pPr>
            <w:r/>
          </w:p>
          <w:p>
            <w:pPr>
              <w:ind w:left="13"/>
              <w:spacing w:before="7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4"/>
              </w:rPr>
              <w:t>塑料闪烁体+</w:t>
            </w:r>
          </w:p>
          <w:p>
            <w:pPr>
              <w:pStyle w:val="TableText"/>
              <w:ind w:left="13"/>
              <w:spacing w:before="111" w:line="1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SiPM</w:t>
            </w:r>
          </w:p>
        </w:tc>
        <w:tc>
          <w:tcPr>
            <w:tcW w:w="11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65" w:lineRule="auto"/>
              <w:rPr/>
            </w:pPr>
            <w:r/>
          </w:p>
          <w:p>
            <w:pPr>
              <w:ind w:left="216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80-110</w:t>
            </w:r>
          </w:p>
        </w:tc>
        <w:tc>
          <w:tcPr>
            <w:tcW w:w="20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43" w:lineRule="auto"/>
              <w:rPr/>
            </w:pPr>
            <w:r/>
          </w:p>
          <w:p>
            <w:pPr>
              <w:pStyle w:val="TableText"/>
              <w:ind w:left="229"/>
              <w:spacing w:before="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ResNet+STFT</w:t>
            </w:r>
          </w:p>
        </w:tc>
        <w:tc>
          <w:tcPr>
            <w:tcW w:w="10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61" w:lineRule="auto"/>
              <w:rPr/>
            </w:pPr>
            <w:r/>
          </w:p>
          <w:p>
            <w:pPr>
              <w:ind w:left="178"/>
              <w:spacing w:before="64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15-25%</w:t>
            </w:r>
          </w:p>
        </w:tc>
        <w:tc>
          <w:tcPr>
            <w:tcW w:w="13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25" w:lineRule="auto"/>
              <w:rPr/>
            </w:pPr>
            <w:r/>
          </w:p>
          <w:p>
            <w:pPr>
              <w:ind w:left="208"/>
              <w:spacing w:before="72" w:line="18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3"/>
              </w:rPr>
              <w:t>65-90</w:t>
            </w:r>
          </w:p>
        </w:tc>
        <w:tc>
          <w:tcPr>
            <w:tcW w:w="28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55" w:lineRule="auto"/>
              <w:rPr/>
            </w:pPr>
            <w:r/>
          </w:p>
          <w:p>
            <w:pPr>
              <w:pStyle w:val="TableText"/>
              <w:ind w:left="460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Nuclear lnstruments</w:t>
            </w:r>
          </w:p>
          <w:p>
            <w:pPr>
              <w:ind w:left="639"/>
              <w:spacing w:before="106" w:line="173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(2024)</w:t>
            </w:r>
          </w:p>
        </w:tc>
      </w:tr>
      <w:tr>
        <w:trPr>
          <w:trHeight w:val="1072" w:hRule="atLeast"/>
        </w:trPr>
        <w:tc>
          <w:tcPr>
            <w:tcW w:w="168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03" w:lineRule="auto"/>
              <w:rPr/>
            </w:pPr>
            <w:r/>
          </w:p>
          <w:p>
            <w:pPr>
              <w:ind w:left="16"/>
              <w:spacing w:before="71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3"/>
              </w:rPr>
              <w:t>电磁量能器晶体</w:t>
            </w:r>
          </w:p>
        </w:tc>
        <w:tc>
          <w:tcPr>
            <w:tcW w:w="11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95" w:lineRule="auto"/>
              <w:rPr/>
            </w:pPr>
            <w:r/>
          </w:p>
          <w:p>
            <w:pPr>
              <w:pStyle w:val="TableText"/>
              <w:ind w:left="216"/>
              <w:spacing w:before="64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  <w:position w:val="1"/>
              </w:rPr>
              <w:t>150-250</w:t>
            </w:r>
          </w:p>
        </w:tc>
        <w:tc>
          <w:tcPr>
            <w:tcW w:w="20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61" w:lineRule="auto"/>
              <w:rPr/>
            </w:pPr>
            <w:r/>
          </w:p>
          <w:p>
            <w:pPr>
              <w:pStyle w:val="TableText"/>
              <w:ind w:left="249"/>
              <w:spacing w:before="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Modified</w:t>
            </w:r>
          </w:p>
          <w:p>
            <w:pPr>
              <w:pStyle w:val="TableText"/>
              <w:ind w:left="229"/>
              <w:spacing w:before="15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Autoencoder</w:t>
            </w:r>
          </w:p>
        </w:tc>
        <w:tc>
          <w:tcPr>
            <w:tcW w:w="10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59" w:lineRule="auto"/>
              <w:rPr/>
            </w:pPr>
            <w:r/>
          </w:p>
          <w:p>
            <w:pPr>
              <w:ind w:left="178"/>
              <w:spacing w:before="64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10-18%</w:t>
            </w:r>
          </w:p>
        </w:tc>
        <w:tc>
          <w:tcPr>
            <w:tcW w:w="13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73" w:lineRule="auto"/>
              <w:rPr/>
            </w:pPr>
            <w:r/>
          </w:p>
          <w:p>
            <w:pPr>
              <w:ind w:left="208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130-210</w:t>
            </w:r>
          </w:p>
        </w:tc>
        <w:tc>
          <w:tcPr>
            <w:tcW w:w="28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63" w:lineRule="auto"/>
              <w:rPr/>
            </w:pPr>
            <w:r/>
          </w:p>
          <w:p>
            <w:pPr>
              <w:pStyle w:val="TableText"/>
              <w:ind w:left="460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arXiv:2504.17272</w:t>
            </w:r>
          </w:p>
          <w:p>
            <w:pPr>
              <w:ind w:left="460"/>
              <w:spacing w:before="114" w:line="18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b/>
                <w:bCs/>
                <w:spacing w:val="-2"/>
              </w:rPr>
              <w:t>(2025)</w:t>
            </w:r>
          </w:p>
        </w:tc>
      </w:tr>
    </w:tbl>
    <w:p>
      <w:pPr>
        <w:spacing w:line="228" w:lineRule="exact"/>
        <w:rPr>
          <w:rFonts w:ascii="Arial"/>
          <w:sz w:val="19"/>
        </w:rPr>
      </w:pPr>
      <w:r/>
    </w:p>
    <w:p>
      <w:pPr>
        <w:spacing w:line="228" w:lineRule="exact"/>
        <w:sectPr>
          <w:type w:val="continuous"/>
          <w:pgSz w:w="12240" w:h="15840"/>
          <w:pgMar w:top="1319" w:right="1042" w:bottom="0" w:left="966" w:header="0" w:footer="0" w:gutter="0"/>
          <w:cols w:equalWidth="0" w:num="1">
            <w:col w:w="10231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16" w:right="495" w:hanging="3"/>
        <w:spacing w:before="58" w:line="303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9"/>
        </w:rPr>
        <w:t>Diamond TOF</w:t>
      </w:r>
      <w:r>
        <w:rPr>
          <w:sz w:val="22"/>
          <w:szCs w:val="22"/>
          <w:b/>
          <w:bCs/>
          <w:spacing w:val="-9"/>
        </w:rPr>
        <w:t>探</w:t>
      </w:r>
      <w:r>
        <w:rPr>
          <w:sz w:val="22"/>
          <w:szCs w:val="22"/>
          <w:spacing w:val="6"/>
        </w:rPr>
        <w:t xml:space="preserve">   </w:t>
      </w:r>
      <w:r>
        <w:rPr>
          <w:rFonts w:ascii="Arial" w:hAnsi="Arial" w:eastAsia="Arial" w:cs="Arial"/>
          <w:sz w:val="22"/>
          <w:szCs w:val="22"/>
          <w:b/>
          <w:bCs/>
          <w:spacing w:val="-9"/>
        </w:rPr>
        <w:t>30-50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测器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12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WAVE</w:t>
      </w:r>
      <w:r>
        <w:rPr>
          <w:sz w:val="22"/>
          <w:szCs w:val="22"/>
          <w:spacing w:val="-3"/>
        </w:rPr>
        <w:t>(全波形</w:t>
      </w:r>
      <w:r>
        <w:rPr>
          <w:rFonts w:ascii="Arial" w:hAnsi="Arial" w:eastAsia="Arial" w:cs="Arial"/>
          <w:sz w:val="22"/>
          <w:szCs w:val="22"/>
          <w:spacing w:val="-3"/>
        </w:rPr>
        <w:t>ML)    </w:t>
      </w:r>
      <w:r>
        <w:rPr>
          <w:sz w:val="22"/>
          <w:szCs w:val="22"/>
          <w:spacing w:val="-3"/>
        </w:rPr>
        <w:t>~15%</w:t>
      </w:r>
      <w:r>
        <w:rPr>
          <w:sz w:val="22"/>
          <w:szCs w:val="22"/>
          <w:spacing w:val="20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25-42             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 xml:space="preserve">       </w:t>
      </w:r>
      <w:r>
        <w:rPr>
          <w:rFonts w:ascii="Arial" w:hAnsi="Arial" w:eastAsia="Arial" w:cs="Arial"/>
          <w:sz w:val="22"/>
          <w:szCs w:val="22"/>
          <w:b/>
          <w:bCs/>
          <w:spacing w:val="-4"/>
        </w:rPr>
        <w:t>arXiv:1811.05875</w:t>
      </w:r>
      <w:r>
        <w:rPr>
          <w:rFonts w:ascii="Arial" w:hAnsi="Arial" w:eastAsia="Arial" w:cs="Arial"/>
          <w:sz w:val="22"/>
          <w:szCs w:val="22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4"/>
        </w:rPr>
        <w:t>&amp;</w:t>
      </w:r>
    </w:p>
    <w:p>
      <w:pPr>
        <w:ind w:left="4709"/>
        <w:spacing w:before="137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1"/>
        </w:rPr>
        <w:t>follow-up</w:t>
      </w:r>
    </w:p>
    <w:p>
      <w:pPr>
        <w:spacing w:line="198" w:lineRule="auto"/>
        <w:sectPr>
          <w:type w:val="continuous"/>
          <w:pgSz w:w="12240" w:h="15840"/>
          <w:pgMar w:top="1319" w:right="1042" w:bottom="0" w:left="966" w:header="0" w:footer="0" w:gutter="0"/>
          <w:cols w:equalWidth="0" w:num="2">
            <w:col w:w="2934" w:space="100"/>
            <w:col w:w="7198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2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说明：改善幅度为相对值，实际绝对值受探测器本征时间分辨率、采样率及统计量影响较大。</w:t>
      </w:r>
    </w:p>
    <w:p>
      <w:pPr>
        <w:spacing w:line="187" w:lineRule="auto"/>
        <w:sectPr>
          <w:type w:val="continuous"/>
          <w:pgSz w:w="12240" w:h="15840"/>
          <w:pgMar w:top="1319" w:right="1042" w:bottom="0" w:left="966" w:header="0" w:footer="0" w:gutter="0"/>
          <w:cols w:equalWidth="0" w:num="1">
            <w:col w:w="10231" w:space="0"/>
          </w:cols>
        </w:sectPr>
        <w:rPr>
          <w:sz w:val="22"/>
          <w:szCs w:val="22"/>
        </w:rPr>
      </w:pPr>
    </w:p>
    <w:p>
      <w:pPr>
        <w:pStyle w:val="BodyText"/>
        <w:ind w:left="3"/>
        <w:spacing w:before="48" w:line="221" w:lineRule="auto"/>
        <w:outlineLvl w:val="3"/>
        <w:rPr/>
      </w:pPr>
      <w:r>
        <w:rPr>
          <w:b/>
          <w:bCs/>
          <w:spacing w:val="4"/>
        </w:rPr>
        <w:t>(三)典型</w:t>
      </w:r>
      <w:r>
        <w:rPr>
          <w:rFonts w:ascii="SimSun" w:hAnsi="SimSun" w:eastAsia="SimSun" w:cs="SimSun"/>
          <w:b/>
          <w:bCs/>
        </w:rPr>
        <w:t>AI</w:t>
      </w:r>
      <w:r>
        <w:rPr>
          <w:b/>
          <w:bCs/>
          <w:spacing w:val="4"/>
        </w:rPr>
        <w:t>算法流程示意图(概念化描述)</w:t>
      </w:r>
    </w:p>
    <w:p>
      <w:pPr>
        <w:pStyle w:val="BodyText"/>
        <w:ind w:left="349"/>
        <w:spacing w:before="226" w:line="22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1.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-2"/>
        </w:rPr>
        <w:t>输入：高速</w:t>
      </w:r>
      <w:r>
        <w:rPr>
          <w:rFonts w:ascii="SimSun" w:hAnsi="SimSun" w:eastAsia="SimSun" w:cs="SimSun"/>
          <w:spacing w:val="-2"/>
        </w:rPr>
        <w:t>ADC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-2"/>
        </w:rPr>
        <w:t>采样波形(通常1-10</w:t>
      </w:r>
      <w:r>
        <w:rPr>
          <w:spacing w:val="77"/>
        </w:rPr>
        <w:t xml:space="preserve"> </w:t>
      </w:r>
      <w:r>
        <w:rPr>
          <w:rFonts w:ascii="SimSun" w:hAnsi="SimSun" w:eastAsia="SimSun" w:cs="SimSun"/>
          <w:spacing w:val="-2"/>
        </w:rPr>
        <w:t>GS/s)</w:t>
      </w:r>
    </w:p>
    <w:p>
      <w:pPr>
        <w:pStyle w:val="BodyText"/>
        <w:ind w:left="349"/>
        <w:spacing w:before="249" w:line="219" w:lineRule="auto"/>
        <w:rPr/>
      </w:pPr>
      <w:r>
        <w:rPr>
          <w:rFonts w:ascii="SimSun" w:hAnsi="SimSun" w:eastAsia="SimSun" w:cs="SimSun"/>
          <w:spacing w:val="4"/>
        </w:rPr>
        <w:t>2.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4"/>
        </w:rPr>
        <w:t>预处理：归一化/基线扣除/短时傅里叶变换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STFT</w:t>
      </w:r>
      <w:r>
        <w:rPr>
          <w:rFonts w:ascii="SimSun" w:hAnsi="SimSun" w:eastAsia="SimSun" w:cs="SimSun"/>
          <w:spacing w:val="4"/>
        </w:rPr>
        <w:t>,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spacing w:val="4"/>
        </w:rPr>
        <w:t>可</w:t>
      </w:r>
      <w:r>
        <w:rPr>
          <w:spacing w:val="-37"/>
        </w:rPr>
        <w:t xml:space="preserve"> </w:t>
      </w:r>
      <w:r>
        <w:rPr>
          <w:spacing w:val="4"/>
        </w:rPr>
        <w:t>选</w:t>
      </w:r>
      <w:r>
        <w:rPr>
          <w:spacing w:val="-44"/>
        </w:rPr>
        <w:t xml:space="preserve"> </w:t>
      </w:r>
      <w:r>
        <w:rPr>
          <w:spacing w:val="4"/>
        </w:rPr>
        <w:t>)</w:t>
      </w:r>
    </w:p>
    <w:p>
      <w:pPr>
        <w:pStyle w:val="BodyText"/>
        <w:ind w:left="349"/>
        <w:spacing w:before="250" w:line="217" w:lineRule="auto"/>
        <w:rPr/>
      </w:pPr>
      <w:r>
        <w:rPr>
          <w:rFonts w:ascii="SimSun" w:hAnsi="SimSun" w:eastAsia="SimSun" w:cs="SimSun"/>
          <w:spacing w:val="7"/>
        </w:rPr>
        <w:t>3.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7"/>
        </w:rPr>
        <w:t>特征提取：多层</w:t>
      </w:r>
      <w:r>
        <w:rPr>
          <w:rFonts w:ascii="SimSun" w:hAnsi="SimSun" w:eastAsia="SimSun" w:cs="SimSun"/>
        </w:rPr>
        <w:t>CNN</w:t>
      </w:r>
      <w:r>
        <w:rPr>
          <w:rFonts w:ascii="SimSun" w:hAnsi="SimSun" w:eastAsia="SimSun" w:cs="SimSun"/>
          <w:spacing w:val="7"/>
        </w:rPr>
        <w:t>/</w:t>
      </w:r>
      <w:r>
        <w:rPr>
          <w:rFonts w:ascii="SimSun" w:hAnsi="SimSun" w:eastAsia="SimSun" w:cs="SimSun"/>
        </w:rPr>
        <w:t>ResNet</w:t>
      </w:r>
      <w:r>
        <w:rPr>
          <w:rFonts w:ascii="SimSun" w:hAnsi="SimSun" w:eastAsia="SimSun" w:cs="SimSun"/>
          <w:spacing w:val="2"/>
        </w:rPr>
        <w:t xml:space="preserve">   </w:t>
      </w:r>
      <w:r>
        <w:rPr>
          <w:spacing w:val="7"/>
        </w:rPr>
        <w:t>残差块+注意力模块</w:t>
      </w:r>
    </w:p>
    <w:p>
      <w:pPr>
        <w:pStyle w:val="BodyText"/>
        <w:ind w:left="349"/>
        <w:spacing w:before="254" w:line="221" w:lineRule="auto"/>
        <w:rPr/>
      </w:pPr>
      <w:r>
        <w:rPr>
          <w:rFonts w:ascii="Arial" w:hAnsi="Arial" w:eastAsia="Arial" w:cs="Arial"/>
          <w:spacing w:val="11"/>
        </w:rPr>
        <w:t>4.</w:t>
      </w:r>
      <w:r>
        <w:rPr>
          <w:rFonts w:ascii="Arial" w:hAnsi="Arial" w:eastAsia="Arial" w:cs="Arial"/>
          <w:spacing w:val="51"/>
        </w:rPr>
        <w:t xml:space="preserve"> </w:t>
      </w:r>
      <w:r>
        <w:rPr>
          <w:spacing w:val="11"/>
        </w:rPr>
        <w:t>输出头：回归型(直接预测△</w:t>
      </w:r>
      <w:r>
        <w:rPr>
          <w:rFonts w:ascii="Arial" w:hAnsi="Arial" w:eastAsia="Arial" w:cs="Arial"/>
          <w:spacing w:val="11"/>
        </w:rPr>
        <w:t>t</w:t>
      </w:r>
      <w:r>
        <w:rPr>
          <w:spacing w:val="11"/>
        </w:rPr>
        <w:t>修正量)或分类型(时间桶概率)</w:t>
      </w:r>
    </w:p>
    <w:p>
      <w:pPr>
        <w:pStyle w:val="BodyText"/>
        <w:ind w:left="349"/>
        <w:spacing w:before="253" w:line="222" w:lineRule="auto"/>
        <w:rPr/>
      </w:pPr>
      <w:r>
        <w:rPr>
          <w:rFonts w:ascii="Times New Roman" w:hAnsi="Times New Roman" w:eastAsia="Times New Roman" w:cs="Times New Roman"/>
        </w:rPr>
        <w:t>5.  </w:t>
      </w:r>
      <w:r>
        <w:rPr/>
        <w:t>损失函数：通常采用</w:t>
      </w:r>
      <w:r>
        <w:rPr>
          <w:rFonts w:ascii="Times New Roman" w:hAnsi="Times New Roman" w:eastAsia="Times New Roman" w:cs="Times New Roman"/>
        </w:rPr>
        <w:t>Huber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 </w:t>
      </w:r>
      <w:r>
        <w:rPr>
          <w:rFonts w:ascii="Times New Roman" w:hAnsi="Times New Roman" w:eastAsia="Times New Roman" w:cs="Times New Roman"/>
        </w:rPr>
        <w:t>Loss</w:t>
      </w:r>
      <w:r>
        <w:rPr/>
        <w:t>或带物理约束的复合损失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四、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AI</w:t>
      </w:r>
      <w:r>
        <w:rPr>
          <w:sz w:val="30"/>
          <w:szCs w:val="30"/>
          <w:b/>
          <w:bCs/>
          <w:spacing w:val="-4"/>
        </w:rPr>
        <w:t>方法的潜在优势与实证证据</w:t>
      </w:r>
    </w:p>
    <w:p>
      <w:pPr>
        <w:pStyle w:val="BodyText"/>
        <w:spacing w:before="234" w:line="319" w:lineRule="auto"/>
        <w:rPr>
          <w:rFonts w:ascii="SimSun" w:hAnsi="SimSun" w:eastAsia="SimSun" w:cs="SimSun"/>
        </w:rPr>
      </w:pPr>
      <w:r>
        <w:rPr>
          <w:spacing w:val="11"/>
        </w:rPr>
        <w:t>据</w:t>
      </w:r>
      <w:r>
        <w:rPr>
          <w:rFonts w:ascii="Times New Roman" w:hAnsi="Times New Roman" w:eastAsia="Times New Roman" w:cs="Times New Roman"/>
        </w:rPr>
        <w:t>arXiv</w:t>
      </w:r>
      <w:r>
        <w:rPr>
          <w:rFonts w:ascii="Times New Roman" w:hAnsi="Times New Roman" w:eastAsia="Times New Roman" w:cs="Times New Roman"/>
          <w:spacing w:val="11"/>
        </w:rPr>
        <w:t>:2312.05883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1"/>
        </w:rPr>
        <w:t>研究，在快采样读出通道中，</w:t>
      </w:r>
      <w:r>
        <w:rPr>
          <w:rFonts w:ascii="Times New Roman" w:hAnsi="Times New Roman" w:eastAsia="Times New Roman" w:cs="Times New Roman"/>
        </w:rPr>
        <w:t>UNet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10"/>
        </w:rPr>
        <w:t>架构将定时精度改善8%-23%,在某些</w:t>
      </w:r>
      <w:r>
        <w:rPr>
          <w:spacing w:val="2"/>
        </w:rPr>
        <w:t xml:space="preserve"> </w:t>
      </w:r>
      <w:r>
        <w:rPr>
          <w:spacing w:val="-3"/>
        </w:rPr>
        <w:t>通道甚至优于传统</w:t>
      </w:r>
      <w:r>
        <w:rPr>
          <w:rFonts w:ascii="SimSun" w:hAnsi="SimSun" w:eastAsia="SimSun" w:cs="SimSun"/>
          <w:spacing w:val="-3"/>
        </w:rPr>
        <w:t>CFD </w:t>
      </w:r>
      <w:r>
        <w:rPr>
          <w:spacing w:val="-3"/>
        </w:rPr>
        <w:t>约20</w:t>
      </w:r>
      <w:r>
        <w:rPr>
          <w:spacing w:val="52"/>
        </w:rPr>
        <w:t xml:space="preserve"> </w:t>
      </w:r>
      <w:r>
        <w:rPr>
          <w:rFonts w:ascii="SimSun" w:hAnsi="SimSun" w:eastAsia="SimSun" w:cs="SimSun"/>
          <w:spacing w:val="-3"/>
        </w:rPr>
        <w:t>ps。</w:t>
      </w:r>
    </w:p>
    <w:p>
      <w:pPr>
        <w:pStyle w:val="BodyText"/>
        <w:ind w:right="118"/>
        <w:spacing w:before="2" w:line="317" w:lineRule="auto"/>
        <w:rPr/>
      </w:pPr>
      <w:r>
        <w:rPr>
          <w:spacing w:val="-1"/>
        </w:rPr>
        <w:t>另一项针对</w:t>
      </w:r>
      <w:r>
        <w:rPr>
          <w:rFonts w:ascii="SimSun" w:hAnsi="SimSun" w:eastAsia="SimSun" w:cs="SimSun"/>
          <w:spacing w:val="-1"/>
        </w:rPr>
        <w:t>BGO</w:t>
      </w:r>
      <w:r>
        <w:rPr>
          <w:rFonts w:ascii="SimSun" w:hAnsi="SimSun" w:eastAsia="SimSun" w:cs="SimSun"/>
          <w:spacing w:val="68"/>
        </w:rPr>
        <w:t xml:space="preserve"> </w:t>
      </w:r>
      <w:r>
        <w:rPr>
          <w:spacing w:val="-1"/>
        </w:rPr>
        <w:t>闪烁体的</w:t>
      </w:r>
      <w:r>
        <w:rPr>
          <w:rFonts w:ascii="SimSun" w:hAnsi="SimSun" w:eastAsia="SimSun" w:cs="SimSun"/>
          <w:spacing w:val="-1"/>
        </w:rPr>
        <w:t>TOF-PET</w:t>
      </w:r>
      <w:r>
        <w:rPr>
          <w:rFonts w:ascii="SimSun" w:hAnsi="SimSun" w:eastAsia="SimSun" w:cs="SimSun"/>
          <w:spacing w:val="87"/>
        </w:rPr>
        <w:t xml:space="preserve"> </w:t>
      </w:r>
      <w:r>
        <w:rPr>
          <w:spacing w:val="-1"/>
        </w:rPr>
        <w:t>研究显示，</w:t>
      </w:r>
      <w:r>
        <w:rPr>
          <w:rFonts w:ascii="SimSun" w:hAnsi="SimSun" w:eastAsia="SimSun" w:cs="SimSun"/>
          <w:spacing w:val="-1"/>
        </w:rPr>
        <w:t>CNN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spacing w:val="-1"/>
        </w:rPr>
        <w:t>直接从上升沿学习特征，可在一定程度上缓</w:t>
      </w:r>
      <w:r>
        <w:rPr/>
        <w:t xml:space="preserve"> </w:t>
      </w:r>
      <w:r>
        <w:rPr>
          <w:spacing w:val="-3"/>
        </w:rPr>
        <w:t>解</w:t>
      </w:r>
      <w:r>
        <w:rPr>
          <w:rFonts w:ascii="SimSun" w:hAnsi="SimSun" w:eastAsia="SimSun" w:cs="SimSun"/>
          <w:spacing w:val="-3"/>
        </w:rPr>
        <w:t>LED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3"/>
        </w:rPr>
        <w:t>固有的严重时间游走问题。</w:t>
      </w:r>
    </w:p>
    <w:p>
      <w:pPr>
        <w:pStyle w:val="BodyText"/>
        <w:ind w:left="3"/>
        <w:spacing w:before="130" w:line="213" w:lineRule="auto"/>
        <w:rPr/>
      </w:pPr>
      <w:r>
        <w:rPr>
          <w:b/>
          <w:bCs/>
          <w:spacing w:val="-5"/>
        </w:rPr>
        <w:t>然而，也需注意到其潜在局限：</w:t>
      </w:r>
    </w:p>
    <w:p>
      <w:pPr>
        <w:pStyle w:val="BodyText"/>
        <w:ind w:left="349"/>
        <w:spacing w:before="277" w:line="213" w:lineRule="auto"/>
        <w:rPr/>
      </w:pPr>
      <w:r>
        <w:rPr>
          <w:spacing w:val="-4"/>
        </w:rPr>
        <w:t>·大多数改善幅度在**10-25%**区间，距离“革命性”突破尚有距离；</w:t>
      </w:r>
    </w:p>
    <w:p>
      <w:pPr>
        <w:pStyle w:val="BodyText"/>
        <w:ind w:left="349"/>
        <w:spacing w:before="263" w:line="213" w:lineRule="auto"/>
        <w:rPr/>
      </w:pPr>
      <w:r>
        <w:rPr>
          <w:spacing w:val="2"/>
        </w:rPr>
        <w:t>·</w:t>
      </w:r>
      <w:r>
        <w:rPr>
          <w:spacing w:val="-88"/>
        </w:rPr>
        <w:t xml:space="preserve"> </w:t>
      </w:r>
      <w:r>
        <w:rPr>
          <w:spacing w:val="2"/>
        </w:rPr>
        <w:t>训练高度依赖高质量标注数据集(需精密参考定时器),数据获取与标注成本极高；</w:t>
      </w:r>
    </w:p>
    <w:p>
      <w:pPr>
        <w:pStyle w:val="BodyText"/>
        <w:ind w:left="349"/>
        <w:spacing w:before="243" w:line="213" w:lineRule="auto"/>
        <w:rPr/>
      </w:pPr>
      <w:r>
        <w:rPr>
          <w:spacing w:val="-3"/>
        </w:rPr>
        <w:t>·模型对训练分布外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(Out-of-Distribution)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3"/>
        </w:rPr>
        <w:t>信号敏感，可能出</w:t>
      </w:r>
      <w:r>
        <w:rPr>
          <w:spacing w:val="-4"/>
        </w:rPr>
        <w:t>现灾难性性能退化。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五、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AI</w:t>
      </w:r>
      <w:r>
        <w:rPr>
          <w:sz w:val="30"/>
          <w:szCs w:val="30"/>
          <w:b/>
          <w:bCs/>
          <w:spacing w:val="-4"/>
        </w:rPr>
        <w:t>方法的主要挑战与适用条件分析</w:t>
      </w:r>
    </w:p>
    <w:p>
      <w:pPr>
        <w:pStyle w:val="BodyText"/>
        <w:ind w:left="3"/>
        <w:spacing w:before="200" w:line="221" w:lineRule="auto"/>
        <w:rPr/>
      </w:pPr>
      <w:r>
        <w:rPr>
          <w:b/>
          <w:bCs/>
          <w:spacing w:val="-3"/>
        </w:rPr>
        <w:t>(一)计算复杂度与实时性约束</w:t>
      </w:r>
    </w:p>
    <w:p>
      <w:pPr>
        <w:pStyle w:val="BodyText"/>
        <w:spacing w:before="201" w:line="212" w:lineRule="auto"/>
        <w:rPr/>
      </w:pPr>
      <w:r>
        <w:rPr/>
        <w:t>深度模型推理延迟通常在数十至数百微秒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(GPU),FPGA     </w:t>
      </w:r>
      <w:r>
        <w:rPr/>
        <w:t>部署后可降至纳秒级，但资源消耗巨</w:t>
      </w:r>
    </w:p>
    <w:p>
      <w:pPr>
        <w:pStyle w:val="BodyText"/>
        <w:spacing w:before="149" w:line="213" w:lineRule="auto"/>
        <w:rPr/>
      </w:pPr>
      <w:r>
        <w:rPr>
          <w:spacing w:val="10"/>
        </w:rPr>
        <w:t>大。据</w:t>
      </w:r>
      <w:r>
        <w:rPr>
          <w:rFonts w:ascii="SimSun" w:hAnsi="SimSun" w:eastAsia="SimSun" w:cs="SimSun"/>
        </w:rPr>
        <w:t>hls</w:t>
      </w:r>
      <w:r>
        <w:rPr>
          <w:rFonts w:ascii="SimSun" w:hAnsi="SimSun" w:eastAsia="SimSun" w:cs="SimSun"/>
          <w:spacing w:val="10"/>
        </w:rPr>
        <w:t>4</w:t>
      </w:r>
      <w:r>
        <w:rPr>
          <w:rFonts w:ascii="SimSun" w:hAnsi="SimSun" w:eastAsia="SimSun" w:cs="SimSun"/>
        </w:rPr>
        <w:t>ml</w:t>
      </w:r>
      <w:r>
        <w:rPr>
          <w:spacing w:val="10"/>
        </w:rPr>
        <w:t>相关研究，复杂</w:t>
      </w:r>
      <w:r>
        <w:rPr>
          <w:rFonts w:ascii="SimSun" w:hAnsi="SimSun" w:eastAsia="SimSun" w:cs="SimSun"/>
        </w:rPr>
        <w:t>CNN</w:t>
      </w:r>
      <w:r>
        <w:rPr>
          <w:rFonts w:ascii="SimSun" w:hAnsi="SimSun" w:eastAsia="SimSun" w:cs="SimSun"/>
          <w:spacing w:val="75"/>
        </w:rPr>
        <w:t xml:space="preserve"> </w:t>
      </w:r>
      <w:r>
        <w:rPr>
          <w:spacing w:val="10"/>
        </w:rPr>
        <w:t>在</w:t>
      </w:r>
      <w:r>
        <w:rPr>
          <w:rFonts w:ascii="SimSun" w:hAnsi="SimSun" w:eastAsia="SimSun" w:cs="SimSun"/>
        </w:rPr>
        <w:t>FPGA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spacing w:val="10"/>
        </w:rPr>
        <w:t>上的</w:t>
      </w:r>
      <w:r>
        <w:rPr>
          <w:rFonts w:ascii="SimSun" w:hAnsi="SimSun" w:eastAsia="SimSun" w:cs="SimSun"/>
        </w:rPr>
        <w:t>LUT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10"/>
        </w:rPr>
        <w:t>占用率可达60-90%。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outlineLvl w:val="3"/>
        <w:rPr/>
      </w:pPr>
      <w:r>
        <w:rPr>
          <w:b/>
          <w:bCs/>
          <w:spacing w:val="-3"/>
        </w:rPr>
        <w:t>(二)数据依赖与泛化能力</w:t>
      </w:r>
    </w:p>
    <w:p>
      <w:pPr>
        <w:pStyle w:val="BodyText"/>
        <w:ind w:right="36"/>
        <w:spacing w:before="183" w:line="350" w:lineRule="auto"/>
        <w:rPr/>
      </w:pPr>
      <w:r>
        <w:rPr>
          <w:rFonts w:ascii="SimSun" w:hAnsi="SimSun" w:eastAsia="SimSun" w:cs="SimSun"/>
        </w:rPr>
        <w:t>Al</w:t>
      </w:r>
      <w:r>
        <w:rPr/>
        <w:t>方案的性能高度依赖训练数据的多样性与代表性。早期研究多基于蒙特卡罗模拟，真实束流验</w:t>
      </w:r>
      <w:r>
        <w:rPr>
          <w:spacing w:val="17"/>
        </w:rPr>
        <w:t xml:space="preserve"> </w:t>
      </w:r>
      <w:r>
        <w:rPr>
          <w:spacing w:val="-6"/>
        </w:rPr>
        <w:t>证样本偏少。</w:t>
      </w:r>
    </w:p>
    <w:p>
      <w:pPr>
        <w:pStyle w:val="BodyText"/>
        <w:ind w:left="3"/>
        <w:spacing w:before="170" w:line="222" w:lineRule="auto"/>
        <w:outlineLvl w:val="3"/>
        <w:rPr/>
      </w:pPr>
      <w:r>
        <w:rPr>
          <w:b/>
          <w:bCs/>
          <w:spacing w:val="-4"/>
        </w:rPr>
        <w:t>(三)硬件部署与功耗壁垒</w:t>
      </w:r>
    </w:p>
    <w:p>
      <w:pPr>
        <w:pStyle w:val="BodyText"/>
        <w:ind w:right="337"/>
        <w:spacing w:before="203" w:line="320" w:lineRule="auto"/>
        <w:rPr/>
      </w:pPr>
      <w:r>
        <w:rPr>
          <w:spacing w:val="5"/>
        </w:rPr>
        <w:t>当前最先进的端到端</w:t>
      </w:r>
      <w:r>
        <w:rPr>
          <w:rFonts w:ascii="SimSun" w:hAnsi="SimSun" w:eastAsia="SimSun" w:cs="SimSun"/>
        </w:rPr>
        <w:t>AI</w:t>
      </w:r>
      <w:r>
        <w:rPr>
          <w:spacing w:val="5"/>
        </w:rPr>
        <w:t>定时方案尚未在大型实验(如</w:t>
      </w:r>
      <w:r>
        <w:rPr>
          <w:rFonts w:ascii="SimSun" w:hAnsi="SimSun" w:eastAsia="SimSun" w:cs="SimSun"/>
        </w:rPr>
        <w:t>HL</w:t>
      </w:r>
      <w:r>
        <w:rPr>
          <w:rFonts w:ascii="SimSun" w:hAnsi="SimSun" w:eastAsia="SimSun" w:cs="SimSun"/>
          <w:spacing w:val="5"/>
        </w:rPr>
        <w:t>-</w:t>
      </w:r>
      <w:r>
        <w:rPr>
          <w:rFonts w:ascii="SimSun" w:hAnsi="SimSun" w:eastAsia="SimSun" w:cs="SimSun"/>
        </w:rPr>
        <w:t>LHC</w:t>
      </w:r>
      <w:r>
        <w:rPr>
          <w:rFonts w:ascii="SimSun" w:hAnsi="SimSun" w:eastAsia="SimSun" w:cs="SimSun"/>
          <w:spacing w:val="5"/>
        </w:rPr>
        <w:t>)  </w:t>
      </w:r>
      <w:r>
        <w:rPr>
          <w:spacing w:val="5"/>
        </w:rPr>
        <w:t>的前端电子学中实现规模化部</w:t>
      </w:r>
      <w:r>
        <w:rPr>
          <w:spacing w:val="2"/>
        </w:rPr>
        <w:t xml:space="preserve"> </w:t>
      </w:r>
      <w:r>
        <w:rPr>
          <w:spacing w:val="-3"/>
        </w:rPr>
        <w:t>署，主要受限于功耗、散热及辐射耐受性。</w:t>
      </w:r>
    </w:p>
    <w:p>
      <w:pPr>
        <w:spacing w:line="320" w:lineRule="auto"/>
        <w:sectPr>
          <w:pgSz w:w="12240" w:h="15840"/>
          <w:pgMar w:top="1255" w:right="1124" w:bottom="0" w:left="980" w:header="0" w:footer="0" w:gutter="0"/>
        </w:sectPr>
        <w:rPr/>
      </w:pPr>
    </w:p>
    <w:p>
      <w:pPr>
        <w:pStyle w:val="BodyText"/>
        <w:ind w:left="4"/>
        <w:spacing w:before="60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六、结论与战略前瞻</w:t>
      </w:r>
    </w:p>
    <w:p>
      <w:pPr>
        <w:pStyle w:val="BodyText"/>
        <w:ind w:right="99"/>
        <w:spacing w:before="192" w:line="328" w:lineRule="auto"/>
        <w:jc w:val="both"/>
        <w:rPr/>
      </w:pPr>
      <w:r>
        <w:rPr>
          <w:spacing w:val="7"/>
        </w:rPr>
        <w:t>综合现有证据，在某种程度上，**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7"/>
        </w:rPr>
        <w:t>算法(</w:t>
      </w:r>
      <w:r>
        <w:rPr>
          <w:spacing w:val="6"/>
        </w:rPr>
        <w:t>尤其是</w:t>
      </w:r>
      <w:r>
        <w:rPr>
          <w:rFonts w:ascii="Times New Roman" w:hAnsi="Times New Roman" w:eastAsia="Times New Roman" w:cs="Times New Roman"/>
        </w:rPr>
        <w:t>UNet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rFonts w:ascii="SimSun" w:hAnsi="SimSun" w:eastAsia="SimSun" w:cs="SimSun"/>
          <w:spacing w:val="6"/>
        </w:rPr>
        <w:t>、</w:t>
      </w:r>
      <w:r>
        <w:rPr>
          <w:rFonts w:ascii="Times New Roman" w:hAnsi="Times New Roman" w:eastAsia="Times New Roman" w:cs="Times New Roman"/>
        </w:rPr>
        <w:t>ResNet</w:t>
      </w:r>
      <w:r>
        <w:rPr>
          <w:rFonts w:ascii="Times New Roman" w:hAnsi="Times New Roman" w:eastAsia="Times New Roman" w:cs="Times New Roman"/>
          <w:spacing w:val="23"/>
        </w:rPr>
        <w:t xml:space="preserve">  </w:t>
      </w:r>
      <w:r>
        <w:rPr>
          <w:spacing w:val="6"/>
        </w:rPr>
        <w:t>及注意力增强架构)**确实能</w:t>
      </w:r>
      <w:r>
        <w:rPr/>
        <w:t xml:space="preserve"> </w:t>
      </w:r>
      <w:r>
        <w:rPr>
          <w:spacing w:val="7"/>
        </w:rPr>
        <w:t>够提升现有电子学读出时幅修正方法的性能上限，通常</w:t>
      </w:r>
      <w:r>
        <w:rPr>
          <w:spacing w:val="6"/>
        </w:rPr>
        <w:t>而言可带来10%-25%的定时精度改善，</w:t>
      </w:r>
      <w:r>
        <w:rPr/>
        <w:t xml:space="preserve"> </w:t>
      </w:r>
      <w:r>
        <w:rPr>
          <w:spacing w:val="-2"/>
        </w:rPr>
        <w:t>并在某些特定探测器类型上实现更为显著的增益。</w:t>
      </w:r>
    </w:p>
    <w:p>
      <w:pPr>
        <w:pStyle w:val="BodyText"/>
        <w:ind w:right="70"/>
        <w:spacing w:before="112" w:line="320" w:lineRule="auto"/>
        <w:rPr/>
      </w:pPr>
      <w:r>
        <w:rPr>
          <w:spacing w:val="1"/>
        </w:rPr>
        <w:t>然而，考虑到数据获取难度、计算资源需求、实</w:t>
      </w:r>
      <w:r>
        <w:rPr/>
        <w:t>时性约束及泛化风险等综合因素，目前</w:t>
      </w:r>
      <w:r>
        <w:rPr>
          <w:rFonts w:ascii="SimSun" w:hAnsi="SimSun" w:eastAsia="SimSun" w:cs="SimSun"/>
        </w:rPr>
        <w:t>AI</w:t>
      </w:r>
      <w:r>
        <w:rPr/>
        <w:t>方法尚</w:t>
      </w:r>
      <w:r>
        <w:rPr/>
        <w:t xml:space="preserve"> </w:t>
      </w:r>
      <w:r>
        <w:rPr>
          <w:spacing w:val="-1"/>
        </w:rPr>
        <w:t>难以完全取代经典</w:t>
      </w:r>
      <w:r>
        <w:rPr>
          <w:rFonts w:ascii="Times New Roman" w:hAnsi="Times New Roman" w:eastAsia="Times New Roman" w:cs="Times New Roman"/>
          <w:spacing w:val="-1"/>
        </w:rPr>
        <w:t>CFD </w:t>
      </w:r>
      <w:r>
        <w:rPr>
          <w:spacing w:val="-1"/>
        </w:rPr>
        <w:t>等工程成熟方案，而更适宜作为</w:t>
      </w:r>
      <w:r>
        <w:rPr>
          <w:spacing w:val="-2"/>
        </w:rPr>
        <w:t>后处理增强或混合修正策略存在。</w:t>
      </w:r>
    </w:p>
    <w:p>
      <w:pPr>
        <w:pStyle w:val="BodyText"/>
        <w:spacing w:before="113" w:line="331" w:lineRule="auto"/>
        <w:rPr/>
      </w:pPr>
      <w:r>
        <w:rPr/>
        <w:t>从更高战略格局看，该方向与智能化探测系统、下一代对撞机实验装置</w:t>
      </w:r>
      <w:r>
        <w:rPr/>
        <w:t xml:space="preserve"> </w:t>
      </w:r>
      <w:r>
        <w:rPr>
          <w:rFonts w:ascii="Arial" w:hAnsi="Arial" w:eastAsia="Arial" w:cs="Arial"/>
        </w:rPr>
        <w:t>(HL-LHC</w:t>
      </w:r>
      <w:r>
        <w:rPr>
          <w:rFonts w:ascii="SimSun" w:hAnsi="SimSun" w:eastAsia="SimSun" w:cs="SimSun"/>
        </w:rPr>
        <w:t>、</w:t>
      </w:r>
      <w:r>
        <w:rPr>
          <w:rFonts w:ascii="Arial" w:hAnsi="Arial" w:eastAsia="Arial" w:cs="Arial"/>
        </w:rPr>
        <w:t>FCC)</w:t>
      </w:r>
      <w:r>
        <w:rPr>
          <w:rFonts w:ascii="SimSun" w:hAnsi="SimSun" w:eastAsia="SimSun" w:cs="SimSun"/>
        </w:rPr>
        <w:t>、 </w:t>
      </w:r>
      <w:r>
        <w:rPr/>
        <w:t>精准</w:t>
      </w:r>
      <w:r>
        <w:rPr>
          <w:spacing w:val="12"/>
        </w:rPr>
        <w:t xml:space="preserve"> </w:t>
      </w:r>
      <w:r>
        <w:rPr>
          <w:spacing w:val="4"/>
        </w:rPr>
        <w:t>医疗(极致</w:t>
      </w:r>
      <w:r>
        <w:rPr>
          <w:rFonts w:ascii="SimSun" w:hAnsi="SimSun" w:eastAsia="SimSun" w:cs="SimSun"/>
        </w:rPr>
        <w:t>TOF</w:t>
      </w:r>
      <w:r>
        <w:rPr>
          <w:rFonts w:ascii="SimSun" w:hAnsi="SimSun" w:eastAsia="SimSun" w:cs="SimSun"/>
          <w:spacing w:val="4"/>
        </w:rPr>
        <w:t>-</w:t>
      </w:r>
      <w:r>
        <w:rPr>
          <w:rFonts w:ascii="SimSun" w:hAnsi="SimSun" w:eastAsia="SimSun" w:cs="SimSun"/>
        </w:rPr>
        <w:t>PET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53"/>
        </w:rPr>
        <w:t xml:space="preserve">  </w:t>
      </w:r>
      <w:r>
        <w:rPr>
          <w:spacing w:val="4"/>
        </w:rPr>
        <w:t>以及6</w:t>
      </w:r>
      <w:r>
        <w:rPr>
          <w:rFonts w:ascii="SimSun" w:hAnsi="SimSun" w:eastAsia="SimSun" w:cs="SimSun"/>
          <w:spacing w:val="4"/>
        </w:rPr>
        <w:t>G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4"/>
        </w:rPr>
        <w:t>通信中超高精度时间同步等领域高度契合。建议国家自然科学基</w:t>
      </w:r>
      <w:r>
        <w:rPr/>
        <w:t xml:space="preserve">  </w:t>
      </w:r>
      <w:r>
        <w:rPr>
          <w:spacing w:val="-1"/>
        </w:rPr>
        <w:t>金委及相关重点实验室持续关注以下路径：</w:t>
      </w:r>
    </w:p>
    <w:p>
      <w:pPr>
        <w:pStyle w:val="BodyText"/>
        <w:ind w:left="369"/>
        <w:spacing w:before="122" w:line="221" w:lineRule="auto"/>
        <w:rPr/>
      </w:pPr>
      <w:r>
        <w:rPr>
          <w:spacing w:val="-6"/>
        </w:rPr>
        <w:t>·物理信息嵌入的轻量级神经网络设计</w:t>
      </w:r>
    </w:p>
    <w:p>
      <w:pPr>
        <w:pStyle w:val="BodyText"/>
        <w:ind w:left="369"/>
        <w:spacing w:before="254" w:line="222" w:lineRule="auto"/>
        <w:rPr/>
      </w:pPr>
      <w:r>
        <w:rPr>
          <w:spacing w:val="-4"/>
        </w:rPr>
        <w:t>·模拟+少量真实数据混合训练范式</w:t>
      </w:r>
    </w:p>
    <w:p>
      <w:pPr>
        <w:pStyle w:val="BodyText"/>
        <w:ind w:left="369"/>
        <w:spacing w:before="250" w:line="221" w:lineRule="auto"/>
        <w:rPr/>
      </w:pPr>
      <w:r>
        <w:rPr>
          <w:spacing w:val="-6"/>
        </w:rPr>
        <w:t>·辐射硬化</w:t>
      </w:r>
      <w:r>
        <w:rPr>
          <w:rFonts w:ascii="SimSun" w:hAnsi="SimSun" w:eastAsia="SimSun" w:cs="SimSun"/>
          <w:spacing w:val="-6"/>
        </w:rPr>
        <w:t>AI</w:t>
      </w:r>
      <w:r>
        <w:rPr>
          <w:spacing w:val="-6"/>
        </w:rPr>
        <w:t>加速芯片联合研发</w:t>
      </w:r>
    </w:p>
    <w:p>
      <w:pPr>
        <w:pStyle w:val="BodyText"/>
        <w:ind w:right="84"/>
        <w:spacing w:before="313" w:line="305" w:lineRule="auto"/>
        <w:rPr/>
      </w:pPr>
      <w:r>
        <w:rPr>
          <w:rFonts w:ascii="Arial" w:hAnsi="Arial" w:eastAsia="Arial" w:cs="Arial"/>
        </w:rPr>
        <w:t>AI</w:t>
      </w:r>
      <w:r>
        <w:rPr>
          <w:spacing w:val="1"/>
        </w:rPr>
        <w:t>在时幅修正领域的潜力似乎正在逐步显现，但</w:t>
      </w:r>
      <w:r>
        <w:rPr/>
        <w:t>其真正从实验室走向大型科学装置的系统性工程</w:t>
      </w:r>
      <w:r>
        <w:rPr/>
        <w:t xml:space="preserve"> </w:t>
      </w:r>
      <w:r>
        <w:rPr>
          <w:spacing w:val="-2"/>
        </w:rPr>
        <w:t>化应用，仍有待进一步观察与长期验证。</w:t>
      </w:r>
    </w:p>
    <w:p>
      <w:pPr>
        <w:spacing w:before="192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Key Citations:</w:t>
      </w:r>
    </w:p>
    <w:p>
      <w:pPr>
        <w:spacing w:line="198" w:lineRule="auto"/>
        <w:sectPr>
          <w:pgSz w:w="12240" w:h="15840"/>
          <w:pgMar w:top="1204" w:right="1086" w:bottom="0" w:left="98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ind w:left="140" w:right="185" w:hanging="140"/>
        <w:spacing w:before="68" w:line="309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·Using</w:t>
      </w:r>
      <w:r>
        <w:rPr>
          <w:rFonts w:ascii="Arial" w:hAnsi="Arial" w:eastAsia="Arial" w:cs="Arial"/>
          <w:sz w:val="25"/>
          <w:szCs w:val="25"/>
          <w:spacing w:val="4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deep</w:t>
      </w:r>
      <w:r>
        <w:rPr>
          <w:rFonts w:ascii="Arial" w:hAnsi="Arial" w:eastAsia="Arial" w:cs="Arial"/>
          <w:sz w:val="25"/>
          <w:szCs w:val="25"/>
          <w:spacing w:val="4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neural</w:t>
      </w:r>
      <w:r>
        <w:rPr>
          <w:rFonts w:ascii="Arial" w:hAnsi="Arial" w:eastAsia="Arial" w:cs="Arial"/>
          <w:sz w:val="25"/>
          <w:szCs w:val="25"/>
          <w:spacing w:val="4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networks</w:t>
      </w:r>
      <w:r>
        <w:rPr>
          <w:rFonts w:ascii="Arial" w:hAnsi="Arial" w:eastAsia="Arial" w:cs="Arial"/>
          <w:sz w:val="25"/>
          <w:szCs w:val="25"/>
          <w:spacing w:val="3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to</w:t>
      </w:r>
      <w:r>
        <w:rPr>
          <w:rFonts w:ascii="Arial" w:hAnsi="Arial" w:eastAsia="Arial" w:cs="Arial"/>
          <w:sz w:val="25"/>
          <w:szCs w:val="25"/>
          <w:spacing w:val="4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improve</w:t>
      </w:r>
      <w:r>
        <w:rPr>
          <w:rFonts w:ascii="Arial" w:hAnsi="Arial" w:eastAsia="Arial" w:cs="Arial"/>
          <w:sz w:val="25"/>
          <w:szCs w:val="25"/>
          <w:spacing w:val="3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the</w:t>
      </w:r>
      <w:r>
        <w:rPr>
          <w:rFonts w:ascii="Arial" w:hAnsi="Arial" w:eastAsia="Arial" w:cs="Arial"/>
          <w:sz w:val="25"/>
          <w:szCs w:val="25"/>
          <w:spacing w:val="4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precision</w:t>
      </w:r>
      <w:r>
        <w:rPr>
          <w:rFonts w:ascii="Arial" w:hAnsi="Arial" w:eastAsia="Arial" w:cs="Arial"/>
          <w:sz w:val="25"/>
          <w:szCs w:val="25"/>
          <w:spacing w:val="3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of</w:t>
      </w:r>
      <w:r>
        <w:rPr>
          <w:rFonts w:ascii="Arial" w:hAnsi="Arial" w:eastAsia="Arial" w:cs="Arial"/>
          <w:sz w:val="25"/>
          <w:szCs w:val="25"/>
          <w:spacing w:val="21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fast-sampled</w:t>
      </w:r>
      <w:r>
        <w:rPr>
          <w:rFonts w:ascii="Arial" w:hAnsi="Arial" w:eastAsia="Arial" w:cs="Arial"/>
          <w:sz w:val="25"/>
          <w:szCs w:val="25"/>
          <w:spacing w:val="4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particle</w:t>
      </w:r>
      <w:r>
        <w:rPr>
          <w:rFonts w:ascii="Arial" w:hAnsi="Arial" w:eastAsia="Arial" w:cs="Arial"/>
          <w:sz w:val="25"/>
          <w:szCs w:val="25"/>
          <w:spacing w:val="3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timing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detectors,arXiv:2312</w:t>
      </w:r>
      <w:r>
        <w:rPr>
          <w:rFonts w:ascii="Arial" w:hAnsi="Arial" w:eastAsia="Arial" w:cs="Arial"/>
          <w:sz w:val="25"/>
          <w:szCs w:val="25"/>
          <w:spacing w:val="-1"/>
        </w:rPr>
        <w:t>.05883(2023)</w:t>
      </w:r>
    </w:p>
    <w:p>
      <w:pPr>
        <w:ind w:left="140" w:right="533" w:hanging="140"/>
        <w:spacing w:before="218" w:line="31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·Improving</w:t>
      </w:r>
      <w:r>
        <w:rPr>
          <w:rFonts w:ascii="Arial" w:hAnsi="Arial" w:eastAsia="Arial" w:cs="Arial"/>
          <w:sz w:val="25"/>
          <w:szCs w:val="25"/>
          <w:spacing w:val="2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timing</w:t>
      </w:r>
      <w:r>
        <w:rPr>
          <w:rFonts w:ascii="Arial" w:hAnsi="Arial" w:eastAsia="Arial" w:cs="Arial"/>
          <w:sz w:val="25"/>
          <w:szCs w:val="25"/>
          <w:spacing w:val="33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resolution</w:t>
      </w:r>
      <w:r>
        <w:rPr>
          <w:rFonts w:ascii="Arial" w:hAnsi="Arial" w:eastAsia="Arial" w:cs="Arial"/>
          <w:sz w:val="25"/>
          <w:szCs w:val="25"/>
          <w:spacing w:val="2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of</w:t>
      </w:r>
      <w:r>
        <w:rPr>
          <w:rFonts w:ascii="Arial" w:hAnsi="Arial" w:eastAsia="Arial" w:cs="Arial"/>
          <w:sz w:val="25"/>
          <w:szCs w:val="25"/>
          <w:spacing w:val="26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BGO</w:t>
      </w:r>
      <w:r>
        <w:rPr>
          <w:rFonts w:ascii="Arial" w:hAnsi="Arial" w:eastAsia="Arial" w:cs="Arial"/>
          <w:sz w:val="25"/>
          <w:szCs w:val="25"/>
          <w:spacing w:val="2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for</w:t>
      </w:r>
      <w:r>
        <w:rPr>
          <w:rFonts w:ascii="Arial" w:hAnsi="Arial" w:eastAsia="Arial" w:cs="Arial"/>
          <w:sz w:val="25"/>
          <w:szCs w:val="25"/>
          <w:spacing w:val="19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TOF-PET:a</w:t>
      </w:r>
      <w:r>
        <w:rPr>
          <w:rFonts w:ascii="Arial" w:hAnsi="Arial" w:eastAsia="Arial" w:cs="Arial"/>
          <w:sz w:val="25"/>
          <w:szCs w:val="25"/>
          <w:spacing w:val="2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comparative</w:t>
      </w:r>
      <w:r>
        <w:rPr>
          <w:rFonts w:ascii="Arial" w:hAnsi="Arial" w:eastAsia="Arial" w:cs="Arial"/>
          <w:sz w:val="25"/>
          <w:szCs w:val="25"/>
          <w:spacing w:val="2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analysis</w:t>
      </w:r>
      <w:r>
        <w:rPr>
          <w:rFonts w:ascii="Arial" w:hAnsi="Arial" w:eastAsia="Arial" w:cs="Arial"/>
          <w:sz w:val="25"/>
          <w:szCs w:val="25"/>
          <w:spacing w:val="1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with</w:t>
      </w:r>
      <w:r>
        <w:rPr>
          <w:rFonts w:ascii="Arial" w:hAnsi="Arial" w:eastAsia="Arial" w:cs="Arial"/>
          <w:sz w:val="25"/>
          <w:szCs w:val="25"/>
          <w:spacing w:val="26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and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without</w:t>
      </w:r>
      <w:r>
        <w:rPr>
          <w:rFonts w:ascii="Arial" w:hAnsi="Arial" w:eastAsia="Arial" w:cs="Arial"/>
          <w:sz w:val="25"/>
          <w:szCs w:val="25"/>
          <w:spacing w:val="58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deep</w:t>
      </w:r>
      <w:r>
        <w:rPr>
          <w:rFonts w:ascii="Arial" w:hAnsi="Arial" w:eastAsia="Arial" w:cs="Arial"/>
          <w:sz w:val="25"/>
          <w:szCs w:val="25"/>
          <w:spacing w:val="49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learning,EJNMMI</w:t>
      </w:r>
      <w:r>
        <w:rPr>
          <w:rFonts w:ascii="Arial" w:hAnsi="Arial" w:eastAsia="Arial" w:cs="Arial"/>
          <w:sz w:val="25"/>
          <w:szCs w:val="25"/>
          <w:spacing w:val="5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Physics</w:t>
      </w:r>
      <w:r>
        <w:rPr>
          <w:rFonts w:ascii="Arial" w:hAnsi="Arial" w:eastAsia="Arial" w:cs="Arial"/>
          <w:sz w:val="25"/>
          <w:szCs w:val="25"/>
          <w:spacing w:val="4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(2025)</w:t>
      </w:r>
    </w:p>
    <w:p>
      <w:pPr>
        <w:ind w:left="139" w:right="362" w:hanging="80"/>
        <w:spacing w:before="198" w:line="31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·Enhancing</w:t>
      </w:r>
      <w:r>
        <w:rPr>
          <w:rFonts w:ascii="Arial" w:hAnsi="Arial" w:eastAsia="Arial" w:cs="Arial"/>
          <w:sz w:val="25"/>
          <w:szCs w:val="25"/>
          <w:spacing w:val="3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Coincidence</w:t>
      </w:r>
      <w:r>
        <w:rPr>
          <w:rFonts w:ascii="Arial" w:hAnsi="Arial" w:eastAsia="Arial" w:cs="Arial"/>
          <w:sz w:val="25"/>
          <w:szCs w:val="25"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Time</w:t>
      </w:r>
      <w:r>
        <w:rPr>
          <w:rFonts w:ascii="Arial" w:hAnsi="Arial" w:eastAsia="Arial" w:cs="Arial"/>
          <w:sz w:val="25"/>
          <w:szCs w:val="25"/>
          <w:spacing w:val="3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Resolution</w:t>
      </w:r>
      <w:r>
        <w:rPr>
          <w:rFonts w:ascii="Arial" w:hAnsi="Arial" w:eastAsia="Arial" w:cs="Arial"/>
          <w:sz w:val="25"/>
          <w:szCs w:val="25"/>
          <w:spacing w:val="2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of</w:t>
      </w:r>
      <w:r>
        <w:rPr>
          <w:rFonts w:ascii="Arial" w:hAnsi="Arial" w:eastAsia="Arial" w:cs="Arial"/>
          <w:sz w:val="25"/>
          <w:szCs w:val="25"/>
          <w:spacing w:val="2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PET</w:t>
      </w:r>
      <w:r>
        <w:rPr>
          <w:rFonts w:ascii="Arial" w:hAnsi="Arial" w:eastAsia="Arial" w:cs="Arial"/>
          <w:sz w:val="25"/>
          <w:szCs w:val="25"/>
          <w:spacing w:val="2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detectors</w:t>
      </w:r>
      <w:r>
        <w:rPr>
          <w:rFonts w:ascii="Arial" w:hAnsi="Arial" w:eastAsia="Arial" w:cs="Arial"/>
          <w:sz w:val="25"/>
          <w:szCs w:val="25"/>
          <w:spacing w:val="3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using</w:t>
      </w:r>
      <w:r>
        <w:rPr>
          <w:rFonts w:ascii="Arial" w:hAnsi="Arial" w:eastAsia="Arial" w:cs="Arial"/>
          <w:sz w:val="25"/>
          <w:szCs w:val="25"/>
          <w:spacing w:val="23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short-time</w:t>
      </w:r>
      <w:r>
        <w:rPr>
          <w:rFonts w:ascii="Arial" w:hAnsi="Arial" w:eastAsia="Arial" w:cs="Arial"/>
          <w:sz w:val="25"/>
          <w:szCs w:val="25"/>
          <w:spacing w:val="3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Fourier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transform</w:t>
      </w:r>
      <w:r>
        <w:rPr>
          <w:rFonts w:ascii="Arial" w:hAnsi="Arial" w:eastAsia="Arial" w:cs="Arial"/>
          <w:sz w:val="25"/>
          <w:szCs w:val="25"/>
          <w:spacing w:val="5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and</w:t>
      </w:r>
      <w:r>
        <w:rPr>
          <w:rFonts w:ascii="Arial" w:hAnsi="Arial" w:eastAsia="Arial" w:cs="Arial"/>
          <w:sz w:val="25"/>
          <w:szCs w:val="25"/>
          <w:spacing w:val="6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residual</w:t>
      </w:r>
      <w:r>
        <w:rPr>
          <w:rFonts w:ascii="Arial" w:hAnsi="Arial" w:eastAsia="Arial" w:cs="Arial"/>
          <w:sz w:val="25"/>
          <w:szCs w:val="25"/>
          <w:spacing w:val="6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ne</w:t>
      </w:r>
      <w:r>
        <w:rPr>
          <w:rFonts w:ascii="Arial" w:hAnsi="Arial" w:eastAsia="Arial" w:cs="Arial"/>
          <w:sz w:val="25"/>
          <w:szCs w:val="25"/>
          <w:spacing w:val="-2"/>
        </w:rPr>
        <w:t>ural</w:t>
      </w:r>
      <w:r>
        <w:rPr>
          <w:rFonts w:ascii="Arial" w:hAnsi="Arial" w:eastAsia="Arial" w:cs="Arial"/>
          <w:sz w:val="25"/>
          <w:szCs w:val="25"/>
          <w:spacing w:val="60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network,Nuclear</w:t>
      </w:r>
      <w:r>
        <w:rPr>
          <w:rFonts w:ascii="Arial" w:hAnsi="Arial" w:eastAsia="Arial" w:cs="Arial"/>
          <w:sz w:val="25"/>
          <w:szCs w:val="25"/>
          <w:spacing w:val="63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Instruments</w:t>
      </w:r>
      <w:r>
        <w:rPr>
          <w:rFonts w:ascii="Arial" w:hAnsi="Arial" w:eastAsia="Arial" w:cs="Arial"/>
          <w:sz w:val="25"/>
          <w:szCs w:val="25"/>
          <w:spacing w:val="52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and</w:t>
      </w:r>
      <w:r>
        <w:rPr>
          <w:rFonts w:ascii="Arial" w:hAnsi="Arial" w:eastAsia="Arial" w:cs="Arial"/>
          <w:sz w:val="25"/>
          <w:szCs w:val="25"/>
          <w:spacing w:val="6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Methods(2024)</w:t>
      </w:r>
    </w:p>
    <w:p>
      <w:pPr>
        <w:ind w:left="140" w:right="859" w:hanging="140"/>
        <w:spacing w:before="197" w:line="314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·Machine</w:t>
      </w:r>
      <w:r>
        <w:rPr>
          <w:rFonts w:ascii="Arial" w:hAnsi="Arial" w:eastAsia="Arial" w:cs="Arial"/>
          <w:sz w:val="25"/>
          <w:szCs w:val="25"/>
          <w:spacing w:val="5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learning</w:t>
      </w:r>
      <w:r>
        <w:rPr>
          <w:rFonts w:ascii="Arial" w:hAnsi="Arial" w:eastAsia="Arial" w:cs="Arial"/>
          <w:sz w:val="25"/>
          <w:szCs w:val="25"/>
          <w:spacing w:val="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methods</w:t>
      </w:r>
      <w:r>
        <w:rPr>
          <w:rFonts w:ascii="Arial" w:hAnsi="Arial" w:eastAsia="Arial" w:cs="Arial"/>
          <w:sz w:val="25"/>
          <w:szCs w:val="25"/>
          <w:spacing w:val="3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for</w:t>
      </w:r>
      <w:r>
        <w:rPr>
          <w:rFonts w:ascii="Arial" w:hAnsi="Arial" w:eastAsia="Arial" w:cs="Arial"/>
          <w:sz w:val="25"/>
          <w:szCs w:val="25"/>
          <w:spacing w:val="40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pulse</w:t>
      </w:r>
      <w:r>
        <w:rPr>
          <w:rFonts w:ascii="Arial" w:hAnsi="Arial" w:eastAsia="Arial" w:cs="Arial"/>
          <w:sz w:val="25"/>
          <w:szCs w:val="25"/>
          <w:spacing w:val="36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arrival</w:t>
      </w:r>
      <w:r>
        <w:rPr>
          <w:rFonts w:ascii="Arial" w:hAnsi="Arial" w:eastAsia="Arial" w:cs="Arial"/>
          <w:sz w:val="25"/>
          <w:szCs w:val="25"/>
          <w:spacing w:val="3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time</w:t>
      </w:r>
      <w:r>
        <w:rPr>
          <w:rFonts w:ascii="Arial" w:hAnsi="Arial" w:eastAsia="Arial" w:cs="Arial"/>
          <w:sz w:val="25"/>
          <w:szCs w:val="25"/>
          <w:spacing w:val="3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and</w:t>
      </w:r>
      <w:r>
        <w:rPr>
          <w:rFonts w:ascii="Arial" w:hAnsi="Arial" w:eastAsia="Arial" w:cs="Arial"/>
          <w:sz w:val="25"/>
          <w:szCs w:val="25"/>
          <w:spacing w:val="36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amplitude</w:t>
      </w:r>
      <w:r>
        <w:rPr>
          <w:rFonts w:ascii="Arial" w:hAnsi="Arial" w:eastAsia="Arial" w:cs="Arial"/>
          <w:sz w:val="25"/>
          <w:szCs w:val="25"/>
          <w:spacing w:val="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reconstruction,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arXiv:2504.17272(2025)</w:t>
      </w:r>
    </w:p>
    <w:p>
      <w:pPr>
        <w:ind w:left="140" w:right="1680" w:hanging="140"/>
        <w:spacing w:before="208" w:line="31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·WAVE:Machine  Learning  for  Full-Waveform  Time-Of-Flight  Detecto</w:t>
      </w:r>
      <w:r>
        <w:rPr>
          <w:rFonts w:ascii="Arial" w:hAnsi="Arial" w:eastAsia="Arial" w:cs="Arial"/>
          <w:sz w:val="25"/>
          <w:szCs w:val="25"/>
          <w:spacing w:val="-2"/>
        </w:rPr>
        <w:t>rs,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arXiv:1811.05875(2018)&amp;follow-up    works</w:t>
      </w:r>
    </w:p>
    <w:p>
      <w:pPr>
        <w:ind w:left="140" w:right="715" w:hanging="140"/>
        <w:spacing w:before="218" w:line="314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·ATLAS</w:t>
      </w:r>
      <w:r>
        <w:rPr>
          <w:rFonts w:ascii="Arial" w:hAnsi="Arial" w:eastAsia="Arial" w:cs="Arial"/>
          <w:sz w:val="25"/>
          <w:szCs w:val="25"/>
          <w:spacing w:val="6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Experiment</w:t>
      </w:r>
      <w:r>
        <w:rPr>
          <w:rFonts w:ascii="Arial" w:hAnsi="Arial" w:eastAsia="Arial" w:cs="Arial"/>
          <w:sz w:val="25"/>
          <w:szCs w:val="25"/>
          <w:spacing w:val="4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at</w:t>
      </w:r>
      <w:r>
        <w:rPr>
          <w:rFonts w:ascii="Arial" w:hAnsi="Arial" w:eastAsia="Arial" w:cs="Arial"/>
          <w:sz w:val="25"/>
          <w:szCs w:val="25"/>
          <w:spacing w:val="4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CERN-Machine</w:t>
      </w:r>
      <w:r>
        <w:rPr>
          <w:rFonts w:ascii="Arial" w:hAnsi="Arial" w:eastAsia="Arial" w:cs="Arial"/>
          <w:sz w:val="25"/>
          <w:szCs w:val="25"/>
          <w:spacing w:val="5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Learning</w:t>
      </w:r>
      <w:r>
        <w:rPr>
          <w:rFonts w:ascii="Arial" w:hAnsi="Arial" w:eastAsia="Arial" w:cs="Arial"/>
          <w:sz w:val="25"/>
          <w:szCs w:val="25"/>
          <w:spacing w:val="4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applications</w:t>
      </w:r>
      <w:r>
        <w:rPr>
          <w:rFonts w:ascii="Arial" w:hAnsi="Arial" w:eastAsia="Arial" w:cs="Arial"/>
          <w:sz w:val="25"/>
          <w:szCs w:val="25"/>
          <w:spacing w:val="44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overview</w:t>
      </w:r>
      <w:r>
        <w:rPr>
          <w:rFonts w:ascii="Arial" w:hAnsi="Arial" w:eastAsia="Arial" w:cs="Arial"/>
          <w:sz w:val="25"/>
          <w:szCs w:val="25"/>
          <w:spacing w:val="51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(ongoing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updates</w:t>
      </w:r>
      <w:r>
        <w:rPr>
          <w:rFonts w:ascii="Arial" w:hAnsi="Arial" w:eastAsia="Arial" w:cs="Arial"/>
          <w:sz w:val="25"/>
          <w:szCs w:val="25"/>
          <w:spacing w:val="3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to</w:t>
      </w:r>
      <w:r>
        <w:rPr>
          <w:rFonts w:ascii="Arial" w:hAnsi="Arial" w:eastAsia="Arial" w:cs="Arial"/>
          <w:sz w:val="25"/>
          <w:szCs w:val="25"/>
          <w:spacing w:val="41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2025)</w:t>
      </w:r>
    </w:p>
    <w:p>
      <w:pPr>
        <w:ind w:left="140" w:hanging="140"/>
        <w:spacing w:before="179" w:line="330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·Living</w:t>
      </w:r>
      <w:r>
        <w:rPr>
          <w:rFonts w:ascii="Arial" w:hAnsi="Arial" w:eastAsia="Arial" w:cs="Arial"/>
          <w:sz w:val="25"/>
          <w:szCs w:val="25"/>
          <w:spacing w:val="5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Review</w:t>
      </w:r>
      <w:r>
        <w:rPr>
          <w:rFonts w:ascii="Arial" w:hAnsi="Arial" w:eastAsia="Arial" w:cs="Arial"/>
          <w:sz w:val="25"/>
          <w:szCs w:val="25"/>
          <w:spacing w:val="4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of</w:t>
      </w:r>
      <w:r>
        <w:rPr>
          <w:rFonts w:ascii="Arial" w:hAnsi="Arial" w:eastAsia="Arial" w:cs="Arial"/>
          <w:sz w:val="25"/>
          <w:szCs w:val="25"/>
          <w:spacing w:val="4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Machine</w:t>
      </w:r>
      <w:r>
        <w:rPr>
          <w:rFonts w:ascii="Arial" w:hAnsi="Arial" w:eastAsia="Arial" w:cs="Arial"/>
          <w:sz w:val="25"/>
          <w:szCs w:val="25"/>
          <w:spacing w:val="5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Learning</w:t>
      </w:r>
      <w:r>
        <w:rPr>
          <w:rFonts w:ascii="Arial" w:hAnsi="Arial" w:eastAsia="Arial" w:cs="Arial"/>
          <w:sz w:val="25"/>
          <w:szCs w:val="25"/>
          <w:spacing w:val="3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for</w:t>
      </w:r>
      <w:r>
        <w:rPr>
          <w:rFonts w:ascii="Arial" w:hAnsi="Arial" w:eastAsia="Arial" w:cs="Arial"/>
          <w:sz w:val="25"/>
          <w:szCs w:val="25"/>
          <w:spacing w:val="47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Particle</w:t>
      </w:r>
      <w:r>
        <w:rPr>
          <w:rFonts w:ascii="Arial" w:hAnsi="Arial" w:eastAsia="Arial" w:cs="Arial"/>
          <w:sz w:val="25"/>
          <w:szCs w:val="25"/>
          <w:spacing w:val="5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Physics(HEPML-LivingReview,GitHub,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continuously</w:t>
      </w:r>
      <w:r>
        <w:rPr>
          <w:rFonts w:ascii="Arial" w:hAnsi="Arial" w:eastAsia="Arial" w:cs="Arial"/>
          <w:sz w:val="25"/>
          <w:szCs w:val="25"/>
          <w:spacing w:val="6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updated</w:t>
      </w:r>
      <w:r>
        <w:rPr>
          <w:rFonts w:ascii="Arial" w:hAnsi="Arial" w:eastAsia="Arial" w:cs="Arial"/>
          <w:sz w:val="25"/>
          <w:szCs w:val="25"/>
          <w:spacing w:val="4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to</w:t>
      </w:r>
      <w:r>
        <w:rPr>
          <w:rFonts w:ascii="Arial" w:hAnsi="Arial" w:eastAsia="Arial" w:cs="Arial"/>
          <w:sz w:val="25"/>
          <w:szCs w:val="25"/>
          <w:spacing w:val="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2025)</w:t>
      </w:r>
    </w:p>
    <w:sectPr>
      <w:pgSz w:w="12240" w:h="15840"/>
      <w:pgMar w:top="1129" w:right="1137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2026-03-15T23:59:43</vt:filetime>
  </property>
  <property fmtid="{D5CDD505-2E9C-101B-9397-08002B2CF9AE}" pid="4" name="UsrData">
    <vt:lpwstr>69b6d76dd3e451001fc5bef2wl</vt:lpwstr>
  </property>
</Properties>
</file>