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12"/>
        <w:spacing w:before="95" w:line="218" w:lineRule="auto"/>
        <w:outlineLvl w:val="0"/>
        <w:rPr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spacing w:val="-11"/>
        </w:rPr>
        <w:t>AI</w:t>
      </w:r>
      <w:r>
        <w:rPr>
          <w:sz w:val="46"/>
          <w:szCs w:val="46"/>
          <w:spacing w:val="-11"/>
        </w:rPr>
        <w:t>算法在电子学读出时幅修正方法中的应用调研报</w:t>
      </w:r>
      <w:r>
        <w:rPr>
          <w:sz w:val="46"/>
          <w:szCs w:val="46"/>
          <w:spacing w:val="10"/>
        </w:rPr>
        <w:t xml:space="preserve"> </w:t>
      </w:r>
      <w:r>
        <w:rPr>
          <w:sz w:val="46"/>
          <w:szCs w:val="46"/>
        </w:rPr>
        <w:t>告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outlineLvl w:val="1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6"/>
        </w:rPr>
        <w:t>1.</w:t>
      </w:r>
      <w:r>
        <w:rPr>
          <w:sz w:val="36"/>
          <w:szCs w:val="36"/>
          <w:b/>
          <w:bCs/>
          <w:spacing w:val="-6"/>
        </w:rPr>
        <w:t>背景介绍：现有电子学读出时幅修正方法</w:t>
      </w:r>
      <w:r>
        <w:rPr>
          <w:sz w:val="36"/>
          <w:szCs w:val="36"/>
          <w:b/>
          <w:bCs/>
          <w:spacing w:val="-7"/>
        </w:rPr>
        <w:t>及其局限</w:t>
      </w:r>
    </w:p>
    <w:p>
      <w:pPr>
        <w:pStyle w:val="BodyText"/>
        <w:spacing w:before="197" w:line="345" w:lineRule="auto"/>
        <w:jc w:val="both"/>
        <w:rPr/>
      </w:pPr>
      <w:r>
        <w:rPr>
          <w:spacing w:val="6"/>
        </w:rPr>
        <w:t>在核电子学、粒子探测器(如闪烁体、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SiPM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rFonts w:ascii="SimSun" w:hAnsi="SimSun" w:eastAsia="SimSun" w:cs="SimSun"/>
          <w:spacing w:val="6"/>
        </w:rPr>
        <w:t>、</w:t>
      </w:r>
      <w:r>
        <w:rPr>
          <w:rFonts w:ascii="Times New Roman" w:hAnsi="Times New Roman" w:eastAsia="Times New Roman" w:cs="Times New Roman"/>
        </w:rPr>
        <w:t>HPGe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rFonts w:ascii="SimSun" w:hAnsi="SimSun" w:eastAsia="SimSun" w:cs="SimSun"/>
          <w:spacing w:val="6"/>
        </w:rPr>
        <w:t>、</w:t>
      </w:r>
      <w:r>
        <w:rPr>
          <w:rFonts w:ascii="Times New Roman" w:hAnsi="Times New Roman" w:eastAsia="Times New Roman" w:cs="Times New Roman"/>
        </w:rPr>
        <w:t>MRPC</w:t>
      </w:r>
      <w:r>
        <w:rPr>
          <w:rFonts w:ascii="Times New Roman" w:hAnsi="Times New Roman" w:eastAsia="Times New Roman" w:cs="Times New Roman"/>
          <w:spacing w:val="6"/>
        </w:rPr>
        <w:t>)       </w:t>
      </w:r>
      <w:r>
        <w:rPr>
          <w:spacing w:val="6"/>
        </w:rPr>
        <w:t>和</w:t>
      </w:r>
      <w:r>
        <w:rPr>
          <w:rFonts w:ascii="Times New Roman" w:hAnsi="Times New Roman" w:eastAsia="Times New Roman" w:cs="Times New Roman"/>
        </w:rPr>
        <w:t>TOF</w:t>
      </w:r>
      <w:r>
        <w:rPr>
          <w:rFonts w:ascii="Times New Roman" w:hAnsi="Times New Roman" w:eastAsia="Times New Roman" w:cs="Times New Roman"/>
          <w:spacing w:val="6"/>
        </w:rPr>
        <w:t>-</w:t>
      </w:r>
      <w:r>
        <w:rPr>
          <w:rFonts w:ascii="Times New Roman" w:hAnsi="Times New Roman" w:eastAsia="Times New Roman" w:cs="Times New Roman"/>
        </w:rPr>
        <w:t>PET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spacing w:val="6"/>
        </w:rPr>
        <w:t>(飞行时间正</w:t>
      </w:r>
      <w:r>
        <w:rPr>
          <w:spacing w:val="5"/>
        </w:rPr>
        <w:t>电子发</w:t>
      </w:r>
      <w:r>
        <w:rPr/>
        <w:t xml:space="preserve"> </w:t>
      </w:r>
      <w:r>
        <w:rPr>
          <w:spacing w:val="16"/>
        </w:rPr>
        <w:t>射断层扫描)系统中，时幅修正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(</w:t>
      </w:r>
      <w:r>
        <w:rPr>
          <w:rFonts w:ascii="SimSun" w:hAnsi="SimSun" w:eastAsia="SimSun" w:cs="SimSun"/>
        </w:rPr>
        <w:t>time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rFonts w:ascii="SimSun" w:hAnsi="SimSun" w:eastAsia="SimSun" w:cs="SimSun"/>
        </w:rPr>
        <w:t>walk</w:t>
      </w:r>
      <w:r>
        <w:rPr>
          <w:rFonts w:ascii="SimSun" w:hAnsi="SimSun" w:eastAsia="SimSun" w:cs="SimSun"/>
          <w:spacing w:val="63"/>
        </w:rPr>
        <w:t xml:space="preserve"> </w:t>
      </w:r>
      <w:r>
        <w:rPr>
          <w:rFonts w:ascii="SimSun" w:hAnsi="SimSun" w:eastAsia="SimSun" w:cs="SimSun"/>
        </w:rPr>
        <w:t>correction</w:t>
      </w:r>
      <w:r>
        <w:rPr>
          <w:rFonts w:ascii="SimSun" w:hAnsi="SimSun" w:eastAsia="SimSun" w:cs="SimSun"/>
          <w:spacing w:val="16"/>
        </w:rPr>
        <w:t>,</w:t>
      </w:r>
      <w:r>
        <w:rPr>
          <w:spacing w:val="16"/>
        </w:rPr>
        <w:t>或称时间走动修正)是提高定时分辨率</w:t>
      </w:r>
      <w:r>
        <w:rPr/>
        <w:t xml:space="preserve"> </w:t>
      </w:r>
      <w:r>
        <w:rPr>
          <w:spacing w:val="7"/>
        </w:rPr>
        <w:t>的关键技术。传统方法主要包括：</w:t>
      </w:r>
    </w:p>
    <w:p>
      <w:pPr>
        <w:spacing w:line="113" w:lineRule="exact"/>
        <w:rPr/>
      </w:pPr>
      <w:r/>
    </w:p>
    <w:tbl>
      <w:tblPr>
        <w:tblStyle w:val="TableNormal"/>
        <w:tblW w:w="9678" w:type="dxa"/>
        <w:tblInd w:w="35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99"/>
        <w:gridCol w:w="6879"/>
      </w:tblGrid>
      <w:tr>
        <w:trPr>
          <w:trHeight w:val="319" w:hRule="atLeast"/>
        </w:trPr>
        <w:tc>
          <w:tcPr>
            <w:tcW w:w="2799" w:type="dxa"/>
            <w:vAlign w:val="top"/>
          </w:tcPr>
          <w:p>
            <w:pPr>
              <w:spacing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6"/>
              </w:rPr>
              <w:t>·</w:t>
            </w:r>
            <w:r>
              <w:rPr>
                <w:rFonts w:ascii="SimHei" w:hAnsi="SimHei" w:eastAsia="SimHei" w:cs="SimHei"/>
                <w:sz w:val="23"/>
                <w:szCs w:val="23"/>
                <w:spacing w:val="-94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spacing w:val="-6"/>
              </w:rPr>
              <w:t>领先边沿鉴别</w:t>
            </w:r>
            <w:r>
              <w:rPr>
                <w:rFonts w:ascii="SimHei" w:hAnsi="SimHei" w:eastAsia="SimHei" w:cs="SimHei"/>
                <w:sz w:val="23"/>
                <w:szCs w:val="23"/>
                <w:spacing w:val="-6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spacing w:val="-6"/>
              </w:rPr>
              <w:t>(</w:t>
            </w:r>
            <w:r>
              <w:rPr>
                <w:rFonts w:ascii="SimHei" w:hAnsi="SimHei" w:eastAsia="SimHei" w:cs="SimHei"/>
                <w:sz w:val="23"/>
                <w:szCs w:val="23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6"/>
              </w:rPr>
              <w:t>Leading</w:t>
            </w:r>
          </w:p>
        </w:tc>
        <w:tc>
          <w:tcPr>
            <w:tcW w:w="6879" w:type="dxa"/>
            <w:vAlign w:val="top"/>
          </w:tcPr>
          <w:p>
            <w:pPr>
              <w:spacing w:before="1" w:line="212" w:lineRule="auto"/>
              <w:jc w:val="right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Edge</w:t>
            </w:r>
            <w:r>
              <w:rPr>
                <w:rFonts w:ascii="SimSun" w:hAnsi="SimSun" w:eastAsia="SimSun" w:cs="SimSun"/>
                <w:sz w:val="23"/>
                <w:szCs w:val="23"/>
                <w:spacing w:val="47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</w:rPr>
              <w:t>Discrimination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</w:rPr>
              <w:t>LED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)</w:t>
            </w:r>
            <w:r>
              <w:rPr>
                <w:rFonts w:ascii="SimHei" w:hAnsi="SimHei" w:eastAsia="SimHei" w:cs="SimHei"/>
                <w:sz w:val="23"/>
                <w:szCs w:val="23"/>
                <w:spacing w:val="3"/>
              </w:rPr>
              <w:t>:</w:t>
            </w:r>
            <w:r>
              <w:rPr>
                <w:rFonts w:ascii="SimHei" w:hAnsi="SimHei" w:eastAsia="SimHei" w:cs="SimHei"/>
                <w:sz w:val="23"/>
                <w:szCs w:val="23"/>
                <w:spacing w:val="46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spacing w:val="3"/>
              </w:rPr>
              <w:t>简单，但对信号幅度敏感，导致低</w:t>
            </w:r>
          </w:p>
        </w:tc>
      </w:tr>
      <w:tr>
        <w:trPr>
          <w:trHeight w:val="333" w:hRule="atLeast"/>
        </w:trPr>
        <w:tc>
          <w:tcPr>
            <w:tcW w:w="2799" w:type="dxa"/>
            <w:vAlign w:val="top"/>
          </w:tcPr>
          <w:p>
            <w:pPr>
              <w:ind w:left="149"/>
              <w:spacing w:before="86" w:line="190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8"/>
              </w:rPr>
              <w:t>幅度信号定时延迟</w:t>
            </w:r>
            <w:r>
              <w:rPr>
                <w:rFonts w:ascii="SimHei" w:hAnsi="SimHei" w:eastAsia="SimHei" w:cs="SimHei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time</w:t>
            </w:r>
          </w:p>
        </w:tc>
        <w:tc>
          <w:tcPr>
            <w:tcW w:w="6879" w:type="dxa"/>
            <w:vAlign w:val="top"/>
          </w:tcPr>
          <w:p>
            <w:pPr>
              <w:ind w:left="124"/>
              <w:spacing w:before="86" w:line="190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walk</w:t>
            </w:r>
            <w:r>
              <w:rPr>
                <w:rFonts w:ascii="SimHei" w:hAnsi="SimHei" w:eastAsia="SimHei" w:cs="SimHei"/>
                <w:sz w:val="23"/>
                <w:szCs w:val="23"/>
                <w:spacing w:val="2"/>
              </w:rPr>
              <w:t>效应)。</w:t>
            </w:r>
          </w:p>
        </w:tc>
      </w:tr>
    </w:tbl>
    <w:p>
      <w:pPr>
        <w:pStyle w:val="BodyText"/>
        <w:ind w:left="508" w:right="128" w:hanging="149"/>
        <w:spacing w:before="315" w:line="272" w:lineRule="auto"/>
        <w:rPr/>
      </w:pPr>
      <w:r>
        <w:rPr>
          <w:spacing w:val="1"/>
        </w:rPr>
        <w:t>·</w:t>
      </w:r>
      <w:r>
        <w:rPr>
          <w:spacing w:val="-70"/>
        </w:rPr>
        <w:t xml:space="preserve"> </w:t>
      </w:r>
      <w:r>
        <w:rPr>
          <w:spacing w:val="1"/>
        </w:rPr>
        <w:t>常量分数鉴别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Constant</w:t>
      </w:r>
      <w:r>
        <w:rPr>
          <w:rFonts w:ascii="SimSun" w:hAnsi="SimSun" w:eastAsia="SimSun" w:cs="SimSun"/>
          <w:spacing w:val="48"/>
        </w:rPr>
        <w:t xml:space="preserve">  </w:t>
      </w:r>
      <w:r>
        <w:rPr>
          <w:rFonts w:ascii="SimSun" w:hAnsi="SimSun" w:eastAsia="SimSun" w:cs="SimSun"/>
        </w:rPr>
        <w:t>Fraction</w:t>
      </w:r>
      <w:r>
        <w:rPr>
          <w:rFonts w:ascii="SimSun" w:hAnsi="SimSun" w:eastAsia="SimSun" w:cs="SimSun"/>
          <w:spacing w:val="47"/>
        </w:rPr>
        <w:t xml:space="preserve">  </w:t>
      </w:r>
      <w:r>
        <w:rPr>
          <w:rFonts w:ascii="SimSun" w:hAnsi="SimSun" w:eastAsia="SimSun" w:cs="SimSun"/>
        </w:rPr>
        <w:t>Discrimination</w:t>
      </w:r>
      <w:r>
        <w:rPr>
          <w:rFonts w:ascii="SimSun" w:hAnsi="SimSun" w:eastAsia="SimSun" w:cs="SimSun"/>
          <w:spacing w:val="1"/>
        </w:rPr>
        <w:t>,</w:t>
      </w:r>
      <w:r>
        <w:rPr>
          <w:rFonts w:ascii="SimSun" w:hAnsi="SimSun" w:eastAsia="SimSun" w:cs="SimSun"/>
        </w:rPr>
        <w:t>CFD</w:t>
      </w:r>
      <w:r>
        <w:rPr>
          <w:rFonts w:ascii="SimSun" w:hAnsi="SimSun" w:eastAsia="SimSun" w:cs="SimSun"/>
          <w:spacing w:val="1"/>
        </w:rPr>
        <w:t>):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1"/>
        </w:rPr>
        <w:t>通过归一化波形并施加固定分</w:t>
      </w:r>
      <w:r>
        <w:rPr/>
        <w:t xml:space="preserve"> </w:t>
      </w:r>
      <w:r>
        <w:rPr>
          <w:spacing w:val="9"/>
        </w:rPr>
        <w:t>数阈值，减轻幅度依赖，但对噪声和波形变异敏感，且丢</w:t>
      </w:r>
      <w:r>
        <w:rPr>
          <w:spacing w:val="8"/>
        </w:rPr>
        <w:t>弃部分信息。</w:t>
      </w:r>
    </w:p>
    <w:p>
      <w:pPr>
        <w:pStyle w:val="BodyText"/>
        <w:ind w:left="508" w:right="177" w:hanging="149"/>
        <w:spacing w:before="262" w:line="284" w:lineRule="auto"/>
        <w:rPr/>
      </w:pPr>
      <w:r>
        <w:rPr>
          <w:spacing w:val="4"/>
        </w:rPr>
        <w:t>·双阈值时间走动修正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4"/>
        </w:rPr>
        <w:t>(</w:t>
      </w:r>
      <w:r>
        <w:rPr>
          <w:rFonts w:ascii="Arial" w:hAnsi="Arial" w:eastAsia="Arial" w:cs="Arial"/>
        </w:rPr>
        <w:t>Time</w:t>
      </w:r>
      <w:r>
        <w:rPr>
          <w:rFonts w:ascii="Arial" w:hAnsi="Arial" w:eastAsia="Arial" w:cs="Arial"/>
          <w:spacing w:val="4"/>
        </w:rPr>
        <w:t xml:space="preserve">     </w:t>
      </w:r>
      <w:r>
        <w:rPr>
          <w:rFonts w:ascii="Arial" w:hAnsi="Arial" w:eastAsia="Arial" w:cs="Arial"/>
        </w:rPr>
        <w:t>Walk</w:t>
      </w:r>
      <w:r>
        <w:rPr>
          <w:rFonts w:ascii="Arial" w:hAnsi="Arial" w:eastAsia="Arial" w:cs="Arial"/>
          <w:spacing w:val="4"/>
        </w:rPr>
        <w:t xml:space="preserve">     </w:t>
      </w:r>
      <w:r>
        <w:rPr>
          <w:rFonts w:ascii="Arial" w:hAnsi="Arial" w:eastAsia="Arial" w:cs="Arial"/>
        </w:rPr>
        <w:t>Correction</w:t>
      </w:r>
      <w:r>
        <w:rPr>
          <w:rFonts w:ascii="Arial" w:hAnsi="Arial" w:eastAsia="Arial" w:cs="Arial"/>
          <w:spacing w:val="4"/>
        </w:rPr>
        <w:t>,</w:t>
      </w:r>
      <w:r>
        <w:rPr>
          <w:rFonts w:ascii="Arial" w:hAnsi="Arial" w:eastAsia="Arial" w:cs="Arial"/>
        </w:rPr>
        <w:t>TWC</w:t>
      </w:r>
      <w:r>
        <w:rPr>
          <w:rFonts w:ascii="Arial" w:hAnsi="Arial" w:eastAsia="Arial" w:cs="Arial"/>
          <w:spacing w:val="4"/>
        </w:rPr>
        <w:t>):  </w:t>
      </w:r>
      <w:r>
        <w:rPr>
          <w:spacing w:val="4"/>
        </w:rPr>
        <w:t>使用第二个阈值测量上升时间进行</w:t>
      </w:r>
      <w:r>
        <w:rPr/>
        <w:t xml:space="preserve"> </w:t>
      </w:r>
      <w:r>
        <w:rPr>
          <w:spacing w:val="8"/>
        </w:rPr>
        <w:t>校正，效果更好但仍有限。</w:t>
      </w:r>
    </w:p>
    <w:p>
      <w:pPr>
        <w:pStyle w:val="BodyText"/>
        <w:ind w:left="359"/>
        <w:spacing w:before="275" w:line="213" w:lineRule="auto"/>
        <w:rPr/>
      </w:pPr>
      <w:r>
        <w:rPr>
          <w:spacing w:val="4"/>
        </w:rPr>
        <w:t>·</w:t>
      </w:r>
      <w:r>
        <w:rPr>
          <w:spacing w:val="-90"/>
        </w:rPr>
        <w:t xml:space="preserve"> </w:t>
      </w:r>
      <w:r>
        <w:rPr>
          <w:spacing w:val="4"/>
        </w:rPr>
        <w:t>模拟优化或多项式拟合：依赖硬件调优，复杂且难以泛化。</w:t>
      </w:r>
    </w:p>
    <w:p>
      <w:pPr>
        <w:pStyle w:val="BodyText"/>
        <w:ind w:right="38"/>
        <w:spacing w:before="300" w:line="346" w:lineRule="auto"/>
        <w:rPr/>
      </w:pPr>
      <w:r>
        <w:rPr>
          <w:spacing w:val="12"/>
        </w:rPr>
        <w:t>这些方法在实际应用中定时分辨率通常在100-300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ps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(闪烁体)或几</w:t>
      </w:r>
      <w:r>
        <w:rPr>
          <w:rFonts w:ascii="Times New Roman" w:hAnsi="Times New Roman" w:eastAsia="Times New Roman" w:cs="Times New Roman"/>
        </w:rPr>
        <w:t>ns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rFonts w:ascii="Times New Roman" w:hAnsi="Times New Roman" w:eastAsia="Times New Roman" w:cs="Times New Roman"/>
        </w:rPr>
        <w:t>HPGe</w:t>
      </w:r>
      <w:r>
        <w:rPr>
          <w:rFonts w:ascii="Times New Roman" w:hAnsi="Times New Roman" w:eastAsia="Times New Roman" w:cs="Times New Roman"/>
          <w:spacing w:val="11"/>
        </w:rPr>
        <w:t>)        </w:t>
      </w:r>
      <w:r>
        <w:rPr>
          <w:spacing w:val="11"/>
        </w:rPr>
        <w:t>级别，但受噪</w:t>
      </w:r>
      <w:r>
        <w:rPr/>
        <w:t xml:space="preserve"> </w:t>
      </w:r>
      <w:r>
        <w:rPr>
          <w:spacing w:val="9"/>
        </w:rPr>
        <w:t>声、波形变异、幅度波动影响，难以进一步优化，尤其在高计数率或复杂环境中。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outlineLvl w:val="1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2"/>
        </w:rPr>
        <w:t>2.AI</w:t>
      </w:r>
      <w:r>
        <w:rPr>
          <w:sz w:val="36"/>
          <w:szCs w:val="36"/>
          <w:b/>
          <w:bCs/>
          <w:spacing w:val="-2"/>
        </w:rPr>
        <w:t>算法的应用与提升效果</w:t>
      </w:r>
    </w:p>
    <w:p>
      <w:pPr>
        <w:pStyle w:val="BodyText"/>
        <w:ind w:right="128"/>
        <w:spacing w:before="220" w:line="342" w:lineRule="auto"/>
        <w:jc w:val="both"/>
        <w:rPr/>
      </w:pPr>
      <w:r>
        <w:rPr>
          <w:spacing w:val="23"/>
        </w:rPr>
        <w:t>近年来(2020-2025年),多项研究表明，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23"/>
        </w:rPr>
        <w:t>算法(特别是机器学习和深度</w:t>
      </w:r>
      <w:r>
        <w:rPr>
          <w:spacing w:val="22"/>
        </w:rPr>
        <w:t>学习)能显著提升时</w:t>
      </w:r>
      <w:r>
        <w:rPr/>
        <w:t xml:space="preserve"> </w:t>
      </w:r>
      <w:r>
        <w:rPr>
          <w:spacing w:val="10"/>
        </w:rPr>
        <w:t>幅修正性能。主要通过直接从数字化波形中学习复杂模式，预测粒子到达时间或</w:t>
      </w:r>
      <w:r>
        <w:rPr>
          <w:spacing w:val="9"/>
        </w:rPr>
        <w:t>优化定时参数，</w:t>
      </w:r>
      <w:r>
        <w:rPr/>
        <w:t xml:space="preserve"> </w:t>
      </w:r>
      <w:r>
        <w:rPr>
          <w:spacing w:val="9"/>
        </w:rPr>
        <w:t>取代或补充传统方法。常见</w:t>
      </w:r>
      <w:r>
        <w:rPr>
          <w:rFonts w:ascii="SimSun" w:hAnsi="SimSun" w:eastAsia="SimSun" w:cs="SimSun"/>
        </w:rPr>
        <w:t>AI</w:t>
      </w:r>
      <w:r>
        <w:rPr>
          <w:spacing w:val="9"/>
        </w:rPr>
        <w:t>模型包括：</w:t>
      </w:r>
    </w:p>
    <w:p>
      <w:pPr>
        <w:pStyle w:val="BodyText"/>
        <w:ind w:left="359"/>
        <w:spacing w:before="112" w:line="221" w:lineRule="auto"/>
        <w:rPr/>
      </w:pPr>
      <w:r>
        <w:rPr/>
        <w:t>·</w:t>
      </w:r>
      <w:r>
        <w:rPr>
          <w:spacing w:val="-81"/>
        </w:rPr>
        <w:t xml:space="preserve"> </w:t>
      </w:r>
      <w:r>
        <w:rPr/>
        <w:t>卷积神经网络</w:t>
      </w:r>
      <w:r>
        <w:rPr/>
        <w:t xml:space="preserve"> </w:t>
      </w:r>
      <w:r>
        <w:rPr>
          <w:rFonts w:ascii="SimSun" w:hAnsi="SimSun" w:eastAsia="SimSun" w:cs="SimSun"/>
        </w:rPr>
        <w:t>(CNN):   </w:t>
      </w:r>
      <w:r>
        <w:rPr/>
        <w:t>擅长提取波形局部特征。</w:t>
      </w:r>
    </w:p>
    <w:p>
      <w:pPr>
        <w:pStyle w:val="BodyText"/>
        <w:ind w:left="359"/>
        <w:spacing w:before="265" w:line="221" w:lineRule="auto"/>
        <w:rPr/>
      </w:pPr>
      <w:r>
        <w:rPr>
          <w:rFonts w:ascii="SimSun" w:hAnsi="SimSun" w:eastAsia="SimSun" w:cs="SimSun"/>
        </w:rPr>
        <w:t>·U-Net </w:t>
      </w:r>
      <w:r>
        <w:rPr/>
        <w:t>或多层感知器</w:t>
      </w:r>
      <w:r>
        <w:rPr/>
        <w:t xml:space="preserve"> </w:t>
      </w:r>
      <w:r>
        <w:rPr>
          <w:rFonts w:ascii="SimSun" w:hAnsi="SimSun" w:eastAsia="SimSun" w:cs="SimSun"/>
        </w:rPr>
        <w:t>(MLP):   </w:t>
      </w:r>
      <w:r>
        <w:rPr/>
        <w:t>处理整个时间序列。</w:t>
      </w:r>
    </w:p>
    <w:p>
      <w:pPr>
        <w:pStyle w:val="BodyText"/>
        <w:ind w:left="359"/>
        <w:spacing w:before="252" w:line="212" w:lineRule="auto"/>
        <w:rPr/>
      </w:pPr>
      <w:r>
        <w:rPr>
          <w:spacing w:val="3"/>
        </w:rPr>
        <w:t>·</w:t>
      </w:r>
      <w:r>
        <w:rPr>
          <w:spacing w:val="-64"/>
        </w:rPr>
        <w:t xml:space="preserve"> </w:t>
      </w:r>
      <w:r>
        <w:rPr>
          <w:spacing w:val="3"/>
        </w:rPr>
        <w:t>自组织映射</w:t>
      </w:r>
      <w:r>
        <w:rPr>
          <w:spacing w:val="3"/>
        </w:rPr>
        <w:t xml:space="preserve"> </w:t>
      </w:r>
      <w:r>
        <w:rPr>
          <w:rFonts w:ascii="Arial" w:hAnsi="Arial" w:eastAsia="Arial" w:cs="Arial"/>
          <w:spacing w:val="3"/>
        </w:rPr>
        <w:t>(</w:t>
      </w:r>
      <w:r>
        <w:rPr>
          <w:rFonts w:ascii="Arial" w:hAnsi="Arial" w:eastAsia="Arial" w:cs="Arial"/>
        </w:rPr>
        <w:t>SOM</w:t>
      </w:r>
      <w:r>
        <w:rPr>
          <w:rFonts w:ascii="Arial" w:hAnsi="Arial" w:eastAsia="Arial" w:cs="Arial"/>
          <w:spacing w:val="3"/>
        </w:rPr>
        <w:t>)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>
          <w:spacing w:val="3"/>
        </w:rPr>
        <w:t>神经网络：聚类波形形</w:t>
      </w:r>
      <w:r>
        <w:rPr>
          <w:spacing w:val="2"/>
        </w:rPr>
        <w:t>状进行参数优化。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74" w:line="222" w:lineRule="auto"/>
        <w:rPr/>
      </w:pPr>
      <w:r>
        <w:rPr>
          <w:spacing w:val="6"/>
        </w:rPr>
        <w:t>关键研究案例及量化提升：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2849"/>
        <w:spacing w:before="37" w:line="224" w:lineRule="auto"/>
        <w:rPr>
          <w:sz w:val="11"/>
          <w:szCs w:val="11"/>
        </w:rPr>
      </w:pPr>
      <w:r>
        <w:rPr>
          <w:sz w:val="11"/>
          <w:szCs w:val="11"/>
          <w:spacing w:val="-3"/>
        </w:rPr>
        <w:t>户</w:t>
      </w:r>
      <w:r>
        <w:rPr>
          <w:sz w:val="11"/>
          <w:szCs w:val="11"/>
          <w:spacing w:val="24"/>
          <w:w w:val="101"/>
        </w:rPr>
        <w:t xml:space="preserve"> </w:t>
      </w:r>
      <w:r>
        <w:rPr>
          <w:sz w:val="11"/>
          <w:szCs w:val="11"/>
          <w:spacing w:val="-3"/>
        </w:rPr>
        <w:t>□</w:t>
      </w:r>
      <w:r>
        <w:rPr>
          <w:sz w:val="11"/>
          <w:szCs w:val="11"/>
          <w:spacing w:val="15"/>
        </w:rPr>
        <w:t xml:space="preserve"> </w:t>
      </w:r>
      <w:r>
        <w:rPr>
          <w:sz w:val="11"/>
          <w:szCs w:val="11"/>
          <w:spacing w:val="-3"/>
        </w:rPr>
        <w:t>十</w:t>
      </w:r>
      <w:r>
        <w:rPr>
          <w:sz w:val="11"/>
          <w:szCs w:val="11"/>
          <w:spacing w:val="-3"/>
        </w:rPr>
        <w:t xml:space="preserve">            </w:t>
      </w:r>
      <w:r>
        <w:rPr>
          <w:rFonts w:ascii="SimSun" w:hAnsi="SimSun" w:eastAsia="SimSun" w:cs="SimSun"/>
          <w:sz w:val="11"/>
          <w:szCs w:val="11"/>
          <w:spacing w:val="-3"/>
        </w:rPr>
        <w:t>lnnor</w:t>
      </w:r>
      <w:r>
        <w:rPr>
          <w:rFonts w:ascii="SimSun" w:hAnsi="SimSun" w:eastAsia="SimSun" w:cs="SimSun"/>
          <w:sz w:val="11"/>
          <w:szCs w:val="11"/>
          <w:spacing w:val="7"/>
        </w:rPr>
        <w:t xml:space="preserve">       </w:t>
      </w:r>
      <w:r>
        <w:rPr>
          <w:sz w:val="11"/>
          <w:szCs w:val="11"/>
          <w:spacing w:val="-3"/>
        </w:rPr>
        <w:t>左</w:t>
      </w:r>
      <w:r>
        <w:rPr>
          <w:sz w:val="11"/>
          <w:szCs w:val="11"/>
          <w:spacing w:val="7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3"/>
        </w:rPr>
        <w:t>TT</w:t>
      </w:r>
      <w:r>
        <w:rPr>
          <w:rFonts w:ascii="SimSun" w:hAnsi="SimSun" w:eastAsia="SimSun" w:cs="SimSun"/>
          <w:sz w:val="11"/>
          <w:szCs w:val="11"/>
          <w:spacing w:val="17"/>
        </w:rPr>
        <w:t xml:space="preserve">  </w:t>
      </w:r>
      <w:r>
        <w:rPr>
          <w:sz w:val="11"/>
          <w:szCs w:val="11"/>
          <w:spacing w:val="-3"/>
        </w:rPr>
        <w:t>穴</w:t>
      </w:r>
      <w:r>
        <w:rPr>
          <w:sz w:val="11"/>
          <w:szCs w:val="11"/>
        </w:rPr>
        <w:t xml:space="preserve">     </w:t>
      </w:r>
      <w:r>
        <w:rPr>
          <w:sz w:val="11"/>
          <w:szCs w:val="11"/>
          <w:spacing w:val="-3"/>
        </w:rPr>
        <w:t>.</w:t>
      </w:r>
    </w:p>
    <w:p>
      <w:pPr>
        <w:spacing w:line="224" w:lineRule="auto"/>
        <w:sectPr>
          <w:pgSz w:w="12240" w:h="15840"/>
          <w:pgMar w:top="1151" w:right="1043" w:bottom="0" w:left="980" w:header="0" w:footer="0" w:gutter="0"/>
        </w:sectPr>
        <w:rPr>
          <w:sz w:val="11"/>
          <w:szCs w:val="11"/>
        </w:rPr>
      </w:pPr>
    </w:p>
    <w:p>
      <w:pPr>
        <w:pStyle w:val="BodyText"/>
        <w:ind w:left="359"/>
        <w:spacing w:before="46" w:line="222" w:lineRule="auto"/>
        <w:rPr/>
      </w:pPr>
      <w:r>
        <w:rPr>
          <w:rFonts w:ascii="Arial" w:hAnsi="Arial" w:eastAsia="Arial" w:cs="Arial"/>
          <w:b/>
          <w:bCs/>
          <w:spacing w:val="-5"/>
        </w:rPr>
        <w:t>·IUr-rCI</w:t>
      </w:r>
      <w:r>
        <w:rPr>
          <w:rFonts w:ascii="Arial" w:hAnsi="Arial" w:eastAsia="Arial" w:cs="Arial"/>
          <w:b/>
          <w:bCs/>
          <w:spacing w:val="10"/>
        </w:rPr>
        <w:t xml:space="preserve">      </w:t>
      </w:r>
      <w:r>
        <w:rPr>
          <w:b/>
          <w:bCs/>
          <w:spacing w:val="-5"/>
        </w:rPr>
        <w:t>中</w:t>
      </w:r>
      <w:r>
        <w:rPr>
          <w:rFonts w:ascii="Arial" w:hAnsi="Arial" w:eastAsia="Arial" w:cs="Arial"/>
          <w:b/>
          <w:bCs/>
          <w:spacing w:val="-5"/>
        </w:rPr>
        <w:t>DUU</w:t>
      </w:r>
      <w:r>
        <w:rPr>
          <w:b/>
          <w:bCs/>
          <w:spacing w:val="-5"/>
        </w:rPr>
        <w:t>丽</w:t>
      </w:r>
      <w:r>
        <w:rPr>
          <w:spacing w:val="-19"/>
        </w:rPr>
        <w:t xml:space="preserve"> </w:t>
      </w:r>
      <w:r>
        <w:rPr>
          <w:b/>
          <w:bCs/>
          <w:spacing w:val="-5"/>
        </w:rPr>
        <w:t>1</w:t>
      </w:r>
      <w:r>
        <w:rPr>
          <w:spacing w:val="-32"/>
        </w:rPr>
        <w:t xml:space="preserve"> </w:t>
      </w:r>
      <w:r>
        <w:rPr>
          <w:b/>
          <w:bCs/>
          <w:spacing w:val="-5"/>
        </w:rPr>
        <w:t>上</w:t>
      </w:r>
      <w:r>
        <w:rPr>
          <w:spacing w:val="-5"/>
        </w:rPr>
        <w:t xml:space="preserve">  </w:t>
      </w:r>
      <w:r>
        <w:rPr>
          <w:spacing w:val="-5"/>
        </w:rPr>
        <w:t>修止</w:t>
      </w:r>
      <w:r>
        <w:rPr>
          <w:spacing w:val="35"/>
        </w:rPr>
        <w:t xml:space="preserve"> </w:t>
      </w:r>
      <w:r>
        <w:rPr>
          <w:b/>
          <w:bCs/>
          <w:spacing w:val="-5"/>
        </w:rPr>
        <w:t>(∠</w:t>
      </w:r>
      <w:r>
        <w:rPr>
          <w:rFonts w:ascii="Arial" w:hAnsi="Arial" w:eastAsia="Arial" w:cs="Arial"/>
          <w:b/>
          <w:bCs/>
          <w:spacing w:val="-5"/>
        </w:rPr>
        <w:t>U</w:t>
      </w:r>
      <w:r>
        <w:rPr>
          <w:rFonts w:ascii="SimSun" w:hAnsi="SimSun" w:eastAsia="SimSun" w:cs="SimSun"/>
          <w:b/>
          <w:bCs/>
          <w:spacing w:val="-5"/>
        </w:rPr>
        <w:t>∠</w:t>
      </w:r>
      <w:r>
        <w:rPr>
          <w:rFonts w:ascii="Arial" w:hAnsi="Arial" w:eastAsia="Arial" w:cs="Arial"/>
          <w:b/>
          <w:bCs/>
          <w:spacing w:val="-5"/>
        </w:rPr>
        <w:t>D</w:t>
      </w:r>
      <w:r>
        <w:rPr>
          <w:b/>
          <w:bCs/>
          <w:spacing w:val="-5"/>
        </w:rPr>
        <w:t>年听九).</w:t>
      </w:r>
    </w:p>
    <w:p>
      <w:pPr>
        <w:pStyle w:val="BodyText"/>
        <w:ind w:left="509"/>
        <w:spacing w:before="134" w:line="212" w:lineRule="auto"/>
        <w:rPr/>
      </w:pPr>
      <w:r>
        <w:rPr/>
        <w:t>传统</w:t>
      </w:r>
      <w:r>
        <w:rPr>
          <w:rFonts w:ascii="Arial" w:hAnsi="Arial" w:eastAsia="Arial" w:cs="Arial"/>
        </w:rPr>
        <w:t>LED:157</w:t>
      </w:r>
      <w:r>
        <w:rPr>
          <w:rFonts w:ascii="Arial" w:hAnsi="Arial" w:eastAsia="Arial" w:cs="Arial"/>
          <w:spacing w:val="26"/>
        </w:rPr>
        <w:t xml:space="preserve">  </w:t>
      </w:r>
      <w:r>
        <w:rPr>
          <w:rFonts w:ascii="Arial" w:hAnsi="Arial" w:eastAsia="Arial" w:cs="Arial"/>
        </w:rPr>
        <w:t>ps</w:t>
      </w:r>
      <w:r>
        <w:rPr>
          <w:rFonts w:ascii="Arial" w:hAnsi="Arial" w:eastAsia="Arial" w:cs="Arial"/>
          <w:spacing w:val="23"/>
        </w:rPr>
        <w:t xml:space="preserve">  </w:t>
      </w:r>
      <w:r>
        <w:rPr>
          <w:rFonts w:ascii="Arial" w:hAnsi="Arial" w:eastAsia="Arial" w:cs="Arial"/>
        </w:rPr>
        <w:t>FWHM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rFonts w:ascii="Arial" w:hAnsi="Arial" w:eastAsia="Arial" w:cs="Arial"/>
        </w:rPr>
        <w:t>CTR  </w:t>
      </w:r>
      <w:r>
        <w:rPr/>
        <w:t>(符合定时分辨率)。</w:t>
      </w:r>
    </w:p>
    <w:p>
      <w:pPr>
        <w:pStyle w:val="BodyText"/>
        <w:ind w:left="509"/>
        <w:spacing w:before="155" w:line="212" w:lineRule="auto"/>
        <w:rPr/>
      </w:pPr>
      <w:r>
        <w:rPr>
          <w:rFonts w:ascii="Arial" w:hAnsi="Arial" w:eastAsia="Arial" w:cs="Arial"/>
        </w:rPr>
        <w:t>TWC</w:t>
      </w:r>
      <w:r>
        <w:rPr>
          <w:rFonts w:ascii="Arial" w:hAnsi="Arial" w:eastAsia="Arial" w:cs="Arial"/>
          <w:spacing w:val="23"/>
          <w:w w:val="101"/>
        </w:rPr>
        <w:t xml:space="preserve">  </w:t>
      </w:r>
      <w:r>
        <w:rPr>
          <w:spacing w:val="15"/>
        </w:rPr>
        <w:t>(双阈值):129</w:t>
      </w:r>
      <w:r>
        <w:rPr>
          <w:spacing w:val="15"/>
        </w:rPr>
        <w:t xml:space="preserve"> </w:t>
      </w:r>
      <w:r>
        <w:rPr>
          <w:rFonts w:ascii="Arial" w:hAnsi="Arial" w:eastAsia="Arial" w:cs="Arial"/>
        </w:rPr>
        <w:t>ps</w:t>
      </w:r>
      <w:r>
        <w:rPr>
          <w:rFonts w:ascii="Arial" w:hAnsi="Arial" w:eastAsia="Arial" w:cs="Arial"/>
          <w:spacing w:val="22"/>
        </w:rPr>
        <w:t xml:space="preserve">  </w:t>
      </w:r>
      <w:r>
        <w:rPr>
          <w:spacing w:val="15"/>
        </w:rPr>
        <w:t>(提升18%)。</w:t>
      </w:r>
    </w:p>
    <w:p>
      <w:pPr>
        <w:pStyle w:val="BodyText"/>
        <w:ind w:left="509" w:right="71"/>
        <w:spacing w:before="125" w:line="313" w:lineRule="auto"/>
        <w:rPr/>
      </w:pPr>
      <w:r>
        <w:rPr>
          <w:rFonts w:ascii="Arial" w:hAnsi="Arial" w:eastAsia="Arial" w:cs="Arial"/>
        </w:rPr>
        <w:t>CNN</w:t>
      </w:r>
      <w:r>
        <w:rPr>
          <w:rFonts w:ascii="Arial" w:hAnsi="Arial" w:eastAsia="Arial" w:cs="Arial"/>
          <w:spacing w:val="12"/>
        </w:rPr>
        <w:t>-</w:t>
      </w:r>
      <w:r>
        <w:rPr>
          <w:rFonts w:ascii="Arial" w:hAnsi="Arial" w:eastAsia="Arial" w:cs="Arial"/>
        </w:rPr>
        <w:t>based</w:t>
      </w:r>
      <w:r>
        <w:rPr>
          <w:rFonts w:ascii="Arial" w:hAnsi="Arial" w:eastAsia="Arial" w:cs="Arial"/>
          <w:spacing w:val="12"/>
        </w:rPr>
        <w:t xml:space="preserve">  </w:t>
      </w:r>
      <w:r>
        <w:rPr>
          <w:spacing w:val="12"/>
        </w:rPr>
        <w:t>方法：115</w:t>
      </w:r>
      <w:r>
        <w:rPr>
          <w:spacing w:val="49"/>
        </w:rPr>
        <w:t xml:space="preserve"> </w:t>
      </w:r>
      <w:r>
        <w:rPr>
          <w:rFonts w:ascii="Arial" w:hAnsi="Arial" w:eastAsia="Arial" w:cs="Arial"/>
        </w:rPr>
        <w:t>ps</w:t>
      </w:r>
      <w:r>
        <w:rPr>
          <w:rFonts w:ascii="Arial" w:hAnsi="Arial" w:eastAsia="Arial" w:cs="Arial"/>
          <w:spacing w:val="27"/>
        </w:rPr>
        <w:t xml:space="preserve">  </w:t>
      </w:r>
      <w:r>
        <w:rPr>
          <w:spacing w:val="12"/>
        </w:rPr>
        <w:t>(提升26%),并更好抑制时间分布尾部，提高整体稳定性。对于</w:t>
      </w:r>
      <w:r>
        <w:rPr/>
        <w:t xml:space="preserve"> </w:t>
      </w:r>
      <w:r>
        <w:rPr>
          <w:spacing w:val="10"/>
        </w:rPr>
        <w:t>长晶体(20</w:t>
      </w:r>
      <w:r>
        <w:rPr>
          <w:spacing w:val="81"/>
        </w:rPr>
        <w:t xml:space="preserve"> </w:t>
      </w:r>
      <w:r>
        <w:rPr>
          <w:rFonts w:ascii="Arial" w:hAnsi="Arial" w:eastAsia="Arial" w:cs="Arial"/>
        </w:rPr>
        <w:t>mm</w:t>
      </w:r>
      <w:r>
        <w:rPr>
          <w:rFonts w:ascii="Arial" w:hAnsi="Arial" w:eastAsia="Arial" w:cs="Arial"/>
          <w:spacing w:val="10"/>
        </w:rPr>
        <w:t>),</w:t>
      </w:r>
      <w:r>
        <w:rPr>
          <w:rFonts w:ascii="Arial" w:hAnsi="Arial" w:eastAsia="Arial" w:cs="Arial"/>
        </w:rPr>
        <w:t>CNN</w:t>
      </w:r>
      <w:r>
        <w:rPr>
          <w:rFonts w:ascii="Arial" w:hAnsi="Arial" w:eastAsia="Arial" w:cs="Arial"/>
          <w:spacing w:val="10"/>
        </w:rPr>
        <w:t xml:space="preserve">    </w:t>
      </w:r>
      <w:r>
        <w:rPr>
          <w:spacing w:val="10"/>
        </w:rPr>
        <w:t>与</w:t>
      </w:r>
      <w:r>
        <w:rPr>
          <w:rFonts w:ascii="Arial" w:hAnsi="Arial" w:eastAsia="Arial" w:cs="Arial"/>
        </w:rPr>
        <w:t>TWC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10"/>
        </w:rPr>
        <w:t>相当(~239</w:t>
      </w:r>
      <w:r>
        <w:rPr>
          <w:spacing w:val="77"/>
        </w:rPr>
        <w:t xml:space="preserve"> </w:t>
      </w:r>
      <w:r>
        <w:rPr>
          <w:rFonts w:ascii="Arial" w:hAnsi="Arial" w:eastAsia="Arial" w:cs="Arial"/>
        </w:rPr>
        <w:t>ps</w:t>
      </w:r>
      <w:r>
        <w:rPr>
          <w:rFonts w:ascii="Arial" w:hAnsi="Arial" w:eastAsia="Arial" w:cs="Arial"/>
          <w:spacing w:val="10"/>
        </w:rPr>
        <w:t>),    </w:t>
      </w:r>
      <w:r>
        <w:rPr>
          <w:spacing w:val="10"/>
        </w:rPr>
        <w:t>但在短晶</w:t>
      </w:r>
      <w:r>
        <w:rPr>
          <w:spacing w:val="9"/>
        </w:rPr>
        <w:t>体中优势明显。</w:t>
      </w:r>
    </w:p>
    <w:p>
      <w:pPr>
        <w:pStyle w:val="BodyText"/>
        <w:ind w:left="363"/>
        <w:spacing w:before="208" w:line="222" w:lineRule="auto"/>
        <w:rPr/>
      </w:pPr>
      <w:r>
        <w:rPr>
          <w:b/>
          <w:bCs/>
          <w:spacing w:val="15"/>
        </w:rPr>
        <w:t>·</w:t>
      </w:r>
      <w:r>
        <w:rPr>
          <w:spacing w:val="-87"/>
        </w:rPr>
        <w:t xml:space="preserve"> </w:t>
      </w:r>
      <w:r>
        <w:rPr>
          <w:b/>
          <w:bCs/>
          <w:spacing w:val="15"/>
        </w:rPr>
        <w:t>粒子定时探测器(如金刚石传感器)</w:t>
      </w:r>
      <w:r>
        <w:rPr>
          <w:spacing w:val="-53"/>
        </w:rPr>
        <w:t xml:space="preserve"> </w:t>
      </w:r>
      <w:r>
        <w:rPr>
          <w:rFonts w:ascii="SimSun" w:hAnsi="SimSun" w:eastAsia="SimSun" w:cs="SimSun"/>
          <w:b/>
          <w:bCs/>
        </w:rPr>
        <w:t>time</w:t>
      </w:r>
      <w:r>
        <w:rPr>
          <w:rFonts w:ascii="SimSun" w:hAnsi="SimSun" w:eastAsia="SimSun" w:cs="SimSun"/>
          <w:spacing w:val="101"/>
        </w:rPr>
        <w:t xml:space="preserve"> </w:t>
      </w:r>
      <w:r>
        <w:rPr>
          <w:rFonts w:ascii="SimSun" w:hAnsi="SimSun" w:eastAsia="SimSun" w:cs="SimSun"/>
          <w:b/>
          <w:bCs/>
        </w:rPr>
        <w:t>walk</w:t>
      </w:r>
      <w:r>
        <w:rPr>
          <w:b/>
          <w:bCs/>
          <w:spacing w:val="15"/>
        </w:rPr>
        <w:t>修正(2023年</w:t>
      </w:r>
      <w:r>
        <w:rPr>
          <w:b/>
          <w:bCs/>
          <w:spacing w:val="14"/>
        </w:rPr>
        <w:t>研究):</w:t>
      </w:r>
    </w:p>
    <w:p>
      <w:pPr>
        <w:pStyle w:val="BodyText"/>
        <w:ind w:left="509"/>
        <w:spacing w:before="114" w:line="313" w:lineRule="exact"/>
        <w:rPr/>
      </w:pPr>
      <w:r>
        <w:rPr>
          <w:position w:val="2"/>
        </w:rPr>
        <w:t>传统</w:t>
      </w:r>
      <w:r>
        <w:rPr>
          <w:rFonts w:ascii="Arial" w:hAnsi="Arial" w:eastAsia="Arial" w:cs="Arial"/>
          <w:position w:val="2"/>
        </w:rPr>
        <w:t>CFD:71.6     ps</w:t>
      </w:r>
      <w:r>
        <w:rPr>
          <w:position w:val="2"/>
        </w:rPr>
        <w:t>定时精度。</w:t>
      </w:r>
    </w:p>
    <w:p>
      <w:pPr>
        <w:pStyle w:val="BodyText"/>
        <w:ind w:left="509"/>
        <w:spacing w:before="84" w:line="339" w:lineRule="auto"/>
        <w:rPr/>
      </w:pPr>
      <w:r>
        <w:rPr>
          <w:rFonts w:ascii="Arial" w:hAnsi="Arial" w:eastAsia="Arial" w:cs="Arial"/>
          <w:spacing w:val="12"/>
        </w:rPr>
        <w:t>U-</w:t>
      </w:r>
      <w:r>
        <w:rPr>
          <w:rFonts w:ascii="Arial" w:hAnsi="Arial" w:eastAsia="Arial" w:cs="Arial"/>
        </w:rPr>
        <w:t>Net</w:t>
      </w:r>
      <w:r>
        <w:rPr>
          <w:rFonts w:ascii="Arial" w:hAnsi="Arial" w:eastAsia="Arial" w:cs="Arial"/>
          <w:spacing w:val="44"/>
          <w:w w:val="101"/>
        </w:rPr>
        <w:t xml:space="preserve"> </w:t>
      </w:r>
      <w:r>
        <w:rPr>
          <w:spacing w:val="12"/>
        </w:rPr>
        <w:t>深度网络：58.4</w:t>
      </w:r>
      <w:r>
        <w:rPr>
          <w:spacing w:val="54"/>
        </w:rPr>
        <w:t xml:space="preserve"> </w:t>
      </w:r>
      <w:r>
        <w:rPr>
          <w:rFonts w:ascii="Arial" w:hAnsi="Arial" w:eastAsia="Arial" w:cs="Arial"/>
        </w:rPr>
        <w:t>ps</w:t>
      </w:r>
      <w:r>
        <w:rPr>
          <w:rFonts w:ascii="Arial" w:hAnsi="Arial" w:eastAsia="Arial" w:cs="Arial"/>
          <w:spacing w:val="22"/>
          <w:w w:val="101"/>
        </w:rPr>
        <w:t xml:space="preserve">  </w:t>
      </w:r>
      <w:r>
        <w:rPr>
          <w:spacing w:val="12"/>
        </w:rPr>
        <w:t>(提升18-23%</w:t>
      </w:r>
      <w:r>
        <w:rPr>
          <w:spacing w:val="11"/>
        </w:rPr>
        <w:t>),</w:t>
      </w:r>
      <w:r>
        <w:rPr>
          <w:rFonts w:ascii="Arial" w:hAnsi="Arial" w:eastAsia="Arial" w:cs="Arial"/>
        </w:rPr>
        <w:t>MLP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spacing w:val="11"/>
        </w:rPr>
        <w:t>也有效。即使在低采样率</w:t>
      </w:r>
      <w:r>
        <w:rPr>
          <w:spacing w:val="11"/>
        </w:rPr>
        <w:t xml:space="preserve"> </w:t>
      </w:r>
      <w:r>
        <w:rPr>
          <w:rFonts w:ascii="Arial" w:hAnsi="Arial" w:eastAsia="Arial" w:cs="Arial"/>
          <w:spacing w:val="11"/>
        </w:rPr>
        <w:t>(</w:t>
      </w:r>
      <w:r>
        <w:rPr>
          <w:rFonts w:ascii="Arial" w:hAnsi="Arial" w:eastAsia="Arial" w:cs="Arial"/>
        </w:rPr>
        <w:t>LHC</w:t>
      </w:r>
      <w:r>
        <w:rPr>
          <w:rFonts w:ascii="Arial" w:hAnsi="Arial" w:eastAsia="Arial" w:cs="Arial"/>
          <w:spacing w:val="11"/>
        </w:rPr>
        <w:t>-</w:t>
      </w:r>
      <w:r>
        <w:rPr>
          <w:rFonts w:ascii="Arial" w:hAnsi="Arial" w:eastAsia="Arial" w:cs="Arial"/>
        </w:rPr>
        <w:t>like</w:t>
      </w:r>
      <w:r>
        <w:rPr>
          <w:rFonts w:ascii="Arial" w:hAnsi="Arial" w:eastAsia="Arial" w:cs="Arial"/>
          <w:spacing w:val="11"/>
        </w:rPr>
        <w:t xml:space="preserve">  </w:t>
      </w:r>
      <w:r>
        <w:rPr>
          <w:spacing w:val="11"/>
        </w:rPr>
        <w:t>条件)</w:t>
      </w:r>
      <w:r>
        <w:rPr/>
        <w:t xml:space="preserve"> </w:t>
      </w:r>
      <w:r>
        <w:rPr>
          <w:spacing w:val="12"/>
        </w:rPr>
        <w:t>下，提升15%。网络直接利用所有波形样本，优</w:t>
      </w:r>
      <w:r>
        <w:rPr>
          <w:spacing w:val="11"/>
        </w:rPr>
        <w:t>于</w:t>
      </w:r>
      <w:r>
        <w:rPr>
          <w:rFonts w:ascii="SimSun" w:hAnsi="SimSun" w:eastAsia="SimSun" w:cs="SimSun"/>
        </w:rPr>
        <w:t>CFD</w:t>
      </w:r>
      <w:r>
        <w:rPr>
          <w:rFonts w:ascii="SimSun" w:hAnsi="SimSun" w:eastAsia="SimSun" w:cs="SimSun"/>
          <w:spacing w:val="48"/>
        </w:rPr>
        <w:t xml:space="preserve"> </w:t>
      </w:r>
      <w:r>
        <w:rPr>
          <w:spacing w:val="11"/>
        </w:rPr>
        <w:t>的固定阈值。</w:t>
      </w:r>
    </w:p>
    <w:p>
      <w:pPr>
        <w:pStyle w:val="BodyText"/>
        <w:ind w:left="359"/>
        <w:spacing w:before="157" w:line="212" w:lineRule="auto"/>
        <w:rPr/>
      </w:pPr>
      <w:r>
        <w:rPr>
          <w:spacing w:val="15"/>
        </w:rPr>
        <w:t>·高纯锗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15"/>
        </w:rPr>
        <w:t>(</w:t>
      </w:r>
      <w:r>
        <w:rPr>
          <w:rFonts w:ascii="Arial" w:hAnsi="Arial" w:eastAsia="Arial" w:cs="Arial"/>
        </w:rPr>
        <w:t>HPGe</w:t>
      </w:r>
      <w:r>
        <w:rPr>
          <w:rFonts w:ascii="Arial" w:hAnsi="Arial" w:eastAsia="Arial" w:cs="Arial"/>
          <w:spacing w:val="15"/>
        </w:rPr>
        <w:t>)</w:t>
      </w:r>
      <w:r>
        <w:rPr>
          <w:rFonts w:ascii="Arial" w:hAnsi="Arial" w:eastAsia="Arial" w:cs="Arial"/>
          <w:spacing w:val="21"/>
        </w:rPr>
        <w:t xml:space="preserve">   </w:t>
      </w:r>
      <w:r>
        <w:rPr>
          <w:spacing w:val="15"/>
        </w:rPr>
        <w:t>探测器定时优化(2020年研究):</w:t>
      </w:r>
    </w:p>
    <w:p>
      <w:pPr>
        <w:pStyle w:val="BodyText"/>
        <w:ind w:left="509"/>
        <w:spacing w:before="169" w:line="213" w:lineRule="auto"/>
        <w:rPr/>
      </w:pPr>
      <w:r>
        <w:rPr>
          <w:spacing w:val="9"/>
        </w:rPr>
        <w:t>使用</w:t>
      </w:r>
      <w:r>
        <w:rPr>
          <w:rFonts w:ascii="SimSun" w:hAnsi="SimSun" w:eastAsia="SimSun" w:cs="SimSun"/>
        </w:rPr>
        <w:t>SOM</w:t>
      </w:r>
      <w:r>
        <w:rPr>
          <w:rFonts w:ascii="SimSun" w:hAnsi="SimSun" w:eastAsia="SimSun" w:cs="SimSun"/>
          <w:spacing w:val="110"/>
        </w:rPr>
        <w:t xml:space="preserve"> </w:t>
      </w:r>
      <w:r>
        <w:rPr>
          <w:spacing w:val="9"/>
        </w:rPr>
        <w:t>机器学习聚类波形上升沿形状，优化定</w:t>
      </w:r>
      <w:r>
        <w:rPr>
          <w:spacing w:val="8"/>
        </w:rPr>
        <w:t>时参数。</w:t>
      </w:r>
    </w:p>
    <w:p>
      <w:pPr>
        <w:pStyle w:val="BodyText"/>
        <w:ind w:left="509" w:right="40"/>
        <w:spacing w:before="101" w:line="315" w:lineRule="auto"/>
        <w:rPr/>
      </w:pPr>
      <w:r>
        <w:rPr>
          <w:spacing w:val="10"/>
        </w:rPr>
        <w:t>达到4.3</w:t>
      </w:r>
      <w:r>
        <w:rPr>
          <w:spacing w:val="10"/>
        </w:rPr>
        <w:t xml:space="preserve"> </w:t>
      </w:r>
      <w:r>
        <w:rPr>
          <w:rFonts w:ascii="Arial" w:hAnsi="Arial" w:eastAsia="Arial" w:cs="Arial"/>
        </w:rPr>
        <w:t>ns</w:t>
      </w:r>
      <w:r>
        <w:rPr>
          <w:rFonts w:ascii="Arial" w:hAnsi="Arial" w:eastAsia="Arial" w:cs="Arial"/>
          <w:spacing w:val="10"/>
        </w:rPr>
        <w:t>(511    </w:t>
      </w:r>
      <w:r>
        <w:rPr>
          <w:rFonts w:ascii="Arial" w:hAnsi="Arial" w:eastAsia="Arial" w:cs="Arial"/>
        </w:rPr>
        <w:t>keV</w:t>
      </w:r>
      <w:r>
        <w:rPr>
          <w:spacing w:val="10"/>
        </w:rPr>
        <w:t>峰区)和6</w:t>
      </w:r>
      <w:r>
        <w:rPr>
          <w:spacing w:val="-56"/>
        </w:rPr>
        <w:t xml:space="preserve"> </w:t>
      </w:r>
      <w:r>
        <w:rPr>
          <w:spacing w:val="10"/>
        </w:rPr>
        <w:t>.5</w:t>
      </w:r>
      <w:r>
        <w:rPr>
          <w:spacing w:val="-67"/>
        </w:rPr>
        <w:t xml:space="preserve"> </w:t>
      </w:r>
      <w:r>
        <w:rPr>
          <w:rFonts w:ascii="Arial" w:hAnsi="Arial" w:eastAsia="Arial" w:cs="Arial"/>
        </w:rPr>
        <w:t>ns</w:t>
      </w:r>
      <w:r>
        <w:rPr>
          <w:rFonts w:ascii="Arial" w:hAnsi="Arial" w:eastAsia="Arial" w:cs="Arial"/>
          <w:spacing w:val="10"/>
        </w:rPr>
        <w:t xml:space="preserve">  </w:t>
      </w:r>
      <w:r>
        <w:rPr>
          <w:spacing w:val="10"/>
        </w:rPr>
        <w:t>(全谱)分辨率，无需脉冲剔除。性能匹配最佳模拟方</w:t>
      </w:r>
      <w:r>
        <w:rPr/>
        <w:t xml:space="preserve"> </w:t>
      </w:r>
      <w:r>
        <w:rPr>
          <w:spacing w:val="11"/>
        </w:rPr>
        <w:t>法(~4</w:t>
      </w:r>
      <w:r>
        <w:rPr>
          <w:spacing w:val="56"/>
        </w:rPr>
        <w:t xml:space="preserve"> </w:t>
      </w:r>
      <w:r>
        <w:rPr>
          <w:rFonts w:ascii="Arial" w:hAnsi="Arial" w:eastAsia="Arial" w:cs="Arial"/>
        </w:rPr>
        <w:t>ns</w:t>
      </w:r>
      <w:r>
        <w:rPr>
          <w:rFonts w:ascii="Arial" w:hAnsi="Arial" w:eastAsia="Arial" w:cs="Arial"/>
          <w:spacing w:val="11"/>
        </w:rPr>
        <w:t>),   </w:t>
      </w:r>
      <w:r>
        <w:rPr>
          <w:spacing w:val="11"/>
        </w:rPr>
        <w:t>但避免了模拟调优的复杂性，更</w:t>
      </w:r>
      <w:r>
        <w:rPr>
          <w:spacing w:val="10"/>
        </w:rPr>
        <w:t>易泛化。</w:t>
      </w:r>
    </w:p>
    <w:p>
      <w:pPr>
        <w:pStyle w:val="BodyText"/>
        <w:ind w:left="363"/>
        <w:spacing w:before="227" w:line="222" w:lineRule="auto"/>
        <w:rPr/>
      </w:pPr>
      <w:r>
        <w:rPr>
          <w:b/>
          <w:bCs/>
          <w:spacing w:val="-18"/>
        </w:rPr>
        <w:t>·</w:t>
      </w:r>
      <w:r>
        <w:rPr>
          <w:spacing w:val="-85"/>
        </w:rPr>
        <w:t xml:space="preserve"> </w:t>
      </w:r>
      <w:r>
        <w:rPr>
          <w:b/>
          <w:bCs/>
          <w:spacing w:val="-18"/>
        </w:rPr>
        <w:t>其他应用：</w:t>
      </w:r>
    </w:p>
    <w:p>
      <w:pPr>
        <w:pStyle w:val="BodyText"/>
        <w:ind w:left="509"/>
        <w:spacing w:before="135" w:line="213" w:lineRule="auto"/>
        <w:rPr/>
      </w:pPr>
      <w:r>
        <w:rPr>
          <w:rFonts w:ascii="SimSun" w:hAnsi="SimSun" w:eastAsia="SimSun" w:cs="SimSun"/>
        </w:rPr>
        <w:t>MRPC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spacing w:val="7"/>
        </w:rPr>
        <w:t>探测器中使用深度学习改善定时分辨率；</w:t>
      </w:r>
      <w:r>
        <w:rPr>
          <w:spacing w:val="7"/>
        </w:rPr>
        <w:t xml:space="preserve"> </w:t>
      </w:r>
      <w:r>
        <w:rPr>
          <w:rFonts w:ascii="SimSun" w:hAnsi="SimSun" w:eastAsia="SimSun" w:cs="SimSun"/>
        </w:rPr>
        <w:t>SiPM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spacing w:val="7"/>
        </w:rPr>
        <w:t>模块化探测器无标签深度学习定时分</w:t>
      </w:r>
    </w:p>
    <w:p>
      <w:pPr>
        <w:pStyle w:val="BodyText"/>
        <w:ind w:left="509"/>
        <w:spacing w:before="175" w:line="213" w:lineRule="auto"/>
        <w:rPr/>
      </w:pPr>
      <w:r>
        <w:rPr>
          <w:spacing w:val="6"/>
        </w:rPr>
        <w:t>析</w:t>
      </w:r>
      <w:r>
        <w:rPr>
          <w:spacing w:val="-59"/>
        </w:rPr>
        <w:t xml:space="preserve"> </w:t>
      </w:r>
      <w:r>
        <w:rPr>
          <w:spacing w:val="6"/>
        </w:rPr>
        <w:t>；</w:t>
      </w:r>
      <w:r>
        <w:rPr>
          <w:rFonts w:ascii="SimSun" w:hAnsi="SimSun" w:eastAsia="SimSun" w:cs="SimSun"/>
        </w:rPr>
        <w:t>CFD</w:t>
      </w:r>
      <w:r>
        <w:rPr>
          <w:rFonts w:ascii="SimSun" w:hAnsi="SimSun" w:eastAsia="SimSun" w:cs="SimSun"/>
          <w:spacing w:val="58"/>
        </w:rPr>
        <w:t xml:space="preserve"> </w:t>
      </w:r>
      <w:r>
        <w:rPr>
          <w:spacing w:val="6"/>
        </w:rPr>
        <w:t>与机器学习直接比较显示</w:t>
      </w:r>
      <w:r>
        <w:rPr>
          <w:rFonts w:ascii="SimSun" w:hAnsi="SimSun" w:eastAsia="SimSun" w:cs="SimSun"/>
        </w:rPr>
        <w:t>AI</w:t>
      </w:r>
      <w:r>
        <w:rPr>
          <w:spacing w:val="6"/>
        </w:rPr>
        <w:t>在噪声抑制和精度上更优。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5" w:line="224" w:lineRule="auto"/>
        <w:rPr/>
      </w:pPr>
      <w:r>
        <w:rPr>
          <w:spacing w:val="2"/>
        </w:rPr>
        <w:t>总体优势：</w:t>
      </w:r>
    </w:p>
    <w:p>
      <w:pPr>
        <w:pStyle w:val="BodyText"/>
        <w:ind w:left="359"/>
        <w:spacing w:before="258" w:line="222" w:lineRule="auto"/>
        <w:rPr/>
      </w:pPr>
      <w:r>
        <w:rPr>
          <w:spacing w:val="14"/>
        </w:rPr>
        <w:t>·</w:t>
      </w:r>
      <w:r>
        <w:rPr>
          <w:spacing w:val="-86"/>
        </w:rPr>
        <w:t xml:space="preserve"> </w:t>
      </w:r>
      <w:r>
        <w:rPr>
          <w:spacing w:val="14"/>
        </w:rPr>
        <w:t>更高精度：提升10-30%,尤其在幅度变异大或噪声环境中。</w:t>
      </w:r>
    </w:p>
    <w:p>
      <w:pPr>
        <w:pStyle w:val="BodyText"/>
        <w:ind w:left="359"/>
        <w:spacing w:before="243" w:line="213" w:lineRule="auto"/>
        <w:rPr/>
      </w:pPr>
      <w:r>
        <w:rPr>
          <w:spacing w:val="3"/>
        </w:rPr>
        <w:t>·</w:t>
      </w:r>
      <w:r>
        <w:rPr>
          <w:spacing w:val="-80"/>
        </w:rPr>
        <w:t xml:space="preserve"> </w:t>
      </w:r>
      <w:r>
        <w:rPr>
          <w:spacing w:val="3"/>
        </w:rPr>
        <w:t>鲁棒性强：学习非线性模式，处理复杂波形变异。</w:t>
      </w:r>
    </w:p>
    <w:p>
      <w:pPr>
        <w:pStyle w:val="BodyText"/>
        <w:ind w:left="359"/>
        <w:spacing w:before="285" w:line="213" w:lineRule="auto"/>
        <w:rPr/>
      </w:pPr>
      <w:r>
        <w:rPr>
          <w:spacing w:val="5"/>
        </w:rPr>
        <w:t>·</w:t>
      </w:r>
      <w:r>
        <w:rPr>
          <w:spacing w:val="-92"/>
        </w:rPr>
        <w:t xml:space="preserve"> </w:t>
      </w:r>
      <w:r>
        <w:rPr>
          <w:spacing w:val="5"/>
        </w:rPr>
        <w:t>数字化友好：适用于现代数字化读出系统，可离线或</w:t>
      </w:r>
      <w:r>
        <w:rPr>
          <w:spacing w:val="4"/>
        </w:rPr>
        <w:t>实时实现。</w:t>
      </w:r>
    </w:p>
    <w:p>
      <w:pPr>
        <w:pStyle w:val="BodyText"/>
        <w:ind w:left="359"/>
        <w:spacing w:before="274" w:line="213" w:lineRule="auto"/>
        <w:rPr/>
      </w:pPr>
      <w:r>
        <w:rPr>
          <w:spacing w:val="3"/>
        </w:rPr>
        <w:t>·</w:t>
      </w:r>
      <w:r>
        <w:rPr>
          <w:spacing w:val="-81"/>
        </w:rPr>
        <w:t xml:space="preserve"> </w:t>
      </w:r>
      <w:r>
        <w:rPr>
          <w:spacing w:val="3"/>
        </w:rPr>
        <w:t>无需复杂硬件：减少模拟调优，降低系统复杂度。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5" w:line="221" w:lineRule="auto"/>
        <w:rPr/>
      </w:pPr>
      <w:r>
        <w:rPr>
          <w:spacing w:val="18"/>
        </w:rPr>
        <w:t>局限：需要训练数据(模拟或实验标定),计算资源较高(但</w:t>
      </w:r>
      <w:r>
        <w:rPr>
          <w:rFonts w:ascii="SimSun" w:hAnsi="SimSun" w:eastAsia="SimSun" w:cs="SimSun"/>
        </w:rPr>
        <w:t>FPGA</w:t>
      </w:r>
      <w:r>
        <w:rPr>
          <w:rFonts w:ascii="SimSun" w:hAnsi="SimSun" w:eastAsia="SimSun" w:cs="SimSun"/>
          <w:spacing w:val="18"/>
        </w:rPr>
        <w:t>/</w:t>
      </w:r>
      <w:r>
        <w:rPr>
          <w:rFonts w:ascii="SimSun" w:hAnsi="SimSun" w:eastAsia="SimSun" w:cs="SimSun"/>
          <w:spacing w:val="63"/>
        </w:rPr>
        <w:t xml:space="preserve"> </w:t>
      </w:r>
      <w:r>
        <w:rPr>
          <w:spacing w:val="18"/>
        </w:rPr>
        <w:t>边缘计算可缓解)。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1" w:line="222" w:lineRule="auto"/>
        <w:outlineLvl w:val="1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-6"/>
        </w:rPr>
        <w:t>3.</w:t>
      </w:r>
      <w:r>
        <w:rPr>
          <w:sz w:val="37"/>
          <w:szCs w:val="37"/>
          <w:b/>
          <w:bCs/>
          <w:spacing w:val="-6"/>
        </w:rPr>
        <w:t>结论与建议</w:t>
      </w:r>
    </w:p>
    <w:p>
      <w:pPr>
        <w:pStyle w:val="BodyText"/>
        <w:ind w:right="62"/>
        <w:spacing w:before="225" w:line="327" w:lineRule="auto"/>
        <w:rPr/>
      </w:pPr>
      <w:r>
        <w:rPr>
          <w:spacing w:val="15"/>
        </w:rPr>
        <w:t>结论：</w:t>
      </w:r>
      <w:r>
        <w:rPr>
          <w:rFonts w:ascii="SimSun" w:hAnsi="SimSun" w:eastAsia="SimSun" w:cs="SimSun"/>
        </w:rPr>
        <w:t>AI</w:t>
      </w:r>
      <w:r>
        <w:rPr>
          <w:spacing w:val="15"/>
        </w:rPr>
        <w:t>算法(尤其是深度学习)能够显著提升现有电子学读出时幅修正方法，在</w:t>
      </w:r>
      <w:r>
        <w:rPr>
          <w:rFonts w:ascii="SimSun" w:hAnsi="SimSun" w:eastAsia="SimSun" w:cs="SimSun"/>
        </w:rPr>
        <w:t>TOF</w:t>
      </w:r>
      <w:r>
        <w:rPr>
          <w:rFonts w:ascii="SimSun" w:hAnsi="SimSun" w:eastAsia="SimSun" w:cs="SimSun"/>
          <w:spacing w:val="15"/>
        </w:rPr>
        <w:t>-</w:t>
      </w:r>
      <w:r>
        <w:rPr>
          <w:rFonts w:ascii="SimSun" w:hAnsi="SimSun" w:eastAsia="SimSun" w:cs="SimSun"/>
        </w:rPr>
        <w:t>PET</w:t>
      </w:r>
      <w:r>
        <w:rPr>
          <w:rFonts w:ascii="SimSun" w:hAnsi="SimSun" w:eastAsia="SimSun" w:cs="SimSun"/>
          <w:spacing w:val="15"/>
        </w:rPr>
        <w:t>、  </w:t>
      </w:r>
      <w:r>
        <w:rPr>
          <w:spacing w:val="15"/>
        </w:rPr>
        <w:t>粒</w:t>
      </w:r>
      <w:r>
        <w:rPr>
          <w:spacing w:val="5"/>
        </w:rPr>
        <w:t xml:space="preserve"> </w:t>
      </w:r>
      <w:r>
        <w:rPr>
          <w:spacing w:val="17"/>
        </w:rPr>
        <w:t>子物理探测器等领域已证明可将定时分辨率提高10-30%,优于传统</w:t>
      </w:r>
      <w:r>
        <w:rPr>
          <w:rFonts w:ascii="SimSun" w:hAnsi="SimSun" w:eastAsia="SimSun" w:cs="SimSun"/>
        </w:rPr>
        <w:t>CFD</w:t>
      </w:r>
      <w:r>
        <w:rPr>
          <w:rFonts w:ascii="SimSun" w:hAnsi="SimSun" w:eastAsia="SimSun" w:cs="SimSun"/>
          <w:spacing w:val="17"/>
        </w:rPr>
        <w:t>/</w:t>
      </w:r>
      <w:r>
        <w:rPr>
          <w:rFonts w:ascii="SimSun" w:hAnsi="SimSun" w:eastAsia="SimSun" w:cs="SimSun"/>
        </w:rPr>
        <w:t>LED</w:t>
      </w:r>
      <w:r>
        <w:rPr>
          <w:rFonts w:ascii="SimSun" w:hAnsi="SimSun" w:eastAsia="SimSun" w:cs="SimSun"/>
          <w:spacing w:val="17"/>
        </w:rPr>
        <w:t>/</w:t>
      </w:r>
      <w:r>
        <w:rPr>
          <w:rFonts w:ascii="SimSun" w:hAnsi="SimSun" w:eastAsia="SimSun" w:cs="SimSun"/>
        </w:rPr>
        <w:t>TWC</w:t>
      </w:r>
      <w:r>
        <w:rPr>
          <w:rFonts w:ascii="SimSun" w:hAnsi="SimSun" w:eastAsia="SimSun" w:cs="SimSun"/>
          <w:spacing w:val="17"/>
        </w:rPr>
        <w:t>。   </w:t>
      </w:r>
      <w:r>
        <w:rPr>
          <w:spacing w:val="17"/>
        </w:rPr>
        <w:t>技术已成</w:t>
      </w:r>
      <w:r>
        <w:rPr>
          <w:spacing w:val="9"/>
        </w:rPr>
        <w:t xml:space="preserve">  </w:t>
      </w:r>
      <w:r>
        <w:rPr>
          <w:spacing w:val="8"/>
        </w:rPr>
        <w:t>熟，可从实验室向实际系统过渡。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2" w:lineRule="auto"/>
        <w:rPr/>
      </w:pPr>
      <w:r>
        <w:rPr>
          <w:b/>
          <w:bCs/>
          <w:spacing w:val="-6"/>
        </w:rPr>
        <w:t>建议：</w:t>
      </w:r>
    </w:p>
    <w:p>
      <w:pPr>
        <w:spacing w:line="222" w:lineRule="auto"/>
        <w:sectPr>
          <w:pgSz w:w="12240" w:h="15840"/>
          <w:pgMar w:top="850" w:right="1045" w:bottom="0" w:left="980" w:header="0" w:footer="0" w:gutter="0"/>
        </w:sectPr>
        <w:rPr/>
      </w:pPr>
    </w:p>
    <w:p>
      <w:pPr>
        <w:pStyle w:val="BodyText"/>
        <w:ind w:left="359"/>
        <w:spacing w:before="4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·在现有读出系统中集成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CNN/UNet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4"/>
        </w:rPr>
        <w:t xml:space="preserve"> </w:t>
      </w:r>
      <w:r>
        <w:rPr>
          <w:sz w:val="24"/>
          <w:szCs w:val="24"/>
          <w:b/>
          <w:bCs/>
          <w:spacing w:val="-6"/>
        </w:rPr>
        <w:t>模型，从数字化</w:t>
      </w:r>
      <w:r>
        <w:rPr>
          <w:sz w:val="24"/>
          <w:szCs w:val="24"/>
          <w:b/>
          <w:bCs/>
          <w:spacing w:val="-7"/>
        </w:rPr>
        <w:t>波形直接提取定时。</w:t>
      </w:r>
    </w:p>
    <w:p>
      <w:pPr>
        <w:pStyle w:val="BodyText"/>
        <w:ind w:left="359"/>
        <w:spacing w:before="25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·优先应用于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TOF-PET</w:t>
      </w:r>
      <w:r>
        <w:rPr>
          <w:rFonts w:ascii="SimSun" w:hAnsi="SimSun" w:eastAsia="SimSun" w:cs="SimSun"/>
          <w:sz w:val="24"/>
          <w:szCs w:val="24"/>
          <w:spacing w:val="87"/>
        </w:rPr>
        <w:t xml:space="preserve"> </w:t>
      </w:r>
      <w:r>
        <w:rPr>
          <w:sz w:val="24"/>
          <w:szCs w:val="24"/>
          <w:b/>
          <w:bCs/>
          <w:spacing w:val="-3"/>
        </w:rPr>
        <w:t>或高精度定时场景，结合参考探测器(如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MCP)</w:t>
      </w:r>
      <w:r>
        <w:rPr>
          <w:rFonts w:ascii="SimSun" w:hAnsi="SimSun" w:eastAsia="SimSun" w:cs="SimSun"/>
          <w:sz w:val="24"/>
          <w:szCs w:val="24"/>
          <w:spacing w:val="31"/>
        </w:rPr>
        <w:t xml:space="preserve">  </w:t>
      </w:r>
      <w:r>
        <w:rPr>
          <w:sz w:val="24"/>
          <w:szCs w:val="24"/>
          <w:b/>
          <w:bCs/>
          <w:spacing w:val="-3"/>
        </w:rPr>
        <w:t>训练。</w:t>
      </w:r>
    </w:p>
    <w:p>
      <w:pPr>
        <w:pStyle w:val="BodyText"/>
        <w:ind w:left="356"/>
        <w:spacing w:before="273" w:line="221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·</w:t>
      </w:r>
      <w:r>
        <w:rPr>
          <w:sz w:val="24"/>
          <w:szCs w:val="24"/>
          <w:b/>
          <w:bCs/>
          <w:spacing w:val="-6"/>
        </w:rPr>
        <w:t>未来可探索实时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AI  </w:t>
      </w:r>
      <w:r>
        <w:rPr>
          <w:sz w:val="24"/>
          <w:szCs w:val="24"/>
          <w:b/>
          <w:bCs/>
          <w:spacing w:val="-6"/>
        </w:rPr>
        <w:t>(</w:t>
      </w:r>
      <w:r>
        <w:rPr>
          <w:sz w:val="24"/>
          <w:szCs w:val="24"/>
          <w:spacing w:val="-34"/>
        </w:rPr>
        <w:t xml:space="preserve"> </w:t>
      </w:r>
      <w:r>
        <w:rPr>
          <w:sz w:val="24"/>
          <w:szCs w:val="24"/>
          <w:b/>
          <w:bCs/>
          <w:spacing w:val="-6"/>
        </w:rPr>
        <w:t>如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FPGA</w:t>
      </w:r>
      <w:r>
        <w:rPr>
          <w:sz w:val="24"/>
          <w:szCs w:val="24"/>
          <w:b/>
          <w:bCs/>
          <w:spacing w:val="-6"/>
        </w:rPr>
        <w:t>加速),进一步取代传统模拟电路。</w:t>
      </w:r>
    </w:p>
    <w:p>
      <w:pPr>
        <w:pStyle w:val="BodyText"/>
        <w:spacing w:before="312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调研基于2020-2026年最新论文，若需特定系统实验验证，可进一步深入。</w:t>
      </w:r>
    </w:p>
    <w:sectPr>
      <w:pgSz w:w="12240" w:h="15840"/>
      <w:pgMar w:top="935" w:right="1836" w:bottom="0" w:left="99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2026-03-15T23:59:52</vt:filetime>
  </property>
  <property fmtid="{D5CDD505-2E9C-101B-9397-08002B2CF9AE}" pid="4" name="UsrData">
    <vt:lpwstr>69b6d77643cd31001f1dcfabwl</vt:lpwstr>
  </property>
</Properties>
</file>