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8" w:line="221" w:lineRule="auto"/>
        <w:rPr/>
      </w:pPr>
      <w:r>
        <w:rPr>
          <w:b/>
          <w:bCs/>
          <w:spacing w:val="-4"/>
        </w:rPr>
        <w:t>艺术人才职业发展与社会经济地位提升研究报告</w:t>
      </w:r>
    </w:p>
    <w:p>
      <w:pPr>
        <w:pStyle w:val="BodyText"/>
        <w:spacing w:before="266" w:line="221" w:lineRule="auto"/>
        <w:rPr/>
      </w:pPr>
      <w:r>
        <w:rPr>
          <w:spacing w:val="11"/>
        </w:rPr>
        <w:t>报告编制日期：2026年2月</w:t>
      </w:r>
    </w:p>
    <w:p>
      <w:pPr>
        <w:pStyle w:val="BodyText"/>
        <w:spacing w:before="132" w:line="221" w:lineRule="auto"/>
        <w:rPr/>
      </w:pPr>
      <w:r>
        <w:rPr>
          <w:spacing w:val="6"/>
        </w:rPr>
        <w:t>编制单位：艺术教育与职业发展研究室(独立智</w:t>
      </w:r>
      <w:r>
        <w:rPr>
          <w:spacing w:val="5"/>
        </w:rPr>
        <w:t>库视角)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一、引言：艺术人才发展面临的结构性转型机遇与挑战</w:t>
      </w:r>
    </w:p>
    <w:p>
      <w:pPr>
        <w:pStyle w:val="BodyText"/>
        <w:ind w:right="139"/>
        <w:spacing w:before="213" w:line="323" w:lineRule="auto"/>
        <w:rPr/>
      </w:pPr>
      <w:r>
        <w:rPr>
          <w:spacing w:val="6"/>
        </w:rPr>
        <w:t>当前，中国艺术人才(主要指美术、设计、音乐、表演、书法等专业毕业生及从业者)正处于传</w:t>
      </w:r>
      <w:r>
        <w:rPr>
          <w:spacing w:val="1"/>
        </w:rPr>
        <w:t xml:space="preserve"> </w:t>
      </w:r>
      <w:r>
        <w:rPr>
          <w:spacing w:val="3"/>
        </w:rPr>
        <w:t>统路径饱和与新兴交叉领域加速扩张的十字路口。据麦可思研究院《2025年中国本科</w:t>
      </w:r>
      <w:r>
        <w:rPr>
          <w:spacing w:val="2"/>
        </w:rPr>
        <w:t>生就业报</w:t>
      </w:r>
    </w:p>
    <w:p>
      <w:pPr>
        <w:pStyle w:val="BodyText"/>
        <w:spacing w:before="1" w:line="212" w:lineRule="auto"/>
        <w:rPr/>
      </w:pPr>
      <w:r>
        <w:rPr>
          <w:spacing w:val="13"/>
        </w:rPr>
        <w:t>告》显示，2024届艺术学类本科毕业生半年后平均月收入约5500</w:t>
      </w:r>
      <w:r>
        <w:rPr>
          <w:spacing w:val="12"/>
        </w:rPr>
        <w:t>-6800元(视具体专业而</w:t>
      </w:r>
    </w:p>
    <w:p>
      <w:pPr>
        <w:pStyle w:val="BodyText"/>
        <w:spacing w:before="143" w:line="334" w:lineRule="auto"/>
        <w:rPr/>
      </w:pPr>
      <w:r>
        <w:rPr>
          <w:spacing w:val="11"/>
        </w:rPr>
        <w:t>异),就业落实率约78-82%,显著低于工科与财经类，但灵活就业与自由职业比例高于平均水平</w:t>
      </w:r>
      <w:r>
        <w:rPr>
          <w:spacing w:val="17"/>
        </w:rPr>
        <w:t xml:space="preserve"> </w:t>
      </w:r>
      <w:r>
        <w:rPr>
          <w:spacing w:val="-5"/>
        </w:rPr>
        <w:t>约15个百分点。</w:t>
      </w:r>
    </w:p>
    <w:p>
      <w:pPr>
        <w:pStyle w:val="BodyText"/>
        <w:spacing w:before="111" w:line="221" w:lineRule="auto"/>
        <w:rPr/>
      </w:pPr>
      <w:r>
        <w:rPr>
          <w:spacing w:val="-2"/>
        </w:rPr>
        <w:t>本报告围绕四个核心问题展开系统分析：</w:t>
      </w:r>
    </w:p>
    <w:p>
      <w:pPr>
        <w:pStyle w:val="BodyText"/>
        <w:ind w:left="359"/>
        <w:spacing w:before="263" w:line="213" w:lineRule="auto"/>
        <w:rPr/>
      </w:pPr>
      <w:r>
        <w:rPr>
          <w:rFonts w:ascii="SimSun" w:hAnsi="SimSun" w:eastAsia="SimSun" w:cs="SimSun"/>
          <w:spacing w:val="-4"/>
        </w:rPr>
        <w:t>1. </w:t>
      </w:r>
      <w:r>
        <w:rPr>
          <w:spacing w:val="-4"/>
        </w:rPr>
        <w:t>艺术生多元化职业路径突破；</w:t>
      </w:r>
    </w:p>
    <w:p>
      <w:pPr>
        <w:pStyle w:val="BodyText"/>
        <w:ind w:left="359"/>
        <w:spacing w:before="253" w:line="213" w:lineRule="auto"/>
        <w:rPr/>
      </w:pPr>
      <w:r>
        <w:rPr>
          <w:rFonts w:ascii="SimSun" w:hAnsi="SimSun" w:eastAsia="SimSun" w:cs="SimSun"/>
          <w:spacing w:val="-1"/>
        </w:rPr>
        <w:t>2.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社会评价体系对发展空间与收入的双重影响；</w:t>
      </w:r>
    </w:p>
    <w:p>
      <w:pPr>
        <w:pStyle w:val="BodyText"/>
        <w:ind w:left="359"/>
        <w:spacing w:before="263" w:line="213" w:lineRule="auto"/>
        <w:rPr/>
      </w:pPr>
      <w:r>
        <w:rPr>
          <w:rFonts w:ascii="SimSun" w:hAnsi="SimSun" w:eastAsia="SimSun" w:cs="SimSun"/>
          <w:spacing w:val="-1"/>
        </w:rPr>
        <w:t>3.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"/>
        </w:rPr>
        <w:t>知识产权保护与文化消费升级的经济提振作</w:t>
      </w:r>
      <w:r>
        <w:rPr>
          <w:spacing w:val="-2"/>
        </w:rPr>
        <w:t>用；</w:t>
      </w:r>
    </w:p>
    <w:p>
      <w:pPr>
        <w:pStyle w:val="BodyText"/>
        <w:ind w:left="359"/>
        <w:spacing w:before="264" w:line="222" w:lineRule="auto"/>
        <w:rPr/>
      </w:pPr>
      <w:r>
        <w:rPr>
          <w:rFonts w:ascii="SimSun" w:hAnsi="SimSun" w:eastAsia="SimSun" w:cs="SimSun"/>
          <w:spacing w:val="-2"/>
        </w:rPr>
        <w:t>4.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2"/>
        </w:rPr>
        <w:t>国际经验借鉴与中国本土化路径。</w:t>
      </w:r>
    </w:p>
    <w:p>
      <w:pPr>
        <w:pStyle w:val="BodyText"/>
        <w:ind w:right="144"/>
        <w:spacing w:before="302" w:line="328" w:lineRule="auto"/>
        <w:rPr/>
      </w:pPr>
      <w:r>
        <w:rPr/>
        <w:t>四个维度存在内在逻辑关联：多元化路径是突破评价体系刚性的主动策略；知识产权与消费升级</w:t>
      </w:r>
      <w:r>
        <w:rPr>
          <w:spacing w:val="8"/>
        </w:rPr>
        <w:t xml:space="preserve"> </w:t>
      </w:r>
      <w:r>
        <w:rPr/>
        <w:t>是提升经济待遇的结构性支撑；国际经验则为政策优化提供镜鉴。最终目标是为艺术教育机构、</w:t>
      </w:r>
      <w:r>
        <w:rPr/>
        <w:t xml:space="preserve"> </w:t>
      </w:r>
      <w:r>
        <w:rPr>
          <w:spacing w:val="-1"/>
        </w:rPr>
        <w:t>从业者及决策部门提供可操作参考。</w:t>
      </w:r>
    </w:p>
    <w:p>
      <w:pPr>
        <w:pStyle w:val="BodyText"/>
        <w:ind w:left="4"/>
        <w:spacing w:before="33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二、艺术生突破传统就业限制的多元化职业路径</w:t>
      </w:r>
    </w:p>
    <w:p>
      <w:pPr>
        <w:pStyle w:val="BodyText"/>
        <w:ind w:right="74"/>
        <w:spacing w:before="214" w:line="320" w:lineRule="auto"/>
        <w:rPr/>
      </w:pPr>
      <w:r>
        <w:rPr>
          <w:spacing w:val="-1"/>
        </w:rPr>
        <w:t>传统艺术生就业主要集中于教师、美术馆/画廊、广告公司、影视后期等，路径单一、竞争激烈、</w:t>
      </w:r>
      <w:r>
        <w:rPr>
          <w:spacing w:val="1"/>
        </w:rPr>
        <w:t xml:space="preserve"> </w:t>
      </w:r>
      <w:r>
        <w:rPr>
          <w:spacing w:val="-6"/>
        </w:rPr>
        <w:t>收入天花板较低。多元化转型已成为主流趋势，主要体现为“艺术+</w:t>
      </w:r>
      <w:r>
        <w:rPr>
          <w:rFonts w:ascii="SimSun" w:hAnsi="SimSun" w:eastAsia="SimSun" w:cs="SimSun"/>
          <w:spacing w:val="-6"/>
        </w:rPr>
        <w:t>X”</w:t>
      </w:r>
      <w:r>
        <w:rPr>
          <w:spacing w:val="-6"/>
        </w:rPr>
        <w:t>跨界模式。</w:t>
      </w:r>
    </w:p>
    <w:p>
      <w:pPr>
        <w:pStyle w:val="BodyText"/>
        <w:ind w:left="3"/>
        <w:spacing w:before="144" w:line="221" w:lineRule="auto"/>
        <w:outlineLvl w:val="3"/>
        <w:rPr/>
      </w:pPr>
      <w:r>
        <w:rPr>
          <w:rFonts w:ascii="SimSun" w:hAnsi="SimSun" w:eastAsia="SimSun" w:cs="SimSun"/>
          <w:b/>
          <w:bCs/>
          <w:spacing w:val="1"/>
        </w:rPr>
        <w:t>1.</w:t>
      </w:r>
      <w:r>
        <w:rPr>
          <w:b/>
          <w:bCs/>
          <w:spacing w:val="1"/>
        </w:rPr>
        <w:t>艺术+科技方向</w:t>
      </w:r>
    </w:p>
    <w:p>
      <w:pPr>
        <w:spacing w:line="221" w:lineRule="auto"/>
        <w:sectPr>
          <w:pgSz w:w="12240" w:h="15840"/>
          <w:pgMar w:top="1135" w:right="1036" w:bottom="0" w:left="970" w:header="0" w:footer="0" w:gutter="0"/>
        </w:sectPr>
        <w:rPr/>
      </w:pPr>
    </w:p>
    <w:p>
      <w:pPr>
        <w:pStyle w:val="BodyText"/>
        <w:ind w:left="515" w:right="42" w:hanging="149"/>
        <w:spacing w:before="50" w:line="282" w:lineRule="auto"/>
        <w:rPr/>
      </w:pPr>
      <w:r>
        <w:rPr>
          <w:spacing w:val="-1"/>
        </w:rPr>
        <w:t>·核心路径：数字艺术创作、游戏美术、</w:t>
      </w:r>
      <w:r>
        <w:rPr>
          <w:rFonts w:ascii="Times New Roman" w:hAnsi="Times New Roman" w:eastAsia="Times New Roman" w:cs="Times New Roman"/>
          <w:spacing w:val="-1"/>
        </w:rPr>
        <w:t>UI/UX</w:t>
      </w:r>
      <w:r>
        <w:rPr>
          <w:spacing w:val="-1"/>
        </w:rPr>
        <w:t>设计、虚拟现实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(VR/A</w:t>
      </w:r>
      <w:r>
        <w:rPr>
          <w:rFonts w:ascii="Times New Roman" w:hAnsi="Times New Roman" w:eastAsia="Times New Roman" w:cs="Times New Roman"/>
          <w:spacing w:val="-2"/>
        </w:rPr>
        <w:t>R)   </w:t>
      </w:r>
      <w:r>
        <w:rPr>
          <w:spacing w:val="-2"/>
        </w:rPr>
        <w:t>内容制作、</w:t>
      </w:r>
      <w:r>
        <w:rPr>
          <w:rFonts w:ascii="Times New Roman" w:hAnsi="Times New Roman" w:eastAsia="Times New Roman" w:cs="Times New Roman"/>
          <w:spacing w:val="-2"/>
        </w:rPr>
        <w:t>AIGC</w:t>
      </w:r>
      <w:r>
        <w:rPr>
          <w:spacing w:val="-2"/>
        </w:rPr>
        <w:t>艺</w:t>
      </w:r>
      <w:r>
        <w:rPr/>
        <w:t xml:space="preserve"> </w:t>
      </w:r>
      <w:r>
        <w:rPr>
          <w:spacing w:val="-4"/>
        </w:rPr>
        <w:t>术生成、元宇宙场景设计。</w:t>
      </w:r>
    </w:p>
    <w:p>
      <w:pPr>
        <w:pStyle w:val="BodyText"/>
        <w:ind w:left="515" w:right="162" w:hanging="149"/>
        <w:spacing w:before="257" w:line="275" w:lineRule="auto"/>
        <w:rPr/>
      </w:pPr>
      <w:r>
        <w:rPr>
          <w:spacing w:val="-2"/>
        </w:rPr>
        <w:t>·所需核心能力：数字工具熟练度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(Blender、Unreal  En</w:t>
      </w:r>
      <w:r>
        <w:rPr>
          <w:rFonts w:ascii="SimSun" w:hAnsi="SimSun" w:eastAsia="SimSun" w:cs="SimSun"/>
          <w:spacing w:val="-3"/>
        </w:rPr>
        <w:t>gine、Midjourney</w:t>
      </w:r>
      <w:r>
        <w:rPr>
          <w:spacing w:val="-3"/>
        </w:rPr>
        <w:t>等)、交互设计思</w:t>
      </w:r>
      <w:r>
        <w:rPr/>
        <w:t xml:space="preserve"> </w:t>
      </w:r>
      <w:r>
        <w:rPr>
          <w:spacing w:val="-2"/>
        </w:rPr>
        <w:t>维、编程基础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(Python、C#)、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spacing w:val="-2"/>
        </w:rPr>
        <w:t>算法美学理解。</w:t>
      </w:r>
    </w:p>
    <w:p>
      <w:pPr>
        <w:pStyle w:val="BodyText"/>
        <w:ind w:left="515" w:right="5" w:hanging="149"/>
        <w:spacing w:before="259" w:line="266" w:lineRule="auto"/>
        <w:rPr/>
      </w:pPr>
      <w:r>
        <w:rPr>
          <w:spacing w:val="3"/>
        </w:rPr>
        <w:t>·</w:t>
      </w:r>
      <w:r>
        <w:rPr>
          <w:spacing w:val="-102"/>
        </w:rPr>
        <w:t xml:space="preserve"> </w:t>
      </w:r>
      <w:r>
        <w:rPr>
          <w:spacing w:val="3"/>
        </w:rPr>
        <w:t>市场前景：据行业数据，2025年中国数字文创市场规模预计超60</w:t>
      </w:r>
      <w:r>
        <w:rPr>
          <w:spacing w:val="2"/>
        </w:rPr>
        <w:t>0亿元，游戏美术与交互设</w:t>
      </w:r>
      <w:r>
        <w:rPr/>
        <w:t xml:space="preserve"> </w:t>
      </w:r>
      <w:r>
        <w:rPr>
          <w:spacing w:val="9"/>
        </w:rPr>
        <w:t>计岗位需求年增长率超25%。</w:t>
      </w:r>
    </w:p>
    <w:p>
      <w:pPr>
        <w:pStyle w:val="BodyText"/>
        <w:ind w:left="515" w:right="101" w:hanging="149"/>
        <w:spacing w:before="238" w:line="276" w:lineRule="auto"/>
        <w:rPr/>
      </w:pPr>
      <w:r>
        <w:rPr>
          <w:spacing w:val="-2"/>
        </w:rPr>
        <w:t>·成功案例：中央美术学院毕业生主导的《黑神话：悟空》部分美术设计；中国美术学院数字</w:t>
      </w:r>
      <w:r>
        <w:rPr>
          <w:spacing w:val="4"/>
        </w:rPr>
        <w:t xml:space="preserve"> </w:t>
      </w:r>
      <w:r>
        <w:rPr>
          <w:spacing w:val="-2"/>
        </w:rPr>
        <w:t>媒体专业校友在字节跳动、腾讯担任高级交互设计师。</w:t>
      </w:r>
    </w:p>
    <w:p>
      <w:pPr>
        <w:pStyle w:val="BodyText"/>
        <w:ind w:left="515" w:right="741" w:hanging="149"/>
        <w:spacing w:before="244" w:line="279" w:lineRule="auto"/>
        <w:rPr/>
      </w:pPr>
      <w:r>
        <w:rPr>
          <w:spacing w:val="-3"/>
        </w:rPr>
        <w:t>·转型建议：本科阶段选修编程与人机交互课程；参与开源数字艺术社区；考取</w:t>
      </w:r>
      <w:r>
        <w:rPr>
          <w:rFonts w:ascii="SimSun" w:hAnsi="SimSun" w:eastAsia="SimSun" w:cs="SimSun"/>
          <w:spacing w:val="-3"/>
        </w:rPr>
        <w:t>Adobe、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-2"/>
        </w:rPr>
        <w:t>Unity</w:t>
      </w:r>
      <w:r>
        <w:rPr>
          <w:spacing w:val="-2"/>
        </w:rPr>
        <w:t>认证；优先进入互联网大厂或独立游戏</w:t>
      </w:r>
      <w:r>
        <w:rPr>
          <w:spacing w:val="-3"/>
        </w:rPr>
        <w:t>工作室实习。</w:t>
      </w:r>
    </w:p>
    <w:p>
      <w:pPr>
        <w:pStyle w:val="BodyText"/>
        <w:spacing w:before="300" w:line="221" w:lineRule="auto"/>
        <w:rPr/>
      </w:pPr>
      <w:r>
        <w:rPr>
          <w:rFonts w:ascii="SimSun" w:hAnsi="SimSun" w:eastAsia="SimSun" w:cs="SimSun"/>
          <w:b/>
          <w:bCs/>
          <w:spacing w:val="-1"/>
        </w:rPr>
        <w:t>2.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b/>
          <w:bCs/>
          <w:spacing w:val="-1"/>
        </w:rPr>
        <w:t>艺术+商业方向</w:t>
      </w:r>
    </w:p>
    <w:p>
      <w:pPr>
        <w:pStyle w:val="BodyText"/>
        <w:ind w:left="515" w:hanging="149"/>
        <w:spacing w:before="287" w:line="264" w:lineRule="auto"/>
        <w:rPr/>
      </w:pPr>
      <w:r>
        <w:rPr>
          <w:spacing w:val="1"/>
        </w:rPr>
        <w:t>·核心路径：品牌视觉顾问、艺术策展与</w:t>
      </w:r>
      <w:r>
        <w:rPr>
          <w:rFonts w:ascii="SimSun" w:hAnsi="SimSun" w:eastAsia="SimSun" w:cs="SimSun"/>
        </w:rPr>
        <w:t>IP</w:t>
      </w:r>
      <w:r>
        <w:rPr>
          <w:spacing w:val="1"/>
        </w:rPr>
        <w:t>运营、艺术</w:t>
      </w:r>
      <w:r>
        <w:rPr/>
        <w:t>金融(拍卖行、艺术银行)、文创产品总</w:t>
      </w:r>
      <w:r>
        <w:rPr/>
        <w:t xml:space="preserve"> </w:t>
      </w:r>
      <w:r>
        <w:rPr>
          <w:spacing w:val="-4"/>
        </w:rPr>
        <w:t>监、奢侈品视觉营销。</w:t>
      </w:r>
    </w:p>
    <w:p>
      <w:pPr>
        <w:pStyle w:val="BodyText"/>
        <w:ind w:left="366"/>
        <w:spacing w:before="253" w:line="222" w:lineRule="auto"/>
        <w:rPr/>
      </w:pPr>
      <w:r>
        <w:rPr>
          <w:spacing w:val="-4"/>
        </w:rPr>
        <w:t>·所需核心能力：品牌叙事能力、商业洞察、市场营销知识、项目管理。</w:t>
      </w:r>
    </w:p>
    <w:p>
      <w:pPr>
        <w:pStyle w:val="BodyText"/>
        <w:ind w:left="516" w:right="187" w:hanging="146"/>
        <w:spacing w:before="241" w:line="281" w:lineRule="auto"/>
        <w:rPr/>
      </w:pPr>
      <w:r>
        <w:rPr>
          <w:b/>
          <w:bCs/>
          <w:spacing w:val="1"/>
        </w:rPr>
        <w:t>·</w:t>
      </w:r>
      <w:r>
        <w:rPr>
          <w:spacing w:val="-100"/>
        </w:rPr>
        <w:t xml:space="preserve"> </w:t>
      </w:r>
      <w:r>
        <w:rPr>
          <w:b/>
          <w:bCs/>
          <w:spacing w:val="1"/>
        </w:rPr>
        <w:t>市场前景：</w:t>
      </w:r>
      <w:r>
        <w:rPr>
          <w:spacing w:val="1"/>
        </w:rPr>
        <w:t>2025年文创衍生品市场规模预计1300亿元以上，品牌联名与艺术</w:t>
      </w:r>
      <w:r>
        <w:rPr>
          <w:rFonts w:ascii="SimSun" w:hAnsi="SimSun" w:eastAsia="SimSun" w:cs="SimSun"/>
        </w:rPr>
        <w:t>IP</w:t>
      </w:r>
      <w:r>
        <w:rPr/>
        <w:t>运营年增速</w:t>
      </w:r>
      <w:r>
        <w:rPr/>
        <w:t xml:space="preserve"> </w:t>
      </w:r>
      <w:r>
        <w:rPr>
          <w:spacing w:val="29"/>
        </w:rPr>
        <w:t>超30%。</w:t>
      </w:r>
    </w:p>
    <w:p>
      <w:pPr>
        <w:pStyle w:val="BodyText"/>
        <w:ind w:left="515" w:right="101" w:hanging="149"/>
        <w:spacing w:before="219" w:line="276" w:lineRule="auto"/>
        <w:rPr/>
      </w:pPr>
      <w:r>
        <w:rPr>
          <w:spacing w:val="-2"/>
        </w:rPr>
        <w:t>·成功案例：中央美术学院校友在故宫文创、敦煌研究院文创项目中担任创意总监；部分独立</w:t>
      </w:r>
      <w:r>
        <w:rPr>
          <w:spacing w:val="4"/>
        </w:rPr>
        <w:t xml:space="preserve"> </w:t>
      </w:r>
      <w:r>
        <w:rPr>
          <w:spacing w:val="-1"/>
        </w:rPr>
        <w:t>策展人通过艺术+电商实现年收入百万级。</w:t>
      </w:r>
    </w:p>
    <w:p>
      <w:pPr>
        <w:pStyle w:val="BodyText"/>
        <w:ind w:left="516" w:right="16" w:hanging="146"/>
        <w:spacing w:before="253" w:line="272" w:lineRule="auto"/>
        <w:rPr/>
      </w:pPr>
      <w:r>
        <w:rPr>
          <w:b/>
          <w:bCs/>
          <w:spacing w:val="-2"/>
        </w:rPr>
        <w:t>·转型建议：</w:t>
      </w:r>
      <w:r>
        <w:rPr>
          <w:spacing w:val="-2"/>
        </w:rPr>
        <w:t>辅修工商管理或市场营销双学位；参与</w:t>
      </w:r>
      <w:r>
        <w:rPr>
          <w:spacing w:val="-3"/>
        </w:rPr>
        <w:t>品牌实习；建立个人艺术</w:t>
      </w:r>
      <w:r>
        <w:rPr>
          <w:rFonts w:ascii="Times New Roman" w:hAnsi="Times New Roman" w:eastAsia="Times New Roman" w:cs="Times New Roman"/>
          <w:spacing w:val="-3"/>
        </w:rPr>
        <w:t>IP</w:t>
      </w:r>
      <w:r>
        <w:rPr>
          <w:spacing w:val="-3"/>
        </w:rPr>
        <w:t>并运营小红书/</w:t>
      </w:r>
      <w:r>
        <w:rPr/>
        <w:t xml:space="preserve"> </w:t>
      </w:r>
      <w:r>
        <w:rPr>
          <w:spacing w:val="-2"/>
        </w:rPr>
        <w:t>抖音账号积累商业案例。</w:t>
      </w:r>
    </w:p>
    <w:p>
      <w:pPr>
        <w:pStyle w:val="BodyText"/>
        <w:spacing w:before="319" w:line="221" w:lineRule="auto"/>
        <w:rPr/>
      </w:pPr>
      <w:r>
        <w:rPr>
          <w:rFonts w:ascii="SimSun" w:hAnsi="SimSun" w:eastAsia="SimSun" w:cs="SimSun"/>
          <w:b/>
          <w:bCs/>
        </w:rPr>
        <w:t>3.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b/>
          <w:bCs/>
        </w:rPr>
        <w:t>艺术+教育方向</w:t>
      </w:r>
    </w:p>
    <w:p>
      <w:pPr>
        <w:spacing w:line="221" w:lineRule="auto"/>
        <w:sectPr>
          <w:pgSz w:w="12240" w:h="15840"/>
          <w:pgMar w:top="1221" w:right="1035" w:bottom="0" w:left="973" w:header="0" w:footer="0" w:gutter="0"/>
        </w:sectPr>
        <w:rPr/>
      </w:pPr>
    </w:p>
    <w:p>
      <w:pPr>
        <w:pStyle w:val="BodyText"/>
        <w:ind w:left="499" w:right="385" w:hanging="140"/>
        <w:spacing w:before="47" w:line="276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·核心路径：</w:t>
      </w:r>
      <w:r>
        <w:rPr>
          <w:rFonts w:ascii="Arial" w:hAnsi="Arial" w:eastAsia="Arial" w:cs="Arial"/>
          <w:sz w:val="23"/>
          <w:szCs w:val="23"/>
        </w:rPr>
        <w:t>STEAM</w:t>
      </w:r>
      <w:r>
        <w:rPr>
          <w:rFonts w:ascii="Arial" w:hAnsi="Arial" w:eastAsia="Arial" w:cs="Arial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教师、青少年美育导师、社区/企业美育讲师、在线艺术教育内容创作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5"/>
        </w:rPr>
        <w:t>者、艺术疗愈师。</w:t>
      </w:r>
    </w:p>
    <w:p>
      <w:pPr>
        <w:pStyle w:val="BodyText"/>
        <w:ind w:left="359"/>
        <w:spacing w:before="262" w:line="221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·所需核心能力：教育心理学、课程设计、儿童/成人教学法、跨</w:t>
      </w:r>
      <w:r>
        <w:rPr>
          <w:sz w:val="23"/>
          <w:szCs w:val="23"/>
          <w:spacing w:val="5"/>
        </w:rPr>
        <w:t>学科整合能力。</w:t>
      </w:r>
    </w:p>
    <w:p>
      <w:pPr>
        <w:pStyle w:val="BodyText"/>
        <w:ind w:left="359"/>
        <w:spacing w:before="244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spacing w:val="9"/>
        </w:rPr>
        <w:t>市场前景：双减政策后素质教育市场爆发，美育类培训机构</w:t>
      </w:r>
      <w:r>
        <w:rPr>
          <w:sz w:val="23"/>
          <w:szCs w:val="23"/>
          <w:spacing w:val="8"/>
        </w:rPr>
        <w:t>2025年需求增长显著。</w:t>
      </w:r>
    </w:p>
    <w:p>
      <w:pPr>
        <w:pStyle w:val="BodyText"/>
        <w:ind w:left="499" w:right="117" w:hanging="140"/>
        <w:spacing w:before="295" w:line="275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7"/>
        </w:rPr>
        <w:t>成功案例：部分中国美术学院毕业生创办在线美术教育平台，年营收超千万；高校教师转型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K12</w:t>
      </w:r>
      <w:r>
        <w:rPr>
          <w:sz w:val="23"/>
          <w:szCs w:val="23"/>
          <w:spacing w:val="3"/>
        </w:rPr>
        <w:t>美育课程研发。</w:t>
      </w:r>
    </w:p>
    <w:p>
      <w:pPr>
        <w:pStyle w:val="BodyText"/>
        <w:ind w:left="499" w:right="197" w:hanging="140"/>
        <w:spacing w:before="274" w:line="275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8"/>
        </w:rPr>
        <w:t>转型建议：考取教师资格证+心理咨询师证书；参与教育部美育实践项目；开发付费艺术微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课。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4.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sz w:val="23"/>
          <w:szCs w:val="23"/>
          <w:b/>
          <w:bCs/>
          <w:spacing w:val="6"/>
        </w:rPr>
        <w:t>独立创作与自由职业方向</w:t>
      </w:r>
    </w:p>
    <w:p>
      <w:pPr>
        <w:pStyle w:val="BodyText"/>
        <w:ind w:left="499" w:right="97" w:hanging="140"/>
        <w:spacing w:before="268" w:line="280" w:lineRule="auto"/>
        <w:rPr>
          <w:sz w:val="23"/>
          <w:szCs w:val="23"/>
        </w:rPr>
      </w:pPr>
      <w:r>
        <w:rPr>
          <w:sz w:val="23"/>
          <w:szCs w:val="23"/>
        </w:rPr>
        <w:t>·</w:t>
      </w:r>
      <w:r>
        <w:rPr>
          <w:sz w:val="23"/>
          <w:szCs w:val="23"/>
          <w:spacing w:val="-96"/>
        </w:rPr>
        <w:t xml:space="preserve"> </w:t>
      </w:r>
      <w:r>
        <w:rPr>
          <w:sz w:val="23"/>
          <w:szCs w:val="23"/>
        </w:rPr>
        <w:t>核心路径：自媒体艺术创作者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(B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sz w:val="23"/>
          <w:szCs w:val="23"/>
        </w:rPr>
        <w:t>站/小红书/抖音)、独立插画师、自由设计师、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NFT/ </w:t>
      </w:r>
      <w:r>
        <w:rPr>
          <w:sz w:val="23"/>
          <w:szCs w:val="23"/>
        </w:rPr>
        <w:t>数字藏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品艺术家。</w:t>
      </w:r>
    </w:p>
    <w:p>
      <w:pPr>
        <w:pStyle w:val="BodyText"/>
        <w:ind w:left="359"/>
        <w:spacing w:before="263" w:line="222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·</w:t>
      </w:r>
      <w:r>
        <w:rPr>
          <w:sz w:val="23"/>
          <w:szCs w:val="23"/>
          <w:spacing w:val="-80"/>
        </w:rPr>
        <w:t xml:space="preserve"> </w:t>
      </w:r>
      <w:r>
        <w:rPr>
          <w:sz w:val="23"/>
          <w:szCs w:val="23"/>
          <w:spacing w:val="9"/>
        </w:rPr>
        <w:t>所需核心能力：内容运营、个人品牌打造、版权意识、多元变现(广告、众筹、衍生品)。</w:t>
      </w:r>
    </w:p>
    <w:p>
      <w:pPr>
        <w:pStyle w:val="BodyText"/>
        <w:ind w:left="359"/>
        <w:spacing w:before="253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78"/>
        </w:rPr>
        <w:t xml:space="preserve"> </w:t>
      </w:r>
      <w:r>
        <w:rPr>
          <w:sz w:val="23"/>
          <w:szCs w:val="23"/>
          <w:spacing w:val="8"/>
        </w:rPr>
        <w:t>市场前景：2025年数字藏品与知识付费艺术内容市场规模超百亿。</w:t>
      </w:r>
    </w:p>
    <w:p>
      <w:pPr>
        <w:pStyle w:val="BodyText"/>
        <w:ind w:left="499" w:right="140" w:hanging="140"/>
        <w:spacing w:before="274" w:line="280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·成功案例：知名插画师“老树画画”通过社交媒体年</w:t>
      </w:r>
      <w:r>
        <w:rPr>
          <w:sz w:val="23"/>
          <w:szCs w:val="23"/>
          <w:spacing w:val="1"/>
        </w:rPr>
        <w:t>收入过千万；部分青年艺术家通过数字藏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品平台实现早期积累。</w:t>
      </w:r>
    </w:p>
    <w:p>
      <w:pPr>
        <w:pStyle w:val="BodyText"/>
        <w:ind w:left="499" w:right="110" w:hanging="140"/>
        <w:spacing w:before="263" w:line="277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8"/>
        </w:rPr>
        <w:t>转型建议：建立稳定内容输出节奏；学习版权</w:t>
      </w:r>
      <w:r>
        <w:rPr>
          <w:sz w:val="23"/>
          <w:szCs w:val="23"/>
          <w:spacing w:val="7"/>
        </w:rPr>
        <w:t>注册与合同谈判；初期接受低价商业订单积累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"/>
        </w:rPr>
        <w:t>案例。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74" w:firstLine="3"/>
        <w:spacing w:before="76" w:line="35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总体转型策略：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11"/>
        </w:rPr>
        <w:t>艺术生应尽早构建</w:t>
      </w:r>
      <w:r>
        <w:rPr>
          <w:rFonts w:ascii="Times New Roman" w:hAnsi="Times New Roman" w:eastAsia="Times New Roman" w:cs="Times New Roman"/>
          <w:sz w:val="23"/>
          <w:szCs w:val="23"/>
          <w:spacing w:val="11"/>
        </w:rPr>
        <w:t>“T</w:t>
      </w:r>
      <w:r>
        <w:rPr>
          <w:sz w:val="23"/>
          <w:szCs w:val="23"/>
          <w:spacing w:val="11"/>
        </w:rPr>
        <w:t>型”能力结构(艺术纵深+跨界横向),本科阶段至少掌握1-2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门数字工具+1门商业/教育基础知识。</w:t>
      </w:r>
    </w:p>
    <w:p>
      <w:pPr>
        <w:pStyle w:val="BodyText"/>
        <w:ind w:left="4"/>
        <w:spacing w:before="312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三、当前中国社会评价体系对艺术人才发展的影响</w:t>
      </w:r>
    </w:p>
    <w:p>
      <w:pPr>
        <w:pStyle w:val="BodyText"/>
        <w:spacing w:before="220" w:line="329" w:lineRule="auto"/>
        <w:rPr>
          <w:sz w:val="23"/>
          <w:szCs w:val="23"/>
        </w:rPr>
      </w:pPr>
      <w:r>
        <w:rPr>
          <w:sz w:val="23"/>
          <w:szCs w:val="23"/>
          <w:spacing w:val="25"/>
        </w:rPr>
        <w:t>中国</w:t>
      </w:r>
      <w:r>
        <w:rPr>
          <w:sz w:val="23"/>
          <w:szCs w:val="23"/>
          <w:b/>
          <w:bCs/>
          <w:spacing w:val="25"/>
        </w:rPr>
        <w:t>艺术人才评价仍以学历背景+师承关系+奖项荣誉+市场知名度+官方机构认可</w:t>
      </w:r>
      <w:r>
        <w:rPr>
          <w:sz w:val="23"/>
          <w:szCs w:val="23"/>
          <w:b/>
          <w:bCs/>
          <w:spacing w:val="24"/>
        </w:rPr>
        <w:t>+商业价值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六大维度为主，形成高度层级化的“金字塔”结构。</w:t>
      </w:r>
    </w:p>
    <w:p>
      <w:pPr>
        <w:pStyle w:val="BodyText"/>
        <w:ind w:left="3"/>
        <w:spacing w:before="141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0"/>
        </w:rPr>
        <w:t>正面推动作用</w:t>
      </w:r>
    </w:p>
    <w:p>
      <w:pPr>
        <w:pStyle w:val="BodyText"/>
        <w:ind w:left="499" w:right="76" w:hanging="140"/>
        <w:spacing w:before="246" w:line="28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8"/>
        </w:rPr>
        <w:t>奖项与官方认可显著提升资源获取：国展获奖者、国家级人才计划入选者更容易获得画廊代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7"/>
        </w:rPr>
        <w:t>理、项目资助、职称评审绿色通道，收入起点可高出普通从业者50-2</w:t>
      </w:r>
      <w:r>
        <w:rPr>
          <w:sz w:val="23"/>
          <w:szCs w:val="23"/>
          <w:spacing w:val="16"/>
        </w:rPr>
        <w:t>00%。</w:t>
      </w:r>
    </w:p>
    <w:p>
      <w:pPr>
        <w:pStyle w:val="BodyText"/>
        <w:ind w:left="499" w:right="10" w:hanging="140"/>
        <w:spacing w:before="275" w:line="28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7"/>
        </w:rPr>
        <w:t>学历与师承提供信任背书：中央美院/中国美院毕业生起薪与晋升速度明</w:t>
      </w:r>
      <w:r>
        <w:rPr>
          <w:sz w:val="23"/>
          <w:szCs w:val="23"/>
          <w:spacing w:val="6"/>
        </w:rPr>
        <w:t>显高于普通院校；知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名导师门下弟子更容易进入顶级机构或获得大单。</w:t>
      </w:r>
    </w:p>
    <w:p>
      <w:pPr>
        <w:spacing w:line="283" w:lineRule="auto"/>
        <w:sectPr>
          <w:pgSz w:w="12240" w:h="15840"/>
          <w:pgMar w:top="1259" w:right="1022" w:bottom="0" w:left="989" w:header="0" w:footer="0" w:gutter="0"/>
        </w:sectPr>
        <w:rPr>
          <w:sz w:val="23"/>
          <w:szCs w:val="23"/>
        </w:rPr>
      </w:pPr>
    </w:p>
    <w:p>
      <w:pPr>
        <w:pStyle w:val="BodyText"/>
        <w:ind w:left="3"/>
        <w:spacing w:before="46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0"/>
        </w:rPr>
        <w:t>负面限制作用</w:t>
      </w:r>
    </w:p>
    <w:p>
      <w:pPr>
        <w:pStyle w:val="BodyText"/>
        <w:ind w:left="490" w:right="71" w:hanging="140"/>
        <w:spacing w:before="257" w:line="284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·过度依赖“标签”导致路径固化：无奖项、无名师、无名校背景者</w:t>
      </w:r>
      <w:r>
        <w:rPr>
          <w:sz w:val="23"/>
          <w:szCs w:val="23"/>
          <w:spacing w:val="1"/>
        </w:rPr>
        <w:t>机会窗口极窄，自由职业者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早期收入波动大、稳定性差。</w:t>
      </w:r>
    </w:p>
    <w:p>
      <w:pPr>
        <w:pStyle w:val="BodyText"/>
        <w:ind w:left="490" w:right="76" w:hanging="140"/>
        <w:spacing w:before="243" w:line="289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·市场知名度与商业价值导向短期化：许多青年艺术家</w:t>
      </w:r>
      <w:r>
        <w:rPr>
          <w:sz w:val="23"/>
          <w:szCs w:val="23"/>
          <w:spacing w:val="1"/>
        </w:rPr>
        <w:t>被迫迎合“爆款”审美，原创性与深度探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索受限。</w:t>
      </w:r>
    </w:p>
    <w:p>
      <w:pPr>
        <w:pStyle w:val="BodyText"/>
        <w:ind w:left="490" w:hanging="140"/>
        <w:spacing w:before="249" w:line="275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13"/>
        </w:rPr>
        <w:t>收入分层极端：顶级艺术家年收入千万级，中层稳定在20-50万/年，底层(尤其是纯创作)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月收入常不足5000元，收入增长天花板与稳定性高度依赖“破圈”能力。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50"/>
        <w:spacing w:before="75" w:line="354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总体而言，现行评价体系强化了头部集中效应，但</w:t>
      </w:r>
      <w:r>
        <w:rPr>
          <w:sz w:val="23"/>
          <w:szCs w:val="23"/>
          <w:spacing w:val="10"/>
        </w:rPr>
        <w:t>抑制了中腰部人才的流动与创新空间，亟需引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2"/>
        </w:rPr>
        <w:t>入更多元化、过程性评价指标(如社会影响力、跨界贡献、公众参与度)。</w:t>
      </w:r>
    </w:p>
    <w:p>
      <w:pPr>
        <w:pStyle w:val="BodyText"/>
        <w:ind w:left="4"/>
        <w:spacing w:before="305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四、知识产权保护与文化消费升级对艺术人才经济待遇的提振作用</w:t>
      </w:r>
    </w:p>
    <w:p>
      <w:pPr>
        <w:pStyle w:val="BodyText"/>
        <w:ind w:left="163"/>
        <w:spacing w:before="251" w:line="22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(一)知识产权保护的作用与现状</w:t>
      </w:r>
    </w:p>
    <w:p>
      <w:pPr>
        <w:pStyle w:val="BodyText"/>
        <w:ind w:left="490" w:right="44" w:hanging="140"/>
        <w:spacing w:before="235" w:line="292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97"/>
        </w:rPr>
        <w:t xml:space="preserve"> </w:t>
      </w:r>
      <w:r>
        <w:rPr>
          <w:sz w:val="23"/>
          <w:szCs w:val="23"/>
          <w:spacing w:val="8"/>
        </w:rPr>
        <w:t>作用机制：通过版权登记、侵权打击、授权交易保障</w:t>
      </w:r>
      <w:r>
        <w:rPr>
          <w:sz w:val="23"/>
          <w:szCs w:val="23"/>
          <w:spacing w:val="7"/>
        </w:rPr>
        <w:t>创作者持续收益；抑制盗版降低正版溢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价压力。</w:t>
      </w:r>
    </w:p>
    <w:p>
      <w:pPr>
        <w:pStyle w:val="BodyText"/>
        <w:ind w:left="490" w:right="319" w:hanging="140"/>
        <w:spacing w:before="265" w:line="293" w:lineRule="auto"/>
        <w:rPr>
          <w:sz w:val="23"/>
          <w:szCs w:val="23"/>
        </w:rPr>
      </w:pPr>
      <w:r>
        <w:rPr>
          <w:sz w:val="23"/>
          <w:szCs w:val="23"/>
          <w:spacing w:val="23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23"/>
        </w:rPr>
        <w:t>现状与成效</w:t>
      </w:r>
      <w:r>
        <w:rPr>
          <w:sz w:val="23"/>
          <w:szCs w:val="23"/>
          <w:spacing w:val="-13"/>
        </w:rPr>
        <w:t xml:space="preserve"> </w:t>
      </w:r>
      <w:r>
        <w:rPr>
          <w:sz w:val="23"/>
          <w:szCs w:val="23"/>
          <w:spacing w:val="23"/>
        </w:rPr>
        <w:t>(2024-2025年):全国著作权登记总量超1063万件</w:t>
      </w:r>
      <w:r>
        <w:rPr>
          <w:sz w:val="23"/>
          <w:szCs w:val="23"/>
          <w:spacing w:val="22"/>
        </w:rPr>
        <w:t>(同比增长19%);微短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4"/>
        </w:rPr>
        <w:t>剧、数字藏品等领域“总对总”诉调对接机制初步建</w:t>
      </w:r>
      <w:r>
        <w:rPr>
          <w:sz w:val="23"/>
          <w:szCs w:val="23"/>
          <w:spacing w:val="3"/>
        </w:rPr>
        <w:t>立；院线电影刑事附带民事赔偿案例增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多。</w:t>
      </w:r>
    </w:p>
    <w:p>
      <w:pPr>
        <w:pStyle w:val="BodyText"/>
        <w:ind w:left="350"/>
        <w:spacing w:before="283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6"/>
        </w:rPr>
        <w:t xml:space="preserve"> </w:t>
      </w:r>
      <w:r>
        <w:rPr>
          <w:sz w:val="23"/>
          <w:szCs w:val="23"/>
          <w:spacing w:val="7"/>
        </w:rPr>
        <w:t>瓶颈：执法成本高、维权周期长、艺术家版权意识与专业渠道</w:t>
      </w:r>
      <w:r>
        <w:rPr>
          <w:sz w:val="23"/>
          <w:szCs w:val="23"/>
          <w:spacing w:val="6"/>
        </w:rPr>
        <w:t>不足；数字艺术侵权取证难。</w:t>
      </w:r>
    </w:p>
    <w:p>
      <w:pPr>
        <w:pStyle w:val="BodyText"/>
        <w:ind w:left="350"/>
        <w:spacing w:before="264" w:line="219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7"/>
        </w:rPr>
        <w:t>改进空间：推动小额快审通道、艺术版权集体管</w:t>
      </w:r>
      <w:r>
        <w:rPr>
          <w:sz w:val="23"/>
          <w:szCs w:val="23"/>
          <w:spacing w:val="6"/>
        </w:rPr>
        <w:t>理组织数字化转型、提升基层执法专业性。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75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(二)文化消费升级的作用机制</w:t>
      </w:r>
    </w:p>
    <w:p>
      <w:pPr>
        <w:pStyle w:val="BodyText"/>
        <w:ind w:left="490" w:right="342" w:hanging="140"/>
        <w:spacing w:before="248" w:line="287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96"/>
        </w:rPr>
        <w:t xml:space="preserve"> </w:t>
      </w:r>
      <w:r>
        <w:rPr>
          <w:sz w:val="23"/>
          <w:szCs w:val="23"/>
          <w:spacing w:val="5"/>
        </w:rPr>
        <w:t>机制：付费意愿增强</w:t>
      </w:r>
      <w:r>
        <w:rPr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(Z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sz w:val="23"/>
          <w:szCs w:val="23"/>
          <w:spacing w:val="5"/>
        </w:rPr>
        <w:t>世代艺术消费占比上升)、平台多元化(小红书、抖</w:t>
      </w:r>
      <w:r>
        <w:rPr>
          <w:sz w:val="23"/>
          <w:szCs w:val="23"/>
          <w:spacing w:val="4"/>
        </w:rPr>
        <w:t>音、</w:t>
      </w:r>
      <w:r>
        <w:rPr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B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4"/>
        </w:rPr>
        <w:t>站、得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物)、审美分层(高端收藏→大众衍生品→数字内容)。</w:t>
      </w:r>
    </w:p>
    <w:p>
      <w:pPr>
        <w:pStyle w:val="BodyText"/>
        <w:ind w:left="490" w:right="199" w:hanging="140"/>
        <w:spacing w:before="245" w:line="283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·</w:t>
      </w:r>
      <w:r>
        <w:rPr>
          <w:sz w:val="23"/>
          <w:szCs w:val="23"/>
          <w:spacing w:val="-70"/>
        </w:rPr>
        <w:t xml:space="preserve"> </w:t>
      </w:r>
      <w:r>
        <w:rPr>
          <w:sz w:val="23"/>
          <w:szCs w:val="23"/>
          <w:spacing w:val="16"/>
        </w:rPr>
        <w:t>新兴盈利模式：数字藏品(2025年交易规模预计超百亿)、艺术衍生品(文创市场1300亿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+)、知识付费艺术课程。</w:t>
      </w:r>
    </w:p>
    <w:p>
      <w:pPr>
        <w:pStyle w:val="BodyText"/>
        <w:ind w:left="350"/>
        <w:spacing w:before="275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7"/>
        </w:rPr>
        <w:t>受益群体：跨界型、数字型艺术家受益最</w:t>
      </w:r>
      <w:r>
        <w:rPr>
          <w:sz w:val="23"/>
          <w:szCs w:val="23"/>
          <w:spacing w:val="6"/>
        </w:rPr>
        <w:t>大；传统架上艺术家通过</w:t>
      </w:r>
      <w:r>
        <w:rPr>
          <w:rFonts w:ascii="Times New Roman" w:hAnsi="Times New Roman" w:eastAsia="Times New Roman" w:cs="Times New Roman"/>
          <w:sz w:val="23"/>
          <w:szCs w:val="23"/>
        </w:rPr>
        <w:t>IP</w:t>
      </w:r>
      <w:r>
        <w:rPr>
          <w:sz w:val="23"/>
          <w:szCs w:val="23"/>
          <w:spacing w:val="6"/>
        </w:rPr>
        <w:t>授权衍生品获益。</w:t>
      </w:r>
    </w:p>
    <w:p>
      <w:pPr>
        <w:pStyle w:val="BodyText"/>
        <w:ind w:left="350"/>
        <w:spacing w:before="285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6"/>
        </w:rPr>
        <w:t>局限性：头部平台垄断流量、中小创作者议价能力弱；数字藏品市场波动大、监管趋严。</w:t>
      </w:r>
    </w:p>
    <w:p>
      <w:pPr>
        <w:spacing w:line="213" w:lineRule="auto"/>
        <w:sectPr>
          <w:pgSz w:w="12240" w:h="15840"/>
          <w:pgMar w:top="1247" w:right="1095" w:bottom="0" w:left="989" w:header="0" w:footer="0" w:gutter="0"/>
        </w:sectPr>
        <w:rPr>
          <w:sz w:val="23"/>
          <w:szCs w:val="23"/>
        </w:rPr>
      </w:pPr>
    </w:p>
    <w:p>
      <w:pPr>
        <w:pStyle w:val="BodyText"/>
        <w:spacing w:before="45" w:line="349" w:lineRule="auto"/>
        <w:rPr>
          <w:sz w:val="23"/>
          <w:szCs w:val="23"/>
        </w:rPr>
      </w:pPr>
      <w:r>
        <w:rPr>
          <w:sz w:val="23"/>
          <w:szCs w:val="23"/>
          <w:spacing w:val="18"/>
        </w:rPr>
        <w:t>两者协同可将艺术人才平均收入中位数提升20-40%,但需配套政策降低维权门槛、引导消费理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性。</w:t>
      </w:r>
    </w:p>
    <w:p>
      <w:pPr>
        <w:pStyle w:val="BodyText"/>
        <w:ind w:left="4"/>
        <w:spacing w:before="31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五、国际经验借鉴：法国、美国、日本、韩国的艺术家地位提</w:t>
      </w:r>
      <w:r>
        <w:rPr>
          <w:sz w:val="30"/>
          <w:szCs w:val="30"/>
          <w:b/>
          <w:bCs/>
          <w:spacing w:val="-4"/>
        </w:rPr>
        <w:t>升模式</w:t>
      </w:r>
    </w:p>
    <w:p>
      <w:pPr>
        <w:pStyle w:val="BodyText"/>
        <w:ind w:left="3"/>
        <w:spacing w:before="220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1.</w:t>
      </w:r>
      <w:r>
        <w:rPr>
          <w:sz w:val="23"/>
          <w:szCs w:val="23"/>
          <w:b/>
          <w:bCs/>
          <w:spacing w:val="15"/>
        </w:rPr>
        <w:t>法国：国家主导+社会福利型</w:t>
      </w:r>
    </w:p>
    <w:p>
      <w:pPr>
        <w:pStyle w:val="BodyText"/>
        <w:ind w:left="519" w:right="36" w:hanging="140"/>
        <w:spacing w:before="267" w:line="284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·核心政策：艺术家“间歇性失业”制度(年收入达标可获失业救济)、1%文化预算用于公共艺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17"/>
        </w:rPr>
        <w:t>术(百分比艺术计划)。</w:t>
      </w:r>
    </w:p>
    <w:p>
      <w:pPr>
        <w:pStyle w:val="BodyText"/>
        <w:ind w:left="379"/>
        <w:spacing w:before="261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8"/>
        </w:rPr>
        <w:t>基金会与税收：国家艺术基金、税收减免(捐赠艺术品可抵税)。</w:t>
      </w:r>
    </w:p>
    <w:p>
      <w:pPr>
        <w:pStyle w:val="BodyText"/>
        <w:ind w:left="379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3"/>
        </w:rPr>
        <w:t>成功关键：强福利保障创作自由；公众艺术教育普及。</w:t>
      </w:r>
    </w:p>
    <w:p>
      <w:pPr>
        <w:pStyle w:val="BodyText"/>
        <w:ind w:left="379"/>
        <w:spacing w:before="255" w:line="213" w:lineRule="auto"/>
        <w:rPr>
          <w:sz w:val="23"/>
          <w:szCs w:val="23"/>
        </w:rPr>
      </w:pPr>
      <w:r>
        <w:rPr>
          <w:sz w:val="23"/>
          <w:szCs w:val="23"/>
        </w:rPr>
        <w:t>·对中国借鉴：可试点“艺术创作补贴+税收递延”组合，难点在于财政可持续</w:t>
      </w:r>
      <w:r>
        <w:rPr>
          <w:sz w:val="23"/>
          <w:szCs w:val="23"/>
          <w:spacing w:val="-1"/>
        </w:rPr>
        <w:t>性。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2.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sz w:val="23"/>
          <w:szCs w:val="23"/>
          <w:b/>
          <w:bCs/>
          <w:spacing w:val="15"/>
        </w:rPr>
        <w:t>美国：市场驱动+基金会主导</w:t>
      </w:r>
    </w:p>
    <w:p>
      <w:pPr>
        <w:pStyle w:val="BodyText"/>
        <w:ind w:left="519" w:right="67" w:hanging="140"/>
        <w:spacing w:before="213" w:line="302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11"/>
        </w:rPr>
        <w:t>核心机制：501</w:t>
      </w:r>
      <w:r>
        <w:rPr>
          <w:rFonts w:ascii="Arial" w:hAnsi="Arial" w:eastAsia="Arial" w:cs="Arial"/>
          <w:sz w:val="23"/>
          <w:szCs w:val="23"/>
          <w:spacing w:val="11"/>
        </w:rPr>
        <w:t>(c)(3) </w:t>
      </w:r>
      <w:r>
        <w:rPr>
          <w:sz w:val="23"/>
          <w:szCs w:val="23"/>
          <w:spacing w:val="11"/>
        </w:rPr>
        <w:t>非营利基金会赞助、艺术家驻留项目、百分比艺术法(公</w:t>
      </w:r>
      <w:r>
        <w:rPr>
          <w:sz w:val="23"/>
          <w:szCs w:val="23"/>
          <w:spacing w:val="10"/>
        </w:rPr>
        <w:t>共建筑1%预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5"/>
        </w:rPr>
        <w:t>算用于艺术)。</w:t>
      </w:r>
    </w:p>
    <w:p>
      <w:pPr>
        <w:pStyle w:val="BodyText"/>
        <w:ind w:left="379"/>
        <w:spacing w:before="253" w:line="221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·</w:t>
      </w:r>
      <w:r>
        <w:rPr>
          <w:sz w:val="23"/>
          <w:szCs w:val="23"/>
          <w:spacing w:val="-88"/>
        </w:rPr>
        <w:t xml:space="preserve"> </w:t>
      </w:r>
      <w:r>
        <w:rPr>
          <w:sz w:val="23"/>
          <w:szCs w:val="23"/>
          <w:spacing w:val="1"/>
        </w:rPr>
        <w:t>税收优惠：捐赠艺术品可大幅抵税。</w:t>
      </w:r>
    </w:p>
    <w:p>
      <w:pPr>
        <w:pStyle w:val="BodyText"/>
        <w:ind w:left="379"/>
        <w:spacing w:before="264" w:line="221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2"/>
        </w:rPr>
        <w:t>成功关键：成熟二级市场+基金会网络。</w:t>
      </w:r>
    </w:p>
    <w:p>
      <w:pPr>
        <w:pStyle w:val="BodyText"/>
        <w:ind w:left="379"/>
        <w:spacing w:before="265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6"/>
        </w:rPr>
        <w:t>对中国借鉴：鼓励民营基金会发展、完善艺术捐赠税收激励，挑战在于民间资本参与度。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3.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sz w:val="23"/>
          <w:szCs w:val="23"/>
          <w:b/>
          <w:bCs/>
          <w:spacing w:val="13"/>
        </w:rPr>
        <w:t>日本与韩国：产业化+文化输出型</w:t>
      </w:r>
    </w:p>
    <w:p>
      <w:pPr>
        <w:pStyle w:val="BodyText"/>
        <w:ind w:left="379"/>
        <w:spacing w:before="266" w:line="221" w:lineRule="auto"/>
        <w:rPr>
          <w:sz w:val="23"/>
          <w:szCs w:val="23"/>
        </w:rPr>
      </w:pPr>
      <w:r>
        <w:rPr>
          <w:sz w:val="23"/>
          <w:szCs w:val="23"/>
        </w:rPr>
        <w:t>·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</w:rPr>
        <w:t>日本：动漫/游戏产业政策支持、艺术家年金制度。</w:t>
      </w:r>
    </w:p>
    <w:p>
      <w:pPr>
        <w:pStyle w:val="BodyText"/>
        <w:ind w:left="379"/>
        <w:spacing w:before="275" w:line="221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86"/>
        </w:rPr>
        <w:t xml:space="preserve"> </w:t>
      </w:r>
      <w:r>
        <w:rPr>
          <w:sz w:val="23"/>
          <w:szCs w:val="23"/>
          <w:spacing w:val="5"/>
        </w:rPr>
        <w:t>韩国：文化产业振兴院资助、韩流税收优惠、公共艺术百分比计划。</w:t>
      </w:r>
    </w:p>
    <w:p>
      <w:pPr>
        <w:pStyle w:val="BodyText"/>
        <w:ind w:left="379"/>
        <w:spacing w:before="255" w:line="222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</w:t>
      </w:r>
      <w:r>
        <w:rPr>
          <w:sz w:val="23"/>
          <w:szCs w:val="23"/>
          <w:spacing w:val="-89"/>
        </w:rPr>
        <w:t xml:space="preserve"> </w:t>
      </w:r>
      <w:r>
        <w:rPr>
          <w:sz w:val="23"/>
          <w:szCs w:val="23"/>
          <w:spacing w:val="2"/>
        </w:rPr>
        <w:t>共同关键：将艺术纳入国家软实力战略。</w:t>
      </w:r>
    </w:p>
    <w:p>
      <w:pPr>
        <w:pStyle w:val="BodyText"/>
        <w:ind w:left="379"/>
        <w:spacing w:before="254" w:line="213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·对中国借鉴：可强化“艺术+文旅+数字”国家战略，难点在于平衡</w:t>
      </w:r>
      <w:r>
        <w:rPr>
          <w:sz w:val="23"/>
          <w:szCs w:val="23"/>
          <w:spacing w:val="1"/>
        </w:rPr>
        <w:t>产业化与艺术本体价值。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六、结论与政策建议：构建艺术人才可持续生态</w:t>
      </w:r>
    </w:p>
    <w:p>
      <w:pPr>
        <w:pStyle w:val="BodyText"/>
        <w:spacing w:before="241" w:line="221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艺术人才发展困境本质上是评价单一化、保障薄弱化与变现渠道狭窄化的复合结果。未来需：</w:t>
      </w:r>
    </w:p>
    <w:p>
      <w:pPr>
        <w:spacing w:line="221" w:lineRule="auto"/>
        <w:sectPr>
          <w:pgSz w:w="12240" w:h="15840"/>
          <w:pgMar w:top="1211" w:right="1161" w:bottom="0" w:left="970" w:header="0" w:footer="0" w:gutter="0"/>
        </w:sectPr>
        <w:rPr>
          <w:sz w:val="23"/>
          <w:szCs w:val="23"/>
        </w:rPr>
      </w:pPr>
    </w:p>
    <w:p>
      <w:pPr>
        <w:pStyle w:val="BodyText"/>
        <w:ind w:left="349"/>
        <w:spacing w:before="46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1. </w:t>
      </w:r>
      <w:r>
        <w:rPr>
          <w:sz w:val="23"/>
          <w:szCs w:val="23"/>
          <w:spacing w:val="13"/>
        </w:rPr>
        <w:t>推动评价多元化(增加过程性、社会性指标);</w:t>
      </w:r>
    </w:p>
    <w:p>
      <w:pPr>
        <w:pStyle w:val="BodyText"/>
        <w:ind w:left="349"/>
        <w:spacing w:before="262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2.</w:t>
      </w:r>
      <w:r>
        <w:rPr>
          <w:rFonts w:ascii="SimSun" w:hAnsi="SimSun" w:eastAsia="SimSun" w:cs="SimSun"/>
          <w:sz w:val="23"/>
          <w:szCs w:val="23"/>
          <w:spacing w:val="-12"/>
        </w:rPr>
        <w:t xml:space="preserve"> </w:t>
      </w:r>
      <w:r>
        <w:rPr>
          <w:sz w:val="23"/>
          <w:szCs w:val="23"/>
          <w:spacing w:val="15"/>
        </w:rPr>
        <w:t>强化知识产权与消费双轮驱动(立法+平台治理+税收激励);</w:t>
      </w:r>
    </w:p>
    <w:p>
      <w:pPr>
        <w:pStyle w:val="BodyText"/>
        <w:ind w:left="349"/>
        <w:spacing w:before="274" w:line="213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3.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sz w:val="23"/>
          <w:szCs w:val="23"/>
          <w:spacing w:val="3"/>
        </w:rPr>
        <w:t>借鉴国际经验，试点“艺术创作基本收入+税收递延+公共</w:t>
      </w:r>
      <w:r>
        <w:rPr>
          <w:sz w:val="23"/>
          <w:szCs w:val="23"/>
          <w:spacing w:val="2"/>
        </w:rPr>
        <w:t>艺术基金”组合；</w:t>
      </w:r>
    </w:p>
    <w:p>
      <w:pPr>
        <w:pStyle w:val="BodyText"/>
        <w:ind w:left="349"/>
        <w:spacing w:before="254" w:line="213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4.</w:t>
      </w:r>
      <w:r>
        <w:rPr>
          <w:rFonts w:ascii="Times New Roman" w:hAnsi="Times New Roman" w:eastAsia="Times New Roman" w:cs="Times New Roman"/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3"/>
        </w:rPr>
        <w:t>艺术教育端前置跨界能力培养，鼓励“艺术+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X”</w:t>
      </w:r>
      <w:r>
        <w:rPr>
          <w:sz w:val="23"/>
          <w:szCs w:val="23"/>
          <w:spacing w:val="3"/>
        </w:rPr>
        <w:t>双学位/辅修。</w:t>
      </w:r>
    </w:p>
    <w:p>
      <w:pPr>
        <w:pStyle w:val="BodyText"/>
        <w:spacing w:before="315" w:line="36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唯有系统性重构艺术人才生态，方能让更多创作者体面生活、自由创作，并为文化强国建设提供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5"/>
        </w:rPr>
        <w:t>源源不断的活力。</w:t>
      </w:r>
    </w:p>
    <w:p>
      <w:pPr>
        <w:pStyle w:val="BodyText"/>
        <w:ind w:left="3"/>
        <w:spacing w:before="77" w:line="22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报告结束</w:t>
      </w:r>
    </w:p>
    <w:sectPr>
      <w:pgSz w:w="12240" w:h="15840"/>
      <w:pgMar w:top="1221" w:right="1165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2026-03-16T00:00:09</vt:filetime>
  </property>
  <property fmtid="{D5CDD505-2E9C-101B-9397-08002B2CF9AE}" pid="4" name="UsrData">
    <vt:lpwstr>69b6d7875b4fbf001fcce011wl</vt:lpwstr>
  </property>
</Properties>
</file>