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
        <w:spacing w:before="46" w:line="221" w:lineRule="auto"/>
        <w:rPr>
          <w:rFonts w:ascii="SimHei" w:hAnsi="SimHei" w:eastAsia="SimHei" w:cs="SimHei"/>
          <w:sz w:val="23"/>
          <w:szCs w:val="23"/>
        </w:rPr>
      </w:pPr>
      <w:r>
        <w:rPr>
          <w:rFonts w:ascii="SimHei" w:hAnsi="SimHei" w:eastAsia="SimHei" w:cs="SimHei"/>
          <w:sz w:val="23"/>
          <w:szCs w:val="23"/>
          <w:b/>
          <w:bCs/>
          <w:spacing w:val="7"/>
        </w:rPr>
        <w:t>艺术生职业发展报告</w:t>
      </w:r>
    </w:p>
    <w:p>
      <w:pPr>
        <w:spacing w:line="376" w:lineRule="auto"/>
        <w:rPr>
          <w:rFonts w:ascii="Arial"/>
          <w:sz w:val="21"/>
        </w:rPr>
      </w:pPr>
      <w:r/>
    </w:p>
    <w:p>
      <w:pPr>
        <w:ind w:left="4"/>
        <w:spacing w:before="98" w:line="222" w:lineRule="auto"/>
        <w:outlineLvl w:val="2"/>
        <w:rPr>
          <w:rFonts w:ascii="SimHei" w:hAnsi="SimHei" w:eastAsia="SimHei" w:cs="SimHei"/>
          <w:sz w:val="30"/>
          <w:szCs w:val="30"/>
        </w:rPr>
      </w:pPr>
      <w:r>
        <w:rPr>
          <w:rFonts w:ascii="SimHei" w:hAnsi="SimHei" w:eastAsia="SimHei" w:cs="SimHei"/>
          <w:sz w:val="30"/>
          <w:szCs w:val="30"/>
          <w:b/>
          <w:bCs/>
          <w:spacing w:val="-3"/>
        </w:rPr>
        <w:t>一、艺术生的多元化职业选择</w:t>
      </w:r>
    </w:p>
    <w:p>
      <w:pPr>
        <w:spacing w:before="239" w:line="333" w:lineRule="auto"/>
        <w:jc w:val="both"/>
        <w:rPr>
          <w:rFonts w:ascii="SimHei" w:hAnsi="SimHei" w:eastAsia="SimHei" w:cs="SimHei"/>
          <w:sz w:val="23"/>
          <w:szCs w:val="23"/>
        </w:rPr>
      </w:pPr>
      <w:r>
        <w:rPr>
          <w:rFonts w:ascii="SimHei" w:hAnsi="SimHei" w:eastAsia="SimHei" w:cs="SimHei"/>
          <w:sz w:val="23"/>
          <w:szCs w:val="23"/>
          <w:spacing w:val="10"/>
        </w:rPr>
        <w:t>在当代数字经济与文化产业深度融合的背景下，艺术类专业毕业生的职业路径已从传统单一创作</w:t>
      </w:r>
      <w:r>
        <w:rPr>
          <w:rFonts w:ascii="SimHei" w:hAnsi="SimHei" w:eastAsia="SimHei" w:cs="SimHei"/>
          <w:sz w:val="23"/>
          <w:szCs w:val="23"/>
          <w:spacing w:val="11"/>
        </w:rPr>
        <w:t xml:space="preserve"> </w:t>
      </w:r>
      <w:r>
        <w:rPr>
          <w:rFonts w:ascii="SimHei" w:hAnsi="SimHei" w:eastAsia="SimHei" w:cs="SimHei"/>
          <w:sz w:val="23"/>
          <w:szCs w:val="23"/>
          <w:spacing w:val="10"/>
        </w:rPr>
        <w:t>模式向多维、跨界范式转型。艺术生不再局限于纯粹的架上绘画或雕塑创作，而是通过与新兴技</w:t>
      </w:r>
      <w:r>
        <w:rPr>
          <w:rFonts w:ascii="SimHei" w:hAnsi="SimHei" w:eastAsia="SimHei" w:cs="SimHei"/>
          <w:sz w:val="23"/>
          <w:szCs w:val="23"/>
          <w:spacing w:val="7"/>
        </w:rPr>
        <w:t xml:space="preserve"> </w:t>
      </w:r>
      <w:r>
        <w:rPr>
          <w:rFonts w:ascii="SimHei" w:hAnsi="SimHei" w:eastAsia="SimHei" w:cs="SimHei"/>
          <w:sz w:val="23"/>
          <w:szCs w:val="23"/>
          <w:spacing w:val="10"/>
        </w:rPr>
        <w:t>术、商业逻辑及社会需求的有机结合，开拓出更具延展性和市场适应性的职业生态。以下从几个</w:t>
      </w:r>
      <w:r>
        <w:rPr>
          <w:rFonts w:ascii="SimHei" w:hAnsi="SimHei" w:eastAsia="SimHei" w:cs="SimHei"/>
          <w:sz w:val="23"/>
          <w:szCs w:val="23"/>
          <w:spacing w:val="7"/>
        </w:rPr>
        <w:t xml:space="preserve"> </w:t>
      </w:r>
      <w:r>
        <w:rPr>
          <w:rFonts w:ascii="SimHei" w:hAnsi="SimHei" w:eastAsia="SimHei" w:cs="SimHei"/>
          <w:sz w:val="23"/>
          <w:szCs w:val="23"/>
          <w:spacing w:val="6"/>
        </w:rPr>
        <w:t>主要维度进行梳理：</w:t>
      </w:r>
    </w:p>
    <w:p>
      <w:pPr>
        <w:spacing w:line="333" w:lineRule="auto"/>
        <w:sectPr>
          <w:pgSz w:w="12240" w:h="15840"/>
          <w:pgMar w:top="1157" w:right="1157" w:bottom="0" w:left="989" w:header="0" w:footer="0" w:gutter="0"/>
        </w:sectPr>
        <w:rPr>
          <w:rFonts w:ascii="SimHei" w:hAnsi="SimHei" w:eastAsia="SimHei" w:cs="SimHei"/>
          <w:sz w:val="23"/>
          <w:szCs w:val="23"/>
        </w:rPr>
      </w:pPr>
    </w:p>
    <w:p>
      <w:pPr>
        <w:pStyle w:val="BodyText"/>
        <w:ind w:left="333"/>
        <w:spacing w:before="46" w:line="222" w:lineRule="auto"/>
        <w:outlineLvl w:val="4"/>
        <w:rPr/>
      </w:pPr>
      <w:r>
        <w:rPr>
          <w:rFonts w:ascii="SimSun" w:hAnsi="SimSun" w:eastAsia="SimSun" w:cs="SimSun"/>
          <w:b/>
          <w:bCs/>
          <w:spacing w:val="3"/>
        </w:rPr>
        <w:t>1.</w:t>
      </w:r>
      <w:r>
        <w:rPr>
          <w:rFonts w:ascii="SimSun" w:hAnsi="SimSun" w:eastAsia="SimSun" w:cs="SimSun"/>
          <w:spacing w:val="3"/>
        </w:rPr>
        <w:t xml:space="preserve"> </w:t>
      </w:r>
      <w:r>
        <w:rPr>
          <w:b/>
          <w:bCs/>
          <w:spacing w:val="3"/>
        </w:rPr>
        <w:t>数字艺术与科技融合领域</w:t>
      </w:r>
    </w:p>
    <w:p>
      <w:pPr>
        <w:pStyle w:val="BodyText"/>
        <w:ind w:left="659" w:right="29"/>
        <w:spacing w:before="147" w:line="331" w:lineRule="auto"/>
        <w:rPr/>
      </w:pPr>
      <w:r>
        <w:rPr>
          <w:spacing w:val="10"/>
        </w:rPr>
        <w:t>代表方向包括数字媒体艺术、游戏艺术设计、虚拟空间艺术、智能影</w:t>
      </w:r>
      <w:r>
        <w:rPr>
          <w:spacing w:val="9"/>
        </w:rPr>
        <w:t>像艺术以及</w:t>
      </w:r>
      <w:r>
        <w:rPr>
          <w:rFonts w:ascii="Times New Roman" w:hAnsi="Times New Roman" w:eastAsia="Times New Roman" w:cs="Times New Roman"/>
        </w:rPr>
        <w:t>NFT</w:t>
      </w:r>
      <w:r>
        <w:rPr>
          <w:rFonts w:ascii="Times New Roman" w:hAnsi="Times New Roman" w:eastAsia="Times New Roman" w:cs="Times New Roman"/>
          <w:spacing w:val="9"/>
        </w:rPr>
        <w:t>/ </w:t>
      </w:r>
      <w:r>
        <w:rPr>
          <w:spacing w:val="9"/>
        </w:rPr>
        <w:t>区块</w:t>
      </w:r>
      <w:r>
        <w:rPr/>
        <w:t xml:space="preserve"> </w:t>
      </w:r>
      <w:r>
        <w:rPr>
          <w:spacing w:val="7"/>
        </w:rPr>
        <w:t>链艺术创作。</w:t>
      </w:r>
    </w:p>
    <w:p>
      <w:pPr>
        <w:pStyle w:val="BodyText"/>
        <w:ind w:left="659"/>
        <w:spacing w:before="15" w:line="331" w:lineRule="auto"/>
        <w:rPr/>
      </w:pPr>
      <w:r>
        <w:rPr>
          <w:spacing w:val="6"/>
        </w:rPr>
        <w:t>工作内容主要涵盖3</w:t>
      </w:r>
      <w:r>
        <w:rPr>
          <w:rFonts w:ascii="SimSun" w:hAnsi="SimSun" w:eastAsia="SimSun" w:cs="SimSun"/>
          <w:spacing w:val="6"/>
        </w:rPr>
        <w:t>D</w:t>
      </w:r>
      <w:r>
        <w:rPr>
          <w:rFonts w:ascii="SimSun" w:hAnsi="SimSun" w:eastAsia="SimSun" w:cs="SimSun"/>
          <w:spacing w:val="-44"/>
        </w:rPr>
        <w:t xml:space="preserve"> </w:t>
      </w:r>
      <w:r>
        <w:rPr>
          <w:spacing w:val="6"/>
        </w:rPr>
        <w:t>建模、交互设计、</w:t>
      </w:r>
      <w:r>
        <w:rPr>
          <w:spacing w:val="-55"/>
        </w:rPr>
        <w:t xml:space="preserve"> </w:t>
      </w:r>
      <w:r>
        <w:rPr>
          <w:rFonts w:ascii="SimSun" w:hAnsi="SimSun" w:eastAsia="SimSun" w:cs="SimSun"/>
        </w:rPr>
        <w:t>VR</w:t>
      </w:r>
      <w:r>
        <w:rPr>
          <w:rFonts w:ascii="SimSun" w:hAnsi="SimSun" w:eastAsia="SimSun" w:cs="SimSun"/>
          <w:spacing w:val="6"/>
        </w:rPr>
        <w:t>/</w:t>
      </w:r>
      <w:r>
        <w:rPr>
          <w:rFonts w:ascii="SimSun" w:hAnsi="SimSun" w:eastAsia="SimSun" w:cs="SimSun"/>
        </w:rPr>
        <w:t>AR</w:t>
      </w:r>
      <w:r>
        <w:rPr>
          <w:rFonts w:ascii="SimSun" w:hAnsi="SimSun" w:eastAsia="SimSun" w:cs="SimSun"/>
          <w:spacing w:val="74"/>
        </w:rPr>
        <w:t xml:space="preserve"> </w:t>
      </w:r>
      <w:r>
        <w:rPr>
          <w:spacing w:val="6"/>
        </w:rPr>
        <w:t>沉浸式体验开发、</w:t>
      </w:r>
      <w:r>
        <w:rPr>
          <w:spacing w:val="-35"/>
        </w:rPr>
        <w:t xml:space="preserve"> </w:t>
      </w:r>
      <w:r>
        <w:rPr>
          <w:rFonts w:ascii="SimSun" w:hAnsi="SimSun" w:eastAsia="SimSun" w:cs="SimSun"/>
        </w:rPr>
        <w:t>AI</w:t>
      </w:r>
      <w:r>
        <w:rPr>
          <w:spacing w:val="6"/>
        </w:rPr>
        <w:t>辅助生成艺术、数字藏</w:t>
      </w:r>
      <w:r>
        <w:rPr/>
        <w:t xml:space="preserve"> </w:t>
      </w:r>
      <w:r>
        <w:rPr>
          <w:spacing w:val="3"/>
        </w:rPr>
        <w:t>品创作等。</w:t>
      </w:r>
    </w:p>
    <w:p>
      <w:pPr>
        <w:pStyle w:val="BodyText"/>
        <w:ind w:left="659" w:right="25"/>
        <w:spacing w:before="16" w:line="326" w:lineRule="auto"/>
        <w:jc w:val="both"/>
        <w:rPr/>
      </w:pPr>
      <w:r>
        <w:rPr>
          <w:spacing w:val="14"/>
        </w:rPr>
        <w:t>市场需求强劲：2025年数据显示，全球数字艺术人才缺口超过200万，影视后期、游戏美</w:t>
      </w:r>
      <w:r>
        <w:rPr>
          <w:spacing w:val="8"/>
        </w:rPr>
        <w:t xml:space="preserve"> </w:t>
      </w:r>
      <w:r>
        <w:rPr>
          <w:spacing w:val="6"/>
        </w:rPr>
        <w:t>术、元宇宙内容等领域持续“抢人”。顶尖院校</w:t>
      </w:r>
      <w:r>
        <w:rPr>
          <w:spacing w:val="5"/>
        </w:rPr>
        <w:t>毕业生年薪可轻松突破50万人民币，该领域</w:t>
      </w:r>
      <w:r>
        <w:rPr/>
        <w:t xml:space="preserve"> </w:t>
      </w:r>
      <w:r>
        <w:rPr>
          <w:spacing w:val="8"/>
        </w:rPr>
        <w:t>已成为艺术生最具增长潜力的赛道之一。</w:t>
      </w:r>
    </w:p>
    <w:p>
      <w:pPr>
        <w:pStyle w:val="BodyText"/>
        <w:ind w:left="333"/>
        <w:spacing w:before="146" w:line="221" w:lineRule="auto"/>
        <w:outlineLvl w:val="4"/>
        <w:rPr/>
      </w:pPr>
      <w:r>
        <w:rPr>
          <w:rFonts w:ascii="SimSun" w:hAnsi="SimSun" w:eastAsia="SimSun" w:cs="SimSun"/>
          <w:b/>
          <w:bCs/>
          <w:spacing w:val="4"/>
        </w:rPr>
        <w:t>2.</w:t>
      </w:r>
      <w:r>
        <w:rPr>
          <w:rFonts w:ascii="SimSun" w:hAnsi="SimSun" w:eastAsia="SimSun" w:cs="SimSun"/>
          <w:spacing w:val="4"/>
        </w:rPr>
        <w:t xml:space="preserve"> </w:t>
      </w:r>
      <w:r>
        <w:rPr>
          <w:b/>
          <w:bCs/>
          <w:spacing w:val="4"/>
        </w:rPr>
        <w:t>游戏与互动娱乐行业</w:t>
      </w:r>
    </w:p>
    <w:p>
      <w:pPr>
        <w:pStyle w:val="BodyText"/>
        <w:ind w:left="659"/>
        <w:spacing w:before="137" w:line="221" w:lineRule="auto"/>
        <w:rPr/>
      </w:pPr>
      <w:r>
        <w:rPr>
          <w:spacing w:val="5"/>
        </w:rPr>
        <w:t>核心岗位包括游戏原画师、角色/场景设计师、</w:t>
      </w:r>
      <w:r>
        <w:rPr>
          <w:spacing w:val="5"/>
        </w:rPr>
        <w:t xml:space="preserve"> </w:t>
      </w:r>
      <w:r>
        <w:rPr>
          <w:rFonts w:ascii="Times New Roman" w:hAnsi="Times New Roman" w:eastAsia="Times New Roman" w:cs="Times New Roman"/>
        </w:rPr>
        <w:t>UI</w:t>
      </w:r>
      <w:r>
        <w:rPr>
          <w:rFonts w:ascii="Times New Roman" w:hAnsi="Times New Roman" w:eastAsia="Times New Roman" w:cs="Times New Roman"/>
          <w:spacing w:val="5"/>
        </w:rPr>
        <w:t>/</w:t>
      </w:r>
      <w:r>
        <w:rPr>
          <w:rFonts w:ascii="Times New Roman" w:hAnsi="Times New Roman" w:eastAsia="Times New Roman" w:cs="Times New Roman"/>
        </w:rPr>
        <w:t>UX</w:t>
      </w:r>
      <w:r>
        <w:rPr>
          <w:rFonts w:ascii="Times New Roman" w:hAnsi="Times New Roman" w:eastAsia="Times New Roman" w:cs="Times New Roman"/>
          <w:spacing w:val="5"/>
        </w:rPr>
        <w:t xml:space="preserve"> </w:t>
      </w:r>
      <w:r>
        <w:rPr>
          <w:spacing w:val="5"/>
        </w:rPr>
        <w:t>交互设计师、动作捕捉动画师等。</w:t>
      </w:r>
    </w:p>
    <w:p>
      <w:pPr>
        <w:pStyle w:val="BodyText"/>
        <w:ind w:left="659"/>
        <w:spacing w:before="154" w:line="221" w:lineRule="auto"/>
        <w:rPr/>
      </w:pPr>
      <w:r>
        <w:rPr>
          <w:spacing w:val="9"/>
        </w:rPr>
        <w:t>工作内容聚焦于游戏视觉体系构建、叙事性美术表达以及玩家沉浸体验</w:t>
      </w:r>
      <w:r>
        <w:rPr>
          <w:spacing w:val="8"/>
        </w:rPr>
        <w:t>优化。</w:t>
      </w:r>
    </w:p>
    <w:p>
      <w:pPr>
        <w:pStyle w:val="BodyText"/>
        <w:ind w:left="659" w:right="118"/>
        <w:spacing w:before="116" w:line="358" w:lineRule="auto"/>
        <w:rPr/>
      </w:pPr>
      <w:r>
        <w:rPr>
          <w:spacing w:val="10"/>
        </w:rPr>
        <w:t>市场需求：随着国产游戏出海及元宇宙概念持续发酵，游戏美术人才长期处于供不应</w:t>
      </w:r>
      <w:r>
        <w:rPr>
          <w:spacing w:val="9"/>
        </w:rPr>
        <w:t>求状</w:t>
      </w:r>
      <w:r>
        <w:rPr/>
        <w:t xml:space="preserve"> </w:t>
      </w:r>
      <w:r>
        <w:rPr>
          <w:spacing w:val="9"/>
        </w:rPr>
        <w:t>态，成为艺术生跨界最成功的领域之一。</w:t>
      </w:r>
    </w:p>
    <w:p>
      <w:pPr>
        <w:pStyle w:val="BodyText"/>
        <w:ind w:left="333"/>
        <w:spacing w:before="94" w:line="221" w:lineRule="auto"/>
        <w:outlineLvl w:val="4"/>
        <w:rPr/>
      </w:pPr>
      <w:r>
        <w:rPr>
          <w:rFonts w:ascii="SimSun" w:hAnsi="SimSun" w:eastAsia="SimSun" w:cs="SimSun"/>
          <w:b/>
          <w:bCs/>
          <w:spacing w:val="4"/>
        </w:rPr>
        <w:t>3.</w:t>
      </w:r>
      <w:r>
        <w:rPr>
          <w:rFonts w:ascii="SimSun" w:hAnsi="SimSun" w:eastAsia="SimSun" w:cs="SimSun"/>
          <w:spacing w:val="4"/>
        </w:rPr>
        <w:t xml:space="preserve"> </w:t>
      </w:r>
      <w:r>
        <w:rPr>
          <w:b/>
          <w:bCs/>
          <w:spacing w:val="4"/>
        </w:rPr>
        <w:t>商业设计与品牌传播方向</w:t>
      </w:r>
    </w:p>
    <w:p>
      <w:pPr>
        <w:pStyle w:val="BodyText"/>
        <w:ind w:left="659"/>
        <w:spacing w:before="148" w:line="221" w:lineRule="auto"/>
        <w:rPr/>
      </w:pPr>
      <w:r>
        <w:rPr>
          <w:spacing w:val="9"/>
        </w:rPr>
        <w:t>包括广告创意设计、品牌视觉管理、包装与</w:t>
      </w:r>
      <w:r>
        <w:rPr>
          <w:rFonts w:ascii="Times New Roman" w:hAnsi="Times New Roman" w:eastAsia="Times New Roman" w:cs="Times New Roman"/>
        </w:rPr>
        <w:t>IP</w:t>
      </w:r>
      <w:r>
        <w:rPr>
          <w:spacing w:val="9"/>
        </w:rPr>
        <w:t>衍生设计、新媒体视觉运营等。</w:t>
      </w:r>
    </w:p>
    <w:p>
      <w:pPr>
        <w:pStyle w:val="BodyText"/>
        <w:ind w:left="659"/>
        <w:spacing w:before="138" w:line="217" w:lineRule="auto"/>
        <w:rPr/>
      </w:pPr>
      <w:r>
        <w:rPr>
          <w:spacing w:val="8"/>
        </w:rPr>
        <w:t>工作内容涉及品牌形象系统构建、营销</w:t>
      </w:r>
      <w:r>
        <w:rPr>
          <w:rFonts w:ascii="SimSun" w:hAnsi="SimSun" w:eastAsia="SimSun" w:cs="SimSun"/>
        </w:rPr>
        <w:t>campaign</w:t>
      </w:r>
      <w:r>
        <w:rPr>
          <w:rFonts w:ascii="SimSun" w:hAnsi="SimSun" w:eastAsia="SimSun" w:cs="SimSun"/>
          <w:spacing w:val="82"/>
        </w:rPr>
        <w:t xml:space="preserve"> </w:t>
      </w:r>
      <w:r>
        <w:rPr>
          <w:spacing w:val="8"/>
        </w:rPr>
        <w:t>视觉策划、社交媒体内容创作等。</w:t>
      </w:r>
    </w:p>
    <w:p>
      <w:pPr>
        <w:pStyle w:val="BodyText"/>
        <w:ind w:left="659"/>
        <w:spacing w:before="147" w:line="354" w:lineRule="auto"/>
        <w:rPr/>
      </w:pPr>
      <w:r>
        <w:rPr>
          <w:spacing w:val="10"/>
        </w:rPr>
        <w:t>市场需求稳定且薪资较高，尤其在一线城市及互联网</w:t>
      </w:r>
      <w:r>
        <w:rPr>
          <w:spacing w:val="9"/>
        </w:rPr>
        <w:t>大厂，优秀视觉设计师起薪普遍在15-</w:t>
      </w:r>
      <w:r>
        <w:rPr/>
        <w:t xml:space="preserve"> </w:t>
      </w:r>
      <w:r>
        <w:rPr>
          <w:rFonts w:ascii="Arial" w:hAnsi="Arial" w:eastAsia="Arial" w:cs="Arial"/>
          <w:spacing w:val="-5"/>
        </w:rPr>
        <w:t>25k/</w:t>
      </w:r>
      <w:r>
        <w:rPr>
          <w:rFonts w:ascii="Arial" w:hAnsi="Arial" w:eastAsia="Arial" w:cs="Arial"/>
          <w:spacing w:val="28"/>
        </w:rPr>
        <w:t xml:space="preserve"> </w:t>
      </w:r>
      <w:r>
        <w:rPr>
          <w:spacing w:val="-5"/>
        </w:rPr>
        <w:t>月。</w:t>
      </w:r>
    </w:p>
    <w:p>
      <w:pPr>
        <w:pStyle w:val="BodyText"/>
        <w:ind w:left="333"/>
        <w:spacing w:before="86" w:line="222" w:lineRule="auto"/>
        <w:outlineLvl w:val="4"/>
        <w:rPr/>
      </w:pPr>
      <w:r>
        <w:rPr>
          <w:rFonts w:ascii="SimSun" w:hAnsi="SimSun" w:eastAsia="SimSun" w:cs="SimSun"/>
          <w:b/>
          <w:bCs/>
          <w:spacing w:val="4"/>
        </w:rPr>
        <w:t>4.</w:t>
      </w:r>
      <w:r>
        <w:rPr>
          <w:rFonts w:ascii="SimSun" w:hAnsi="SimSun" w:eastAsia="SimSun" w:cs="SimSun"/>
          <w:spacing w:val="-14"/>
        </w:rPr>
        <w:t xml:space="preserve"> </w:t>
      </w:r>
      <w:r>
        <w:rPr>
          <w:b/>
          <w:bCs/>
          <w:spacing w:val="4"/>
        </w:rPr>
        <w:t>艺术教育与培训赛道</w:t>
      </w:r>
    </w:p>
    <w:p>
      <w:pPr>
        <w:pStyle w:val="BodyText"/>
        <w:ind w:left="659" w:right="333"/>
        <w:spacing w:before="155" w:line="329" w:lineRule="auto"/>
        <w:rPr/>
      </w:pPr>
      <w:r>
        <w:rPr>
          <w:spacing w:val="11"/>
        </w:rPr>
        <w:t>主要从事</w:t>
      </w:r>
      <w:r>
        <w:rPr>
          <w:rFonts w:ascii="Arial" w:hAnsi="Arial" w:eastAsia="Arial" w:cs="Arial"/>
          <w:spacing w:val="11"/>
        </w:rPr>
        <w:t>K12/</w:t>
      </w:r>
      <w:r>
        <w:rPr>
          <w:rFonts w:ascii="Arial" w:hAnsi="Arial" w:eastAsia="Arial" w:cs="Arial"/>
          <w:spacing w:val="-10"/>
        </w:rPr>
        <w:t xml:space="preserve"> </w:t>
      </w:r>
      <w:r>
        <w:rPr>
          <w:spacing w:val="11"/>
        </w:rPr>
        <w:t>少儿美术教师、成人兴趣培训、考研/艺考辅导、高校教师(需硕博学历)</w:t>
      </w:r>
      <w:r>
        <w:rPr/>
        <w:t xml:space="preserve"> </w:t>
      </w:r>
      <w:r>
        <w:rPr>
          <w:spacing w:val="-4"/>
        </w:rPr>
        <w:t>等。</w:t>
      </w:r>
    </w:p>
    <w:p>
      <w:pPr>
        <w:pStyle w:val="BodyText"/>
        <w:ind w:left="659"/>
        <w:spacing w:before="1" w:line="212" w:lineRule="auto"/>
        <w:rPr/>
      </w:pPr>
      <w:r>
        <w:rPr>
          <w:spacing w:val="2"/>
        </w:rPr>
        <w:t>市场需求受“双减”后素质教育回暖及终身</w:t>
      </w:r>
      <w:r>
        <w:rPr>
          <w:spacing w:val="1"/>
        </w:rPr>
        <w:t>学习趋势推动，呈现结构性机会。</w:t>
      </w:r>
    </w:p>
    <w:p>
      <w:pPr>
        <w:pStyle w:val="BodyText"/>
        <w:ind w:left="333"/>
        <w:spacing w:before="281" w:line="221" w:lineRule="auto"/>
        <w:outlineLvl w:val="4"/>
        <w:rPr/>
      </w:pPr>
      <w:r>
        <w:rPr>
          <w:rFonts w:ascii="SimSun" w:hAnsi="SimSun" w:eastAsia="SimSun" w:cs="SimSun"/>
          <w:b/>
          <w:bCs/>
          <w:spacing w:val="8"/>
        </w:rPr>
        <w:t>5.</w:t>
      </w:r>
      <w:r>
        <w:rPr>
          <w:rFonts w:ascii="SimSun" w:hAnsi="SimSun" w:eastAsia="SimSun" w:cs="SimSun"/>
          <w:spacing w:val="-49"/>
        </w:rPr>
        <w:t xml:space="preserve"> </w:t>
      </w:r>
      <w:r>
        <w:rPr>
          <w:b/>
          <w:bCs/>
          <w:spacing w:val="8"/>
        </w:rPr>
        <w:t>自由职业与网络创作经济</w:t>
      </w:r>
    </w:p>
    <w:p>
      <w:pPr>
        <w:pStyle w:val="BodyText"/>
        <w:ind w:left="659" w:right="163"/>
        <w:spacing w:before="159" w:line="318" w:lineRule="auto"/>
        <w:rPr/>
      </w:pPr>
      <w:r>
        <w:rPr>
          <w:spacing w:val="5"/>
        </w:rPr>
        <w:t>包括插画师、自媒体艺术家、直播带货美术创作者、平台签约画师、</w:t>
      </w:r>
      <w:r>
        <w:rPr>
          <w:spacing w:val="5"/>
        </w:rPr>
        <w:t xml:space="preserve"> </w:t>
      </w:r>
      <w:r>
        <w:rPr>
          <w:rFonts w:ascii="Arial" w:hAnsi="Arial" w:eastAsia="Arial" w:cs="Arial"/>
        </w:rPr>
        <w:t>NFT</w:t>
      </w:r>
      <w:r>
        <w:rPr>
          <w:rFonts w:ascii="Arial" w:hAnsi="Arial" w:eastAsia="Arial" w:cs="Arial"/>
          <w:spacing w:val="-12"/>
        </w:rPr>
        <w:t xml:space="preserve"> </w:t>
      </w:r>
      <w:r>
        <w:rPr>
          <w:spacing w:val="5"/>
        </w:rPr>
        <w:t>独立艺术家等。</w:t>
      </w:r>
      <w:r>
        <w:rPr/>
        <w:t xml:space="preserve"> </w:t>
      </w:r>
      <w:r>
        <w:rPr>
          <w:spacing w:val="2"/>
        </w:rPr>
        <w:t>工作内容高度灵活，依托小红书、</w:t>
      </w:r>
      <w:r>
        <w:rPr>
          <w:spacing w:val="2"/>
        </w:rPr>
        <w:t xml:space="preserve"> </w:t>
      </w:r>
      <w:r>
        <w:rPr>
          <w:rFonts w:ascii="SimSun" w:hAnsi="SimSun" w:eastAsia="SimSun" w:cs="SimSun"/>
          <w:spacing w:val="2"/>
        </w:rPr>
        <w:t>B</w:t>
      </w:r>
      <w:r>
        <w:rPr>
          <w:rFonts w:ascii="SimSun" w:hAnsi="SimSun" w:eastAsia="SimSun" w:cs="SimSun"/>
          <w:spacing w:val="-67"/>
        </w:rPr>
        <w:t xml:space="preserve"> </w:t>
      </w:r>
      <w:r>
        <w:rPr>
          <w:spacing w:val="2"/>
        </w:rPr>
        <w:t>站、</w:t>
      </w:r>
      <w:r>
        <w:rPr>
          <w:spacing w:val="1"/>
        </w:rPr>
        <w:t>抖音、</w:t>
      </w:r>
      <w:r>
        <w:rPr>
          <w:spacing w:val="-55"/>
        </w:rPr>
        <w:t xml:space="preserve"> </w:t>
      </w:r>
      <w:r>
        <w:rPr>
          <w:rFonts w:ascii="SimSun" w:hAnsi="SimSun" w:eastAsia="SimSun" w:cs="SimSun"/>
        </w:rPr>
        <w:t>Patreon</w:t>
      </w:r>
      <w:r>
        <w:rPr>
          <w:rFonts w:ascii="SimSun" w:hAnsi="SimSun" w:eastAsia="SimSun" w:cs="SimSun"/>
          <w:spacing w:val="1"/>
        </w:rPr>
        <w:t>、</w:t>
      </w:r>
      <w:r>
        <w:rPr>
          <w:rFonts w:ascii="SimSun" w:hAnsi="SimSun" w:eastAsia="SimSun" w:cs="SimSun"/>
        </w:rPr>
        <w:t>OpenSea</w:t>
      </w:r>
      <w:r>
        <w:rPr>
          <w:rFonts w:ascii="SimSun" w:hAnsi="SimSun" w:eastAsia="SimSun" w:cs="SimSun"/>
          <w:spacing w:val="37"/>
        </w:rPr>
        <w:t xml:space="preserve">  </w:t>
      </w:r>
      <w:r>
        <w:rPr>
          <w:spacing w:val="1"/>
        </w:rPr>
        <w:t>等平台实现变现。</w:t>
      </w:r>
    </w:p>
    <w:p>
      <w:pPr>
        <w:pStyle w:val="BodyText"/>
        <w:ind w:left="659"/>
        <w:spacing w:before="17" w:line="213" w:lineRule="auto"/>
        <w:rPr/>
      </w:pPr>
      <w:r>
        <w:rPr>
          <w:spacing w:val="6"/>
        </w:rPr>
        <w:t>优势在于时间自主与上限较高，</w:t>
      </w:r>
      <w:r>
        <w:rPr>
          <w:spacing w:val="6"/>
        </w:rPr>
        <w:t xml:space="preserve"> </w:t>
      </w:r>
      <w:r>
        <w:rPr>
          <w:spacing w:val="6"/>
        </w:rPr>
        <w:t>头部创作者年收入可达百万级</w:t>
      </w:r>
      <w:r>
        <w:rPr>
          <w:spacing w:val="5"/>
        </w:rPr>
        <w:t>，但收入波动大。</w:t>
      </w:r>
    </w:p>
    <w:p>
      <w:pPr>
        <w:spacing w:line="288" w:lineRule="auto"/>
        <w:rPr>
          <w:rFonts w:ascii="Arial"/>
          <w:sz w:val="21"/>
        </w:rPr>
      </w:pPr>
      <w:r/>
    </w:p>
    <w:p>
      <w:pPr>
        <w:pStyle w:val="BodyText"/>
        <w:ind w:right="265"/>
        <w:spacing w:before="76" w:line="331" w:lineRule="auto"/>
        <w:rPr/>
      </w:pPr>
      <w:r>
        <w:rPr>
          <w:spacing w:val="-6"/>
        </w:rPr>
        <w:t>上述多元化路径表明，艺术生的核心竞争力已从“纯技法”转向“审美×技术×商业理解”的复合能</w:t>
      </w:r>
      <w:r>
        <w:rPr>
          <w:spacing w:val="15"/>
        </w:rPr>
        <w:t xml:space="preserve"> </w:t>
      </w:r>
      <w:r>
        <w:rPr>
          <w:spacing w:val="-2"/>
        </w:rPr>
        <w:t>力。</w:t>
      </w:r>
    </w:p>
    <w:p>
      <w:pPr>
        <w:spacing w:line="253" w:lineRule="auto"/>
        <w:rPr>
          <w:rFonts w:ascii="Arial"/>
          <w:sz w:val="21"/>
        </w:rPr>
      </w:pPr>
      <w:r/>
    </w:p>
    <w:p>
      <w:pPr>
        <w:pStyle w:val="BodyText"/>
        <w:ind w:left="4"/>
        <w:spacing w:before="98" w:line="222" w:lineRule="auto"/>
        <w:outlineLvl w:val="2"/>
        <w:rPr>
          <w:sz w:val="30"/>
          <w:szCs w:val="30"/>
        </w:rPr>
      </w:pPr>
      <w:r>
        <w:rPr>
          <w:sz w:val="30"/>
          <w:szCs w:val="30"/>
          <w:b/>
          <w:bCs/>
          <w:spacing w:val="-3"/>
        </w:rPr>
        <w:t>二、社会评价对艺术人才的影响</w:t>
      </w:r>
    </w:p>
    <w:p>
      <w:pPr>
        <w:spacing w:line="222" w:lineRule="auto"/>
        <w:sectPr>
          <w:pgSz w:w="12240" w:h="15840"/>
          <w:pgMar w:top="1268" w:right="1111" w:bottom="0" w:left="989" w:header="0" w:footer="0" w:gutter="0"/>
        </w:sectPr>
        <w:rPr>
          <w:sz w:val="30"/>
          <w:szCs w:val="30"/>
        </w:rPr>
      </w:pPr>
    </w:p>
    <w:p>
      <w:pPr>
        <w:pStyle w:val="BodyText"/>
        <w:spacing w:before="46" w:line="213" w:lineRule="auto"/>
        <w:rPr/>
      </w:pPr>
      <w:r>
        <w:rPr>
          <w:spacing w:val="9"/>
        </w:rPr>
        <w:t>当前中国社会对艺术人才的评价仍呈现出明显的层级化与符号化特征，主要评价维度包括：</w:t>
      </w:r>
    </w:p>
    <w:p>
      <w:pPr>
        <w:pStyle w:val="BodyText"/>
        <w:ind w:left="369"/>
        <w:spacing w:before="284" w:line="221" w:lineRule="auto"/>
        <w:rPr/>
      </w:pPr>
      <w:r>
        <w:rPr>
          <w:spacing w:val="11"/>
        </w:rPr>
        <w:t>·</w:t>
      </w:r>
      <w:r>
        <w:rPr>
          <w:spacing w:val="-84"/>
        </w:rPr>
        <w:t xml:space="preserve"> </w:t>
      </w:r>
      <w:r>
        <w:rPr>
          <w:spacing w:val="11"/>
        </w:rPr>
        <w:t>毕业院校层级(央美、国美、川美等八大美院</w:t>
      </w:r>
      <w:r>
        <w:rPr>
          <w:rFonts w:ascii="SimSun" w:hAnsi="SimSun" w:eastAsia="SimSun" w:cs="SimSun"/>
        </w:rPr>
        <w:t>vs</w:t>
      </w:r>
      <w:r>
        <w:rPr>
          <w:rFonts w:ascii="SimSun" w:hAnsi="SimSun" w:eastAsia="SimSun" w:cs="SimSun"/>
          <w:spacing w:val="11"/>
        </w:rPr>
        <w:t xml:space="preserve"> </w:t>
      </w:r>
      <w:r>
        <w:rPr>
          <w:spacing w:val="11"/>
        </w:rPr>
        <w:t>普通院校)</w:t>
      </w:r>
    </w:p>
    <w:p>
      <w:pPr>
        <w:pStyle w:val="BodyText"/>
        <w:ind w:left="369"/>
        <w:spacing w:before="284" w:line="221" w:lineRule="auto"/>
        <w:rPr/>
      </w:pPr>
      <w:r>
        <w:rPr>
          <w:spacing w:val="10"/>
        </w:rPr>
        <w:t>·</w:t>
      </w:r>
      <w:r>
        <w:rPr>
          <w:spacing w:val="-90"/>
        </w:rPr>
        <w:t xml:space="preserve"> </w:t>
      </w:r>
      <w:r>
        <w:rPr>
          <w:spacing w:val="10"/>
        </w:rPr>
        <w:t>竞赛/获奖经历(国家级/国际奖项</w:t>
      </w:r>
      <w:r>
        <w:rPr>
          <w:rFonts w:ascii="SimSun" w:hAnsi="SimSun" w:eastAsia="SimSun" w:cs="SimSun"/>
        </w:rPr>
        <w:t>vs</w:t>
      </w:r>
      <w:r>
        <w:rPr>
          <w:rFonts w:ascii="SimSun" w:hAnsi="SimSun" w:eastAsia="SimSun" w:cs="SimSun"/>
          <w:spacing w:val="-27"/>
        </w:rPr>
        <w:t xml:space="preserve"> </w:t>
      </w:r>
      <w:r>
        <w:rPr>
          <w:spacing w:val="10"/>
        </w:rPr>
        <w:t>地方赛事)</w:t>
      </w:r>
    </w:p>
    <w:p>
      <w:pPr>
        <w:pStyle w:val="BodyText"/>
        <w:ind w:left="369"/>
        <w:spacing w:before="254" w:line="221" w:lineRule="auto"/>
        <w:rPr/>
      </w:pPr>
      <w:r>
        <w:rPr>
          <w:spacing w:val="12"/>
        </w:rPr>
        <w:t>·</w:t>
      </w:r>
      <w:r>
        <w:rPr>
          <w:spacing w:val="-88"/>
        </w:rPr>
        <w:t xml:space="preserve"> </w:t>
      </w:r>
      <w:r>
        <w:rPr>
          <w:spacing w:val="12"/>
        </w:rPr>
        <w:t>展览/学术曝光度(个展、双年展、机构收藏</w:t>
      </w:r>
      <w:r>
        <w:rPr>
          <w:rFonts w:ascii="SimSun" w:hAnsi="SimSun" w:eastAsia="SimSun" w:cs="SimSun"/>
        </w:rPr>
        <w:t>vs</w:t>
      </w:r>
      <w:r>
        <w:rPr>
          <w:rFonts w:ascii="SimSun" w:hAnsi="SimSun" w:eastAsia="SimSun" w:cs="SimSun"/>
          <w:spacing w:val="-27"/>
        </w:rPr>
        <w:t xml:space="preserve"> </w:t>
      </w:r>
      <w:r>
        <w:rPr>
          <w:spacing w:val="12"/>
        </w:rPr>
        <w:t>无系统</w:t>
      </w:r>
      <w:r>
        <w:rPr>
          <w:spacing w:val="11"/>
        </w:rPr>
        <w:t>展览经历)</w:t>
      </w:r>
    </w:p>
    <w:p>
      <w:pPr>
        <w:pStyle w:val="BodyText"/>
        <w:ind w:left="369"/>
        <w:spacing w:before="275" w:line="221" w:lineRule="auto"/>
        <w:rPr/>
      </w:pPr>
      <w:r>
        <w:rPr>
          <w:spacing w:val="11"/>
        </w:rPr>
        <w:t>·</w:t>
      </w:r>
      <w:r>
        <w:rPr>
          <w:spacing w:val="-74"/>
        </w:rPr>
        <w:t xml:space="preserve"> </w:t>
      </w:r>
      <w:r>
        <w:rPr>
          <w:spacing w:val="11"/>
        </w:rPr>
        <w:t>社交媒体/圈层知名度(流量型</w:t>
      </w:r>
      <w:r>
        <w:rPr>
          <w:rFonts w:ascii="SimSun" w:hAnsi="SimSun" w:eastAsia="SimSun" w:cs="SimSun"/>
        </w:rPr>
        <w:t>vs</w:t>
      </w:r>
      <w:r>
        <w:rPr>
          <w:rFonts w:ascii="SimSun" w:hAnsi="SimSun" w:eastAsia="SimSun" w:cs="SimSun"/>
          <w:spacing w:val="-17"/>
        </w:rPr>
        <w:t xml:space="preserve"> </w:t>
      </w:r>
      <w:r>
        <w:rPr>
          <w:spacing w:val="11"/>
        </w:rPr>
        <w:t>学术型)</w:t>
      </w:r>
    </w:p>
    <w:p>
      <w:pPr>
        <w:pStyle w:val="BodyText"/>
        <w:spacing w:before="294" w:line="221" w:lineRule="auto"/>
        <w:rPr/>
      </w:pPr>
      <w:r>
        <w:rPr>
          <w:spacing w:val="9"/>
        </w:rPr>
        <w:t>这些评价机制直接塑造了艺术生的就业分层与初始回报差异：</w:t>
      </w:r>
    </w:p>
    <w:p>
      <w:pPr>
        <w:pStyle w:val="BodyText"/>
        <w:ind w:left="499" w:right="75" w:hanging="130"/>
        <w:spacing w:before="265" w:line="279" w:lineRule="auto"/>
        <w:rPr/>
      </w:pPr>
      <w:r>
        <w:rPr>
          <w:spacing w:val="17"/>
        </w:rPr>
        <w:t>·</w:t>
      </w:r>
      <w:r>
        <w:rPr>
          <w:spacing w:val="-85"/>
        </w:rPr>
        <w:t xml:space="preserve"> </w:t>
      </w:r>
      <w:r>
        <w:rPr>
          <w:spacing w:val="17"/>
        </w:rPr>
        <w:t>顶尖美院(如中央美术学院)毕业生平均起薪显著高于普通院校，2</w:t>
      </w:r>
      <w:r>
        <w:rPr>
          <w:spacing w:val="16"/>
        </w:rPr>
        <w:t>024-2025年数据显示央</w:t>
      </w:r>
      <w:r>
        <w:rPr/>
        <w:t xml:space="preserve"> </w:t>
      </w:r>
      <w:r>
        <w:rPr>
          <w:spacing w:val="12"/>
        </w:rPr>
        <w:t>美毕业生月薪可达1.2万+,位列全国高校薪酬</w:t>
      </w:r>
      <w:r>
        <w:rPr>
          <w:spacing w:val="11"/>
        </w:rPr>
        <w:t>榜前列；</w:t>
      </w:r>
    </w:p>
    <w:p>
      <w:pPr>
        <w:pStyle w:val="BodyText"/>
        <w:ind w:left="499" w:right="175" w:hanging="130"/>
        <w:spacing w:before="265" w:line="283" w:lineRule="auto"/>
        <w:rPr/>
      </w:pPr>
      <w:r>
        <w:rPr>
          <w:spacing w:val="8"/>
        </w:rPr>
        <w:t>·</w:t>
      </w:r>
      <w:r>
        <w:rPr>
          <w:spacing w:val="-92"/>
        </w:rPr>
        <w:t xml:space="preserve"> </w:t>
      </w:r>
      <w:r>
        <w:rPr>
          <w:spacing w:val="8"/>
        </w:rPr>
        <w:t>拥有重要奖项或知名导师背书的毕业生更容易进入头部画廊</w:t>
      </w:r>
      <w:r>
        <w:rPr>
          <w:spacing w:val="7"/>
        </w:rPr>
        <w:t>、互联网大厂设计部门或获得机</w:t>
      </w:r>
      <w:r>
        <w:rPr/>
        <w:t xml:space="preserve"> </w:t>
      </w:r>
      <w:r>
        <w:rPr>
          <w:spacing w:val="4"/>
        </w:rPr>
        <w:t>构驻留/委约机会；</w:t>
      </w:r>
    </w:p>
    <w:p>
      <w:pPr>
        <w:pStyle w:val="BodyText"/>
        <w:ind w:left="499" w:right="167" w:hanging="130"/>
        <w:spacing w:before="254" w:line="288" w:lineRule="auto"/>
        <w:rPr/>
      </w:pPr>
      <w:r>
        <w:rPr>
          <w:spacing w:val="8"/>
        </w:rPr>
        <w:t>·</w:t>
      </w:r>
      <w:r>
        <w:rPr>
          <w:spacing w:val="-93"/>
        </w:rPr>
        <w:t xml:space="preserve"> </w:t>
      </w:r>
      <w:r>
        <w:rPr>
          <w:spacing w:val="8"/>
        </w:rPr>
        <w:t>相反，普通院校、无竞赛经历的毕业生更倾向于进入培训机构、广告公司或自由</w:t>
      </w:r>
      <w:r>
        <w:rPr>
          <w:spacing w:val="7"/>
        </w:rPr>
        <w:t>职业，初期</w:t>
      </w:r>
      <w:r>
        <w:rPr/>
        <w:t xml:space="preserve"> </w:t>
      </w:r>
      <w:r>
        <w:rPr>
          <w:spacing w:val="8"/>
        </w:rPr>
        <w:t>薪酬与稳定性均面临较大压力。</w:t>
      </w:r>
    </w:p>
    <w:p>
      <w:pPr>
        <w:pStyle w:val="BodyText"/>
        <w:ind w:right="482"/>
        <w:spacing w:before="304" w:line="334" w:lineRule="auto"/>
        <w:rPr/>
      </w:pPr>
      <w:r>
        <w:rPr>
          <w:spacing w:val="-1"/>
        </w:rPr>
        <w:t>这种评价体系虽有助于资源向优秀人才集中，但也强化了“</w:t>
      </w:r>
      <w:r>
        <w:rPr>
          <w:spacing w:val="-2"/>
        </w:rPr>
        <w:t>学历至上”与“路径依赖”的结构性问</w:t>
      </w:r>
      <w:r>
        <w:rPr/>
        <w:t xml:space="preserve"> </w:t>
      </w:r>
      <w:r>
        <w:rPr>
          <w:spacing w:val="9"/>
        </w:rPr>
        <w:t>题，对中下游艺术生的职业发展形成一定挤</w:t>
      </w:r>
      <w:r>
        <w:rPr>
          <w:spacing w:val="8"/>
        </w:rPr>
        <w:t>出效应。</w:t>
      </w:r>
    </w:p>
    <w:p>
      <w:pPr>
        <w:spacing w:line="246" w:lineRule="auto"/>
        <w:rPr>
          <w:rFonts w:ascii="Arial"/>
          <w:sz w:val="21"/>
        </w:rPr>
      </w:pPr>
      <w:r/>
    </w:p>
    <w:p>
      <w:pPr>
        <w:pStyle w:val="BodyText"/>
        <w:ind w:left="4"/>
        <w:spacing w:before="98" w:line="222" w:lineRule="auto"/>
        <w:outlineLvl w:val="2"/>
        <w:rPr>
          <w:sz w:val="30"/>
          <w:szCs w:val="30"/>
        </w:rPr>
      </w:pPr>
      <w:r>
        <w:rPr>
          <w:sz w:val="30"/>
          <w:szCs w:val="30"/>
          <w:b/>
          <w:bCs/>
          <w:spacing w:val="-3"/>
        </w:rPr>
        <w:t>三、知识产权与文化消费的作用</w:t>
      </w:r>
    </w:p>
    <w:p>
      <w:pPr>
        <w:pStyle w:val="BodyText"/>
        <w:ind w:right="263"/>
        <w:spacing w:before="252" w:line="339" w:lineRule="auto"/>
        <w:rPr/>
      </w:pPr>
      <w:r>
        <w:rPr>
          <w:spacing w:val="10"/>
        </w:rPr>
        <w:t>知识产权保护构成艺术家可持续收入的底层机制。完善的版权确权、侵权追责与衍生品授权体</w:t>
      </w:r>
      <w:r>
        <w:rPr>
          <w:spacing w:val="8"/>
        </w:rPr>
        <w:t xml:space="preserve">  </w:t>
      </w:r>
      <w:r>
        <w:rPr>
          <w:spacing w:val="12"/>
        </w:rPr>
        <w:t>系，能够将艺术家的创作价值从一次性售卖转变为长期版税流。20</w:t>
      </w:r>
      <w:r>
        <w:rPr>
          <w:spacing w:val="11"/>
        </w:rPr>
        <w:t>25年，随着区块链/</w:t>
      </w:r>
      <w:r>
        <w:rPr>
          <w:rFonts w:ascii="SimSun" w:hAnsi="SimSun" w:eastAsia="SimSun" w:cs="SimSun"/>
        </w:rPr>
        <w:t>NFT</w:t>
      </w:r>
      <w:r>
        <w:rPr>
          <w:rFonts w:ascii="SimSun" w:hAnsi="SimSun" w:eastAsia="SimSun" w:cs="SimSun"/>
          <w:spacing w:val="11"/>
        </w:rPr>
        <w:t xml:space="preserve"> </w:t>
      </w:r>
      <w:r>
        <w:rPr>
          <w:spacing w:val="11"/>
        </w:rPr>
        <w:t>技术</w:t>
      </w:r>
      <w:r>
        <w:rPr/>
        <w:t xml:space="preserve"> </w:t>
      </w:r>
      <w:r>
        <w:rPr>
          <w:spacing w:val="11"/>
        </w:rPr>
        <w:t>在艺术品溯源与确权领域的广泛应用，数字作品的盗版</w:t>
      </w:r>
      <w:r>
        <w:rPr>
          <w:spacing w:val="10"/>
        </w:rPr>
        <w:t>成本大幅上升，原创者获益能力显著增</w:t>
      </w:r>
      <w:r>
        <w:rPr/>
        <w:t xml:space="preserve">  </w:t>
      </w:r>
      <w:r>
        <w:rPr>
          <w:spacing w:val="-2"/>
        </w:rPr>
        <w:t>强。</w:t>
      </w:r>
    </w:p>
    <w:p>
      <w:pPr>
        <w:pStyle w:val="BodyText"/>
        <w:spacing w:before="87" w:line="342" w:lineRule="auto"/>
        <w:rPr/>
      </w:pPr>
      <w:r>
        <w:rPr>
          <w:spacing w:val="10"/>
        </w:rPr>
        <w:t>与此同时，中国居民文化消费升级趋势明显：高净值人群持续扩大，艺术品已逐</w:t>
      </w:r>
      <w:r>
        <w:rPr>
          <w:spacing w:val="9"/>
        </w:rPr>
        <w:t>步从“奢侈消费”</w:t>
      </w:r>
      <w:r>
        <w:rPr/>
        <w:t xml:space="preserve"> </w:t>
      </w:r>
      <w:r>
        <w:rPr>
          <w:spacing w:val="10"/>
        </w:rPr>
        <w:t>转向“资产配置+精神消费”双轮驱动。2025年艺术品市场规模预计保持</w:t>
      </w:r>
      <w:r>
        <w:rPr>
          <w:spacing w:val="9"/>
        </w:rPr>
        <w:t>年均12%左右增长，文化</w:t>
      </w:r>
      <w:r>
        <w:rPr/>
        <w:t xml:space="preserve">  </w:t>
      </w:r>
      <w:r>
        <w:rPr>
          <w:spacing w:val="12"/>
        </w:rPr>
        <w:t>及相关产业增加值占</w:t>
      </w:r>
      <w:r>
        <w:rPr>
          <w:rFonts w:ascii="SimSun" w:hAnsi="SimSun" w:eastAsia="SimSun" w:cs="SimSun"/>
        </w:rPr>
        <w:t>GDP</w:t>
      </w:r>
      <w:r>
        <w:rPr>
          <w:rFonts w:ascii="SimSun" w:hAnsi="SimSun" w:eastAsia="SimSun" w:cs="SimSun"/>
          <w:spacing w:val="83"/>
        </w:rPr>
        <w:t xml:space="preserve"> </w:t>
      </w:r>
      <w:r>
        <w:rPr>
          <w:spacing w:val="12"/>
        </w:rPr>
        <w:t>比重稳定在4.5%以上。当代艺术、数字艺术及年轻艺术家作品尤其受到</w:t>
      </w:r>
      <w:r>
        <w:rPr/>
        <w:t xml:space="preserve"> </w:t>
      </w:r>
      <w:r>
        <w:rPr>
          <w:spacing w:val="1"/>
        </w:rPr>
        <w:t>追捧。</w:t>
      </w:r>
    </w:p>
    <w:p>
      <w:pPr>
        <w:pStyle w:val="BodyText"/>
        <w:ind w:right="107"/>
        <w:spacing w:before="109" w:line="326" w:lineRule="auto"/>
        <w:rPr/>
      </w:pPr>
      <w:r>
        <w:rPr>
          <w:spacing w:val="12"/>
        </w:rPr>
        <w:t>上述两股力量共同作用，形成正反馈循环：法律保护强化</w:t>
      </w:r>
      <w:r>
        <w:rPr>
          <w:spacing w:val="-87"/>
        </w:rPr>
        <w:t xml:space="preserve"> </w:t>
      </w:r>
      <w:r>
        <w:rPr>
          <w:spacing w:val="12"/>
        </w:rPr>
        <w:t>→创</w:t>
      </w:r>
      <w:r>
        <w:rPr>
          <w:spacing w:val="11"/>
        </w:rPr>
        <w:t>作者收益预期提升</w:t>
      </w:r>
      <w:r>
        <w:rPr>
          <w:spacing w:val="-87"/>
        </w:rPr>
        <w:t xml:space="preserve"> </w:t>
      </w:r>
      <w:r>
        <w:rPr>
          <w:spacing w:val="11"/>
        </w:rPr>
        <w:t>→创作质量与多</w:t>
      </w:r>
      <w:r>
        <w:rPr/>
        <w:t xml:space="preserve"> </w:t>
      </w:r>
      <w:r>
        <w:rPr>
          <w:spacing w:val="12"/>
        </w:rPr>
        <w:t>样性提高→消费市场进一步扩大，为艺术人才提供了比以往任</w:t>
      </w:r>
      <w:r>
        <w:rPr>
          <w:spacing w:val="11"/>
        </w:rPr>
        <w:t>何时期都更有利的生存与发展土</w:t>
      </w:r>
    </w:p>
    <w:p>
      <w:pPr>
        <w:pStyle w:val="BodyText"/>
        <w:spacing w:before="19" w:line="222" w:lineRule="auto"/>
        <w:rPr/>
      </w:pPr>
      <w:r>
        <w:rPr>
          <w:spacing w:val="-2"/>
        </w:rPr>
        <w:t>壤。</w:t>
      </w:r>
    </w:p>
    <w:p>
      <w:pPr>
        <w:spacing w:line="390" w:lineRule="auto"/>
        <w:rPr>
          <w:rFonts w:ascii="Arial"/>
          <w:sz w:val="21"/>
        </w:rPr>
      </w:pPr>
      <w:r/>
    </w:p>
    <w:p>
      <w:pPr>
        <w:pStyle w:val="BodyText"/>
        <w:ind w:left="4"/>
        <w:spacing w:before="97" w:line="222" w:lineRule="auto"/>
        <w:outlineLvl w:val="2"/>
        <w:rPr>
          <w:sz w:val="30"/>
          <w:szCs w:val="30"/>
        </w:rPr>
      </w:pPr>
      <w:r>
        <w:rPr>
          <w:sz w:val="30"/>
          <w:szCs w:val="30"/>
          <w:b/>
          <w:bCs/>
          <w:spacing w:val="-3"/>
        </w:rPr>
        <w:t>四、其他国家的做法及其启示</w:t>
      </w:r>
    </w:p>
    <w:p>
      <w:pPr>
        <w:spacing w:line="222" w:lineRule="auto"/>
        <w:sectPr>
          <w:pgSz w:w="12240" w:h="15840"/>
          <w:pgMar w:top="1241" w:right="946" w:bottom="0" w:left="980" w:header="0" w:footer="0" w:gutter="0"/>
        </w:sectPr>
        <w:rPr>
          <w:sz w:val="30"/>
          <w:szCs w:val="30"/>
        </w:rPr>
      </w:pPr>
    </w:p>
    <w:p>
      <w:pPr>
        <w:pStyle w:val="BodyText"/>
        <w:ind w:right="96"/>
        <w:spacing w:before="47" w:line="354" w:lineRule="auto"/>
        <w:rPr/>
      </w:pPr>
      <w:r>
        <w:rPr>
          <w:spacing w:val="10"/>
        </w:rPr>
        <w:t>发达国家普遍建立了多层次、多元化的艺术人才支持体系，其核心目标在于平衡创作自由与经济</w:t>
      </w:r>
      <w:r>
        <w:rPr>
          <w:spacing w:val="18"/>
        </w:rPr>
        <w:t xml:space="preserve"> </w:t>
      </w:r>
      <w:r>
        <w:rPr>
          <w:spacing w:val="7"/>
        </w:rPr>
        <w:t>安全、短期生存与长期发展：</w:t>
      </w:r>
    </w:p>
    <w:p>
      <w:pPr>
        <w:pStyle w:val="BodyText"/>
        <w:ind w:left="384" w:right="25" w:hanging="15"/>
        <w:spacing w:before="97" w:line="296" w:lineRule="auto"/>
        <w:rPr/>
      </w:pPr>
      <w:r>
        <w:rPr>
          <w:spacing w:val="2"/>
        </w:rPr>
        <w:t>·</w:t>
      </w:r>
      <w:r>
        <w:rPr>
          <w:spacing w:val="-96"/>
        </w:rPr>
        <w:t xml:space="preserve"> </w:t>
      </w:r>
      <w:r>
        <w:rPr>
          <w:spacing w:val="2"/>
        </w:rPr>
        <w:t>法国：以政府主导型资助为主体，通过文化部直接拨款、设立“天才护照”</w:t>
      </w:r>
      <w:r>
        <w:rPr>
          <w:rFonts w:ascii="SimSun" w:hAnsi="SimSun" w:eastAsia="SimSun" w:cs="SimSun"/>
        </w:rPr>
        <w:t>talent</w:t>
      </w:r>
      <w:r>
        <w:rPr>
          <w:rFonts w:ascii="SimSun" w:hAnsi="SimSun" w:eastAsia="SimSun" w:cs="SimSun"/>
          <w:spacing w:val="50"/>
        </w:rPr>
        <w:t xml:space="preserve"> </w:t>
      </w:r>
      <w:r>
        <w:rPr>
          <w:rFonts w:ascii="SimSun" w:hAnsi="SimSun" w:eastAsia="SimSun" w:cs="SimSun"/>
        </w:rPr>
        <w:t>Passport</w:t>
      </w:r>
      <w:r>
        <w:rPr>
          <w:rFonts w:ascii="SimSun" w:hAnsi="SimSun" w:eastAsia="SimSun" w:cs="SimSun"/>
          <w:spacing w:val="2"/>
        </w:rPr>
        <w:t>)</w:t>
      </w:r>
      <w:r>
        <w:rPr>
          <w:rFonts w:ascii="SimSun" w:hAnsi="SimSun" w:eastAsia="SimSun" w:cs="SimSun"/>
        </w:rPr>
        <w:t xml:space="preserve"> </w:t>
      </w:r>
      <w:r>
        <w:rPr>
          <w:spacing w:val="13"/>
        </w:rPr>
        <w:t>签证等方式，为艺术家提供长期居留、创作资助与税收优惠。法国模式强调国家对艺术作为</w:t>
      </w:r>
      <w:r>
        <w:rPr>
          <w:spacing w:val="3"/>
        </w:rPr>
        <w:t xml:space="preserve"> </w:t>
      </w:r>
      <w:r>
        <w:rPr>
          <w:spacing w:val="-4"/>
        </w:rPr>
        <w:t>“软实力”的战略投资。</w:t>
      </w:r>
    </w:p>
    <w:p>
      <w:pPr>
        <w:pStyle w:val="BodyText"/>
        <w:ind w:left="499" w:right="61" w:hanging="130"/>
        <w:spacing w:before="272" w:line="302" w:lineRule="auto"/>
        <w:rPr/>
      </w:pPr>
      <w:r>
        <w:rPr>
          <w:spacing w:val="6"/>
        </w:rPr>
        <w:t>·</w:t>
      </w:r>
      <w:r>
        <w:rPr>
          <w:spacing w:val="-79"/>
        </w:rPr>
        <w:t xml:space="preserve"> </w:t>
      </w:r>
      <w:r>
        <w:rPr>
          <w:spacing w:val="6"/>
        </w:rPr>
        <w:t>美国：采用市场主导+税收激励模式，国家艺术基金会</w:t>
      </w:r>
      <w:r>
        <w:rPr>
          <w:spacing w:val="6"/>
        </w:rPr>
        <w:t xml:space="preserve"> </w:t>
      </w:r>
      <w:r>
        <w:rPr>
          <w:rFonts w:ascii="SimSun" w:hAnsi="SimSun" w:eastAsia="SimSun" w:cs="SimSun"/>
          <w:spacing w:val="6"/>
        </w:rPr>
        <w:t>(</w:t>
      </w:r>
      <w:r>
        <w:rPr>
          <w:rFonts w:ascii="SimSun" w:hAnsi="SimSun" w:eastAsia="SimSun" w:cs="SimSun"/>
        </w:rPr>
        <w:t>NEA</w:t>
      </w:r>
      <w:r>
        <w:rPr>
          <w:rFonts w:ascii="SimSun" w:hAnsi="SimSun" w:eastAsia="SimSun" w:cs="SimSun"/>
          <w:spacing w:val="6"/>
        </w:rPr>
        <w:t>)</w:t>
      </w:r>
      <w:r>
        <w:rPr>
          <w:rFonts w:ascii="SimSun" w:hAnsi="SimSun" w:eastAsia="SimSun" w:cs="SimSun"/>
          <w:spacing w:val="42"/>
        </w:rPr>
        <w:t xml:space="preserve">  </w:t>
      </w:r>
      <w:r>
        <w:rPr>
          <w:spacing w:val="6"/>
        </w:rPr>
        <w:t>提供有限匹配资助，更大规</w:t>
      </w:r>
      <w:r>
        <w:rPr>
          <w:spacing w:val="1"/>
        </w:rPr>
        <w:t xml:space="preserve"> </w:t>
      </w:r>
      <w:r>
        <w:rPr>
          <w:spacing w:val="11"/>
        </w:rPr>
        <w:t>模的支持来自私人基金会、企业赞助与税收抵扣政策。这种机制催生了高度</w:t>
      </w:r>
      <w:r>
        <w:rPr>
          <w:spacing w:val="10"/>
        </w:rPr>
        <w:t>活跃的艺术市场</w:t>
      </w:r>
      <w:r>
        <w:rPr/>
        <w:t xml:space="preserve"> </w:t>
      </w:r>
      <w:r>
        <w:rPr>
          <w:spacing w:val="5"/>
        </w:rPr>
        <w:t>与捐赠生态。</w:t>
      </w:r>
    </w:p>
    <w:p>
      <w:pPr>
        <w:pStyle w:val="BodyText"/>
        <w:ind w:left="499" w:hanging="130"/>
        <w:spacing w:before="240" w:line="284" w:lineRule="auto"/>
        <w:rPr/>
      </w:pPr>
      <w:r>
        <w:rPr>
          <w:spacing w:val="12"/>
        </w:rPr>
        <w:t>·</w:t>
      </w:r>
      <w:r>
        <w:rPr>
          <w:spacing w:val="-92"/>
        </w:rPr>
        <w:t xml:space="preserve"> </w:t>
      </w:r>
      <w:r>
        <w:rPr>
          <w:spacing w:val="12"/>
        </w:rPr>
        <w:t>德国：实行联邦+州+地方多级资助体系，对自由艺术</w:t>
      </w:r>
      <w:r>
        <w:rPr>
          <w:spacing w:val="11"/>
        </w:rPr>
        <w:t>家提供较为全面的社会保障(如疫情期</w:t>
      </w:r>
      <w:r>
        <w:rPr/>
        <w:t xml:space="preserve"> </w:t>
      </w:r>
      <w:r>
        <w:rPr>
          <w:spacing w:val="16"/>
        </w:rPr>
        <w:t>间高达500亿欧元的行业救助),保障艺术家基本生存。</w:t>
      </w:r>
    </w:p>
    <w:p>
      <w:pPr>
        <w:pStyle w:val="BodyText"/>
        <w:ind w:left="499" w:right="92" w:hanging="130"/>
        <w:spacing w:before="254" w:line="275" w:lineRule="auto"/>
        <w:rPr/>
      </w:pPr>
      <w:r>
        <w:rPr>
          <w:spacing w:val="5"/>
        </w:rPr>
        <w:t>·</w:t>
      </w:r>
      <w:r>
        <w:rPr>
          <w:spacing w:val="-87"/>
        </w:rPr>
        <w:t xml:space="preserve"> </w:t>
      </w:r>
      <w:r>
        <w:rPr>
          <w:spacing w:val="5"/>
        </w:rPr>
        <w:t>英国：通过艺术委员会</w:t>
      </w:r>
      <w:r>
        <w:rPr>
          <w:spacing w:val="5"/>
        </w:rPr>
        <w:t xml:space="preserve"> </w:t>
      </w:r>
      <w:r>
        <w:rPr>
          <w:rFonts w:ascii="SimSun" w:hAnsi="SimSun" w:eastAsia="SimSun" w:cs="SimSun"/>
          <w:spacing w:val="5"/>
        </w:rPr>
        <w:t>(</w:t>
      </w:r>
      <w:r>
        <w:rPr>
          <w:rFonts w:ascii="SimSun" w:hAnsi="SimSun" w:eastAsia="SimSun" w:cs="SimSun"/>
        </w:rPr>
        <w:t>Arts</w:t>
      </w:r>
      <w:r>
        <w:rPr>
          <w:rFonts w:ascii="SimSun" w:hAnsi="SimSun" w:eastAsia="SimSun" w:cs="SimSun"/>
          <w:spacing w:val="1"/>
        </w:rPr>
        <w:t xml:space="preserve">  </w:t>
      </w:r>
      <w:r>
        <w:rPr>
          <w:rFonts w:ascii="SimSun" w:hAnsi="SimSun" w:eastAsia="SimSun" w:cs="SimSun"/>
        </w:rPr>
        <w:t>Council</w:t>
      </w:r>
      <w:r>
        <w:rPr>
          <w:rFonts w:ascii="SimSun" w:hAnsi="SimSun" w:eastAsia="SimSun" w:cs="SimSun"/>
          <w:spacing w:val="5"/>
        </w:rPr>
        <w:t>)</w:t>
      </w:r>
      <w:r>
        <w:rPr>
          <w:rFonts w:ascii="SimSun" w:hAnsi="SimSun" w:eastAsia="SimSun" w:cs="SimSun"/>
          <w:spacing w:val="-25"/>
        </w:rPr>
        <w:t xml:space="preserve"> </w:t>
      </w:r>
      <w:r>
        <w:rPr>
          <w:spacing w:val="5"/>
        </w:rPr>
        <w:t>与私人基金会结合，疫情期间曾推出15亿英镑</w:t>
      </w:r>
      <w:r>
        <w:rPr>
          <w:spacing w:val="4"/>
        </w:rPr>
        <w:t>专项</w:t>
      </w:r>
      <w:r>
        <w:rPr/>
        <w:t xml:space="preserve"> </w:t>
      </w:r>
      <w:r>
        <w:rPr>
          <w:spacing w:val="8"/>
        </w:rPr>
        <w:t>救助计划，支持独立艺术家与小型机构。</w:t>
      </w:r>
    </w:p>
    <w:p>
      <w:pPr>
        <w:pStyle w:val="BodyText"/>
        <w:ind w:left="499" w:right="55" w:hanging="130"/>
        <w:spacing w:before="254" w:line="288" w:lineRule="auto"/>
        <w:rPr/>
      </w:pPr>
      <w:r>
        <w:rPr>
          <w:spacing w:val="8"/>
        </w:rPr>
        <w:t>·</w:t>
      </w:r>
      <w:r>
        <w:rPr>
          <w:spacing w:val="-93"/>
        </w:rPr>
        <w:t xml:space="preserve"> </w:t>
      </w:r>
      <w:r>
        <w:rPr>
          <w:spacing w:val="8"/>
        </w:rPr>
        <w:t>韩国：依托韩流产业政策，将艺术家纳入国家文化出口战略，提供系</w:t>
      </w:r>
      <w:r>
        <w:rPr>
          <w:spacing w:val="7"/>
        </w:rPr>
        <w:t>统性孵化、海外推广与</w:t>
      </w:r>
      <w:r>
        <w:rPr/>
        <w:t xml:space="preserve"> </w:t>
      </w:r>
      <w:r>
        <w:rPr>
          <w:spacing w:val="6"/>
        </w:rPr>
        <w:t>版权保护支持。</w:t>
      </w:r>
    </w:p>
    <w:p>
      <w:pPr>
        <w:spacing w:line="253" w:lineRule="auto"/>
        <w:rPr>
          <w:rFonts w:ascii="Arial"/>
          <w:sz w:val="21"/>
        </w:rPr>
      </w:pPr>
      <w:r/>
    </w:p>
    <w:p>
      <w:pPr>
        <w:pStyle w:val="BodyText"/>
        <w:ind w:right="264"/>
        <w:spacing w:before="75" w:line="318" w:lineRule="auto"/>
        <w:rPr/>
      </w:pPr>
      <w:r>
        <w:rPr>
          <w:spacing w:val="12"/>
        </w:rPr>
        <w:t>这</w:t>
      </w:r>
      <w:r>
        <w:rPr>
          <w:b/>
          <w:bCs/>
          <w:spacing w:val="12"/>
        </w:rPr>
        <w:t>些国家的共同经验在于：通过制度化、多渠道的收入稳定机制(政府资助+市场回</w:t>
      </w:r>
      <w:r>
        <w:rPr>
          <w:b/>
          <w:bCs/>
          <w:spacing w:val="11"/>
        </w:rPr>
        <w:t>报+社会保</w:t>
      </w:r>
      <w:r>
        <w:rPr/>
        <w:t xml:space="preserve">  </w:t>
      </w:r>
      <w:r>
        <w:rPr>
          <w:spacing w:val="10"/>
        </w:rPr>
        <w:t>障</w:t>
      </w:r>
      <w:r>
        <w:rPr>
          <w:b/>
          <w:bCs/>
          <w:spacing w:val="10"/>
        </w:rPr>
        <w:t>),显著提升艺术家的职业尊严与创作持续性，进</w:t>
      </w:r>
      <w:r>
        <w:rPr>
          <w:b/>
          <w:bCs/>
          <w:spacing w:val="9"/>
        </w:rPr>
        <w:t>而反哺整个文化生态的繁荣与国际竞争力。</w:t>
      </w:r>
    </w:p>
    <w:p>
      <w:pPr>
        <w:spacing w:line="279" w:lineRule="auto"/>
        <w:rPr>
          <w:rFonts w:ascii="Arial"/>
          <w:sz w:val="21"/>
        </w:rPr>
      </w:pPr>
      <w:r/>
    </w:p>
    <w:p>
      <w:pPr>
        <w:pStyle w:val="BodyText"/>
        <w:ind w:left="4"/>
        <w:spacing w:before="101" w:line="222" w:lineRule="auto"/>
        <w:rPr>
          <w:sz w:val="31"/>
          <w:szCs w:val="31"/>
        </w:rPr>
      </w:pPr>
      <w:r>
        <w:rPr>
          <w:sz w:val="31"/>
          <w:szCs w:val="31"/>
          <w:b/>
          <w:bCs/>
          <w:spacing w:val="-6"/>
        </w:rPr>
        <w:t>结语</w:t>
      </w:r>
    </w:p>
    <w:p>
      <w:pPr>
        <w:pStyle w:val="BodyText"/>
        <w:ind w:right="86"/>
        <w:spacing w:before="217" w:line="340" w:lineRule="auto"/>
        <w:rPr/>
      </w:pPr>
      <w:r>
        <w:rPr>
          <w:spacing w:val="4"/>
        </w:rPr>
        <w:t>艺术生职业发展已进入“审美经济”时代，其成败越来越取决于个体能否在技术变革、消费升</w:t>
      </w:r>
      <w:r>
        <w:rPr>
          <w:spacing w:val="3"/>
        </w:rPr>
        <w:t>级与</w:t>
      </w:r>
      <w:r>
        <w:rPr/>
        <w:t xml:space="preserve"> </w:t>
      </w:r>
      <w:r>
        <w:rPr>
          <w:spacing w:val="11"/>
        </w:rPr>
        <w:t>制度环境三重维度中找到最适合自身的生态位。</w:t>
      </w:r>
      <w:r>
        <w:rPr>
          <w:spacing w:val="10"/>
        </w:rPr>
        <w:t>尽管传统纯艺术领域仍面临结构性压力，但数字</w:t>
      </w:r>
      <w:r>
        <w:rPr/>
        <w:t xml:space="preserve"> </w:t>
      </w:r>
      <w:r>
        <w:rPr>
          <w:spacing w:val="10"/>
        </w:rPr>
        <w:t>科技赋能、知识产权完善与文化消费崛起，正在为新一代艺术人才开启前所未有</w:t>
      </w:r>
      <w:r>
        <w:rPr>
          <w:spacing w:val="9"/>
        </w:rPr>
        <w:t>的可能性空间。</w:t>
      </w:r>
      <w:r>
        <w:rPr/>
        <w:t xml:space="preserve"> </w:t>
      </w:r>
      <w:r>
        <w:rPr>
          <w:spacing w:val="11"/>
        </w:rPr>
        <w:t>未来，真正具备跨界视野、数字素养与商业敏感度的艺术生，将</w:t>
      </w:r>
      <w:r>
        <w:rPr>
          <w:spacing w:val="10"/>
        </w:rPr>
        <w:t>在全球文化版图中占据更重要的</w:t>
      </w:r>
      <w:r>
        <w:rPr/>
        <w:t xml:space="preserve"> </w:t>
      </w:r>
      <w:r>
        <w:rPr>
          <w:spacing w:val="1"/>
        </w:rPr>
        <w:t>位置。</w:t>
      </w:r>
    </w:p>
    <w:sectPr>
      <w:pgSz w:w="12240" w:h="15840"/>
      <w:pgMar w:top="1200" w:right="1063" w:bottom="0" w:left="98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3"/>
      <w:szCs w:val="23"/>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2026-03-15T23:59:43Z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2026-03-15T23:59:43</vt:filetime>
  </property>
  <property fmtid="{D5CDD505-2E9C-101B-9397-08002B2CF9AE}" pid="4" name="UsrData">
    <vt:lpwstr>69b6d76d6314910020303e9fwl</vt:lpwstr>
  </property>
</Properties>
</file>