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46" w:line="221" w:lineRule="auto"/>
        <w:rPr/>
      </w:pPr>
      <w:r>
        <w:rPr>
          <w:b/>
          <w:bCs/>
          <w:spacing w:val="4"/>
        </w:rPr>
        <w:t>艺术人才多元化发展与生态构建——政策咨询报告</w:t>
      </w:r>
    </w:p>
    <w:p>
      <w:pPr>
        <w:pStyle w:val="BodyText"/>
        <w:ind w:left="3"/>
        <w:spacing w:before="184" w:line="221" w:lineRule="auto"/>
        <w:rPr/>
      </w:pPr>
      <w:r>
        <w:rPr>
          <w:b/>
          <w:bCs/>
          <w:spacing w:val="7"/>
        </w:rPr>
        <w:t>国家级文化政策智库高级研究员</w:t>
      </w:r>
    </w:p>
    <w:p>
      <w:pPr>
        <w:pStyle w:val="BodyText"/>
        <w:ind w:left="3"/>
        <w:spacing w:before="184" w:line="221" w:lineRule="auto"/>
        <w:rPr/>
      </w:pPr>
      <w:r>
        <w:rPr>
          <w:b/>
          <w:bCs/>
          <w:spacing w:val="8"/>
        </w:rPr>
        <w:t>报告呈送单位：相关部委及行业决策层</w:t>
      </w:r>
    </w:p>
    <w:p>
      <w:pPr>
        <w:pStyle w:val="BodyText"/>
        <w:ind w:left="3"/>
        <w:spacing w:before="187" w:line="223" w:lineRule="auto"/>
        <w:rPr/>
      </w:pPr>
      <w:r>
        <w:rPr>
          <w:b/>
          <w:bCs/>
          <w:spacing w:val="14"/>
        </w:rPr>
        <w:t>报告日期：2026年1月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1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执行摘要</w:t>
      </w:r>
    </w:p>
    <w:p>
      <w:pPr>
        <w:pStyle w:val="BodyText"/>
        <w:ind w:right="136"/>
        <w:spacing w:before="218" w:line="334" w:lineRule="auto"/>
        <w:rPr/>
      </w:pPr>
      <w:r>
        <w:rPr>
          <w:spacing w:val="9"/>
        </w:rPr>
        <w:t>据联合国教科文组织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UNESCO</w:t>
      </w:r>
      <w:r>
        <w:rPr>
          <w:rFonts w:ascii="SimSun" w:hAnsi="SimSun" w:eastAsia="SimSun" w:cs="SimSun"/>
          <w:spacing w:val="9"/>
        </w:rPr>
        <w:t>)《</w:t>
      </w:r>
      <w:r>
        <w:rPr>
          <w:rFonts w:ascii="SimSun" w:hAnsi="SimSun" w:eastAsia="SimSun" w:cs="SimSun"/>
          <w:spacing w:val="39"/>
        </w:rPr>
        <w:t xml:space="preserve">  </w:t>
      </w:r>
      <w:r>
        <w:rPr>
          <w:spacing w:val="9"/>
        </w:rPr>
        <w:t>重塑创意政策：将文化作为全球公共产品》报告指出，创意经</w:t>
      </w:r>
      <w:r>
        <w:rPr/>
        <w:t xml:space="preserve"> </w:t>
      </w:r>
      <w:r>
        <w:rPr>
          <w:spacing w:val="13"/>
        </w:rPr>
        <w:t>济在全球范围内促进社会包容、文化多样性与人类发展，并生成近5000万个就业岗位，其中年</w:t>
      </w:r>
    </w:p>
    <w:p>
      <w:pPr>
        <w:pStyle w:val="BodyText"/>
        <w:spacing w:before="8" w:line="347" w:lineRule="auto"/>
        <w:rPr/>
      </w:pPr>
      <w:r>
        <w:rPr>
          <w:spacing w:val="10"/>
        </w:rPr>
        <w:t>轻群体(15-29岁)占比显著高于其他部门。在一定程度上，艺术人才多元化发</w:t>
      </w:r>
      <w:r>
        <w:rPr>
          <w:spacing w:val="9"/>
        </w:rPr>
        <w:t>展已成为推动文化强</w:t>
      </w:r>
      <w:r>
        <w:rPr/>
        <w:t xml:space="preserve"> </w:t>
      </w:r>
      <w:r>
        <w:rPr>
          <w:spacing w:val="4"/>
        </w:rPr>
        <w:t>国建设的关键引擎。</w:t>
      </w:r>
    </w:p>
    <w:p>
      <w:pPr>
        <w:pStyle w:val="BodyText"/>
        <w:ind w:right="35"/>
        <w:spacing w:before="124" w:line="326" w:lineRule="auto"/>
        <w:jc w:val="both"/>
        <w:rPr/>
      </w:pPr>
      <w:r>
        <w:rPr>
          <w:spacing w:val="10"/>
        </w:rPr>
        <w:t>本报告聚焦艺术人才突破传统路径的跨界融合、社会评价体系对市场境遇的影响、知识产权保护</w:t>
      </w:r>
      <w:r>
        <w:rPr>
          <w:spacing w:val="8"/>
        </w:rPr>
        <w:t xml:space="preserve">  </w:t>
      </w:r>
      <w:r>
        <w:rPr>
          <w:spacing w:val="10"/>
        </w:rPr>
        <w:t>与文化消费升级的宏观利好趋势，以及国际典型支持措施。研究表明，通常而言，通过构建完善</w:t>
      </w:r>
      <w:r>
        <w:rPr>
          <w:spacing w:val="6"/>
        </w:rPr>
        <w:t xml:space="preserve">  </w:t>
      </w:r>
      <w:r>
        <w:rPr>
          <w:spacing w:val="11"/>
        </w:rPr>
        <w:t>的艺术人才价值转化漏斗(指从创作端到市场端的四阶段模型：创意生成</w:t>
      </w:r>
      <w:r>
        <w:rPr>
          <w:rFonts w:ascii="SimSun" w:hAnsi="SimSun" w:eastAsia="SimSun" w:cs="SimSun"/>
          <w:spacing w:val="11"/>
        </w:rPr>
        <w:t>[</w:t>
      </w:r>
      <w:r>
        <w:rPr>
          <w:rFonts w:ascii="SimSun" w:hAnsi="SimSun" w:eastAsia="SimSun" w:cs="SimSun"/>
        </w:rPr>
        <w:t>IDEATION</w:t>
      </w:r>
      <w:r>
        <w:rPr>
          <w:rFonts w:ascii="SimSun" w:hAnsi="SimSun" w:eastAsia="SimSun" w:cs="SimSun"/>
          <w:spacing w:val="11"/>
        </w:rPr>
        <w:t>]</w:t>
      </w:r>
      <w:r>
        <w:rPr>
          <w:rFonts w:ascii="SimSun" w:hAnsi="SimSun" w:eastAsia="SimSun" w:cs="SimSun"/>
          <w:spacing w:val="39"/>
        </w:rPr>
        <w:t xml:space="preserve"> </w:t>
      </w:r>
      <w:r>
        <w:rPr>
          <w:spacing w:val="11"/>
        </w:rPr>
        <w:t>一知识</w:t>
      </w:r>
      <w:r>
        <w:rPr>
          <w:spacing w:val="10"/>
        </w:rPr>
        <w:t>产权</w:t>
      </w:r>
      <w:r>
        <w:rPr/>
        <w:t xml:space="preserve"> </w:t>
      </w:r>
      <w:r>
        <w:rPr>
          <w:spacing w:val="4"/>
        </w:rPr>
        <w:t>固化</w:t>
      </w:r>
      <w:r>
        <w:rPr>
          <w:rFonts w:ascii="Arial" w:hAnsi="Arial" w:eastAsia="Arial" w:cs="Arial"/>
          <w:spacing w:val="4"/>
        </w:rPr>
        <w:t>[</w:t>
      </w:r>
      <w:r>
        <w:rPr>
          <w:rFonts w:ascii="Arial" w:hAnsi="Arial" w:eastAsia="Arial" w:cs="Arial"/>
        </w:rPr>
        <w:t>IP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</w:rPr>
        <w:t>FIXATION</w:t>
      </w:r>
      <w:r>
        <w:rPr>
          <w:rFonts w:ascii="Arial" w:hAnsi="Arial" w:eastAsia="Arial" w:cs="Arial"/>
          <w:spacing w:val="4"/>
        </w:rPr>
        <w:t>]—</w:t>
      </w:r>
      <w:r>
        <w:rPr>
          <w:spacing w:val="4"/>
        </w:rPr>
        <w:t>市场触达</w:t>
      </w:r>
      <w:r>
        <w:rPr>
          <w:rFonts w:ascii="Arial" w:hAnsi="Arial" w:eastAsia="Arial" w:cs="Arial"/>
          <w:spacing w:val="4"/>
        </w:rPr>
        <w:t>[</w:t>
      </w:r>
      <w:r>
        <w:rPr>
          <w:rFonts w:ascii="Arial" w:hAnsi="Arial" w:eastAsia="Arial" w:cs="Arial"/>
        </w:rPr>
        <w:t>MARKET</w:t>
      </w:r>
      <w:r>
        <w:rPr>
          <w:rFonts w:ascii="Arial" w:hAnsi="Arial" w:eastAsia="Arial" w:cs="Arial"/>
          <w:spacing w:val="20"/>
          <w:w w:val="101"/>
        </w:rPr>
        <w:t xml:space="preserve">  </w:t>
      </w:r>
      <w:r>
        <w:rPr>
          <w:rFonts w:ascii="Arial" w:hAnsi="Arial" w:eastAsia="Arial" w:cs="Arial"/>
        </w:rPr>
        <w:t>REACH</w:t>
      </w:r>
      <w:r>
        <w:rPr>
          <w:rFonts w:ascii="Arial" w:hAnsi="Arial" w:eastAsia="Arial" w:cs="Arial"/>
          <w:spacing w:val="4"/>
        </w:rPr>
        <w:t>]</w:t>
      </w:r>
      <w:r>
        <w:rPr>
          <w:spacing w:val="4"/>
        </w:rPr>
        <w:t>一价值变现</w:t>
      </w:r>
      <w:r>
        <w:rPr>
          <w:rFonts w:ascii="Arial" w:hAnsi="Arial" w:eastAsia="Arial" w:cs="Arial"/>
          <w:spacing w:val="4"/>
        </w:rPr>
        <w:t>[</w:t>
      </w:r>
      <w:r>
        <w:rPr>
          <w:rFonts w:ascii="Arial" w:hAnsi="Arial" w:eastAsia="Arial" w:cs="Arial"/>
        </w:rPr>
        <w:t>MONETIZATION</w:t>
      </w:r>
      <w:r>
        <w:rPr>
          <w:rFonts w:ascii="Arial" w:hAnsi="Arial" w:eastAsia="Arial" w:cs="Arial"/>
          <w:spacing w:val="4"/>
        </w:rPr>
        <w:t>]),     </w:t>
      </w:r>
      <w:r>
        <w:rPr>
          <w:spacing w:val="4"/>
        </w:rPr>
        <w:t>可显著提升艺</w:t>
      </w:r>
      <w:r>
        <w:rPr/>
        <w:t xml:space="preserve"> </w:t>
      </w:r>
      <w:r>
        <w:rPr>
          <w:spacing w:val="10"/>
        </w:rPr>
        <w:t>术人才的可持续收入与社会价值。然而，也需注意到其潜在局限，如跨界路径对个体综合素养要</w:t>
      </w:r>
      <w:r>
        <w:rPr>
          <w:spacing w:val="3"/>
        </w:rPr>
        <w:t xml:space="preserve">  </w:t>
      </w:r>
      <w:r>
        <w:rPr>
          <w:spacing w:val="8"/>
        </w:rPr>
        <w:t>求较高，更适用于具备较强适应性与学习能力的艺术人才。</w:t>
      </w:r>
    </w:p>
    <w:p>
      <w:pPr>
        <w:pStyle w:val="BodyText"/>
        <w:ind w:right="125"/>
        <w:spacing w:before="185" w:line="338" w:lineRule="auto"/>
        <w:jc w:val="both"/>
        <w:rPr/>
      </w:pPr>
      <w:r>
        <w:rPr>
          <w:spacing w:val="11"/>
        </w:rPr>
        <w:t>建议将艺术人才多元化生态构建与文化强国战略</w:t>
      </w:r>
      <w:r>
        <w:rPr>
          <w:spacing w:val="10"/>
        </w:rPr>
        <w:t>、数字经济国家战略、乡村振兴战略及人才强国</w:t>
      </w:r>
      <w:r>
        <w:rPr/>
        <w:t xml:space="preserve"> </w:t>
      </w:r>
      <w:r>
        <w:rPr>
          <w:spacing w:val="9"/>
        </w:rPr>
        <w:t>战略深度关联，系统推进政策优化。该战略的适用条件在于持续的政策稳定性与市场机制完善，</w:t>
      </w:r>
      <w:r>
        <w:rPr>
          <w:spacing w:val="6"/>
        </w:rPr>
        <w:t xml:space="preserve"> </w:t>
      </w:r>
      <w:r>
        <w:rPr>
          <w:spacing w:val="8"/>
        </w:rPr>
        <w:t>有待进一步观察全球创意经济动态。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一、问题提出与文献述评</w:t>
      </w:r>
    </w:p>
    <w:p>
      <w:pPr>
        <w:pStyle w:val="BodyText"/>
        <w:ind w:left="3"/>
        <w:spacing w:before="218" w:line="221" w:lineRule="auto"/>
        <w:outlineLvl w:val="4"/>
        <w:rPr/>
      </w:pPr>
      <w:r>
        <w:rPr>
          <w:b/>
          <w:bCs/>
          <w:spacing w:val="5"/>
        </w:rPr>
        <w:t>(一)研究背景</w:t>
      </w:r>
    </w:p>
    <w:p>
      <w:pPr>
        <w:pStyle w:val="BodyText"/>
        <w:ind w:right="23"/>
        <w:spacing w:before="205" w:line="337" w:lineRule="auto"/>
        <w:jc w:val="both"/>
        <w:rPr/>
      </w:pPr>
      <w:r>
        <w:rPr>
          <w:spacing w:val="10"/>
        </w:rPr>
        <w:t>据世界知识产权组织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</w:rPr>
        <w:t>WIPO</w:t>
      </w:r>
      <w:r>
        <w:rPr>
          <w:rFonts w:ascii="Times New Roman" w:hAnsi="Times New Roman" w:eastAsia="Times New Roman" w:cs="Times New Roman"/>
          <w:spacing w:val="10"/>
        </w:rPr>
        <w:t>)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10"/>
        </w:rPr>
        <w:t>相关报告，版权为基础的创意产业在全球经济中扮演</w:t>
      </w:r>
      <w:r>
        <w:rPr>
          <w:spacing w:val="9"/>
        </w:rPr>
        <w:t>重要角色，为创</w:t>
      </w:r>
      <w:r>
        <w:rPr/>
        <w:t xml:space="preserve"> </w:t>
      </w:r>
      <w:r>
        <w:rPr>
          <w:spacing w:val="10"/>
        </w:rPr>
        <w:t>作者提供可持续收入来源。中国文化和旅游部近年来通过多项规划强调艺术人才的复合型、跨界</w:t>
      </w:r>
      <w:r>
        <w:rPr>
          <w:spacing w:val="4"/>
        </w:rPr>
        <w:t xml:space="preserve">  </w:t>
      </w:r>
      <w:r>
        <w:rPr>
          <w:spacing w:val="3"/>
        </w:rPr>
        <w:t>型培养。</w:t>
      </w:r>
    </w:p>
    <w:p>
      <w:pPr>
        <w:pStyle w:val="BodyText"/>
        <w:ind w:left="3"/>
        <w:spacing w:before="240" w:line="221" w:lineRule="auto"/>
        <w:outlineLvl w:val="4"/>
        <w:rPr/>
      </w:pPr>
      <w:r>
        <w:rPr>
          <w:b/>
          <w:bCs/>
          <w:spacing w:val="4"/>
        </w:rPr>
        <w:t>(二)核心概念界定</w:t>
      </w:r>
    </w:p>
    <w:p>
      <w:pPr>
        <w:pStyle w:val="BodyText"/>
        <w:ind w:left="689" w:right="159" w:hanging="336"/>
        <w:spacing w:before="208" w:line="275" w:lineRule="auto"/>
        <w:rPr/>
      </w:pPr>
      <w:r>
        <w:rPr>
          <w:rFonts w:ascii="SimSun" w:hAnsi="SimSun" w:eastAsia="SimSun" w:cs="SimSun"/>
          <w:b/>
          <w:bCs/>
          <w:spacing w:val="6"/>
        </w:rPr>
        <w:t>1.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b/>
          <w:bCs/>
          <w:spacing w:val="6"/>
        </w:rPr>
        <w:t>艺术人才多元化发展：</w:t>
      </w:r>
      <w:r>
        <w:rPr>
          <w:spacing w:val="6"/>
        </w:rPr>
        <w:t xml:space="preserve"> </w:t>
      </w:r>
      <w:r>
        <w:rPr>
          <w:spacing w:val="6"/>
        </w:rPr>
        <w:t>指艺术从业者突破单一职业路径，向科技、商业、教育、</w:t>
      </w:r>
      <w:r>
        <w:rPr>
          <w:spacing w:val="5"/>
        </w:rPr>
        <w:t>乡村振兴</w:t>
      </w:r>
      <w:r>
        <w:rPr/>
        <w:t xml:space="preserve"> </w:t>
      </w:r>
      <w:r>
        <w:rPr>
          <w:spacing w:val="7"/>
        </w:rPr>
        <w:t>等领域延伸，形成多维价值实现模式。</w:t>
      </w:r>
    </w:p>
    <w:p>
      <w:pPr>
        <w:pStyle w:val="BodyText"/>
        <w:ind w:left="669" w:right="167" w:hanging="306"/>
        <w:spacing w:before="295" w:line="277" w:lineRule="auto"/>
        <w:rPr/>
      </w:pPr>
      <w:r>
        <w:rPr>
          <w:rFonts w:ascii="SimSun" w:hAnsi="SimSun" w:eastAsia="SimSun" w:cs="SimSun"/>
          <w:b/>
          <w:bCs/>
          <w:spacing w:val="7"/>
        </w:rPr>
        <w:t>2.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b/>
          <w:bCs/>
          <w:spacing w:val="7"/>
        </w:rPr>
        <w:t>艺术人才生态构建：</w:t>
      </w:r>
      <w:r>
        <w:rPr>
          <w:spacing w:val="-39"/>
        </w:rPr>
        <w:t xml:space="preserve"> </w:t>
      </w:r>
      <w:r>
        <w:rPr>
          <w:spacing w:val="7"/>
        </w:rPr>
        <w:t>涵盖教育培养、评价激励、知</w:t>
      </w:r>
      <w:r>
        <w:rPr>
          <w:spacing w:val="6"/>
        </w:rPr>
        <w:t>识产权保护、市场准入、跨界支持等全</w:t>
      </w:r>
      <w:r>
        <w:rPr/>
        <w:t xml:space="preserve"> </w:t>
      </w:r>
      <w:r>
        <w:rPr>
          <w:spacing w:val="9"/>
        </w:rPr>
        <w:t>链条体系。</w:t>
      </w:r>
    </w:p>
    <w:p>
      <w:pPr>
        <w:spacing w:line="277" w:lineRule="auto"/>
        <w:sectPr>
          <w:pgSz w:w="12240" w:h="15840"/>
          <w:pgMar w:top="1147" w:right="1032" w:bottom="0" w:left="980" w:header="0" w:footer="0" w:gutter="0"/>
        </w:sectPr>
        <w:rPr/>
      </w:pPr>
    </w:p>
    <w:p>
      <w:pPr>
        <w:pStyle w:val="BodyText"/>
        <w:ind w:left="40"/>
        <w:spacing w:before="70" w:line="222" w:lineRule="auto"/>
        <w:rPr>
          <w:sz w:val="21"/>
          <w:szCs w:val="21"/>
        </w:rPr>
      </w:pPr>
      <w:r>
        <w:rPr>
          <w:sz w:val="21"/>
          <w:szCs w:val="21"/>
          <w:spacing w:val="-9"/>
        </w:rPr>
        <w:t>二</w:t>
      </w:r>
      <w:r>
        <w:rPr>
          <w:sz w:val="21"/>
          <w:szCs w:val="21"/>
          <w:spacing w:val="-9"/>
        </w:rPr>
        <w:t xml:space="preserve">  </w:t>
      </w:r>
      <w:r>
        <w:rPr>
          <w:sz w:val="21"/>
          <w:szCs w:val="21"/>
          <w:spacing w:val="-9"/>
        </w:rPr>
        <w:t>、多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9"/>
        </w:rPr>
        <w:t>维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9"/>
        </w:rPr>
        <w:t>分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9"/>
        </w:rPr>
        <w:t>析</w:t>
      </w:r>
    </w:p>
    <w:p>
      <w:pPr>
        <w:pStyle w:val="BodyText"/>
        <w:ind w:left="49"/>
        <w:spacing w:before="257" w:line="221" w:lineRule="auto"/>
        <w:rPr>
          <w:sz w:val="21"/>
          <w:szCs w:val="21"/>
        </w:rPr>
      </w:pPr>
      <w:r>
        <w:rPr>
          <w:sz w:val="21"/>
          <w:szCs w:val="21"/>
          <w:spacing w:val="26"/>
        </w:rPr>
        <w:t>(</w:t>
      </w:r>
      <w:r>
        <w:rPr>
          <w:sz w:val="21"/>
          <w:szCs w:val="21"/>
          <w:spacing w:val="-59"/>
        </w:rPr>
        <w:t xml:space="preserve"> </w:t>
      </w:r>
      <w:r>
        <w:rPr>
          <w:sz w:val="21"/>
          <w:szCs w:val="21"/>
          <w:spacing w:val="26"/>
        </w:rPr>
        <w:t>一)艺术人才跨界融合路径的枚举与分类</w:t>
      </w:r>
    </w:p>
    <w:p>
      <w:pPr>
        <w:pStyle w:val="BodyText"/>
        <w:ind w:left="49" w:right="40" w:hanging="9"/>
        <w:spacing w:before="250" w:line="378" w:lineRule="auto"/>
        <w:rPr>
          <w:sz w:val="21"/>
          <w:szCs w:val="21"/>
        </w:rPr>
      </w:pPr>
      <w:r>
        <w:rPr>
          <w:sz w:val="21"/>
          <w:szCs w:val="21"/>
          <w:spacing w:val="30"/>
        </w:rPr>
        <w:t>研究表明，在数字经济驱动下，艺术人才跨界融合路径日益丰富。通常而言，可按领域融合度与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25"/>
        </w:rPr>
        <w:t>技能需求划分为三类。</w:t>
      </w:r>
    </w:p>
    <w:p>
      <w:pPr>
        <w:pStyle w:val="BodyText"/>
        <w:ind w:left="59"/>
        <w:spacing w:before="108" w:line="222" w:lineRule="auto"/>
        <w:rPr>
          <w:sz w:val="21"/>
          <w:szCs w:val="21"/>
        </w:rPr>
      </w:pPr>
      <w:r>
        <w:rPr>
          <w:sz w:val="21"/>
          <w:szCs w:val="21"/>
          <w:spacing w:val="36"/>
        </w:rPr>
        <w:t>表1:艺术生多元化职业路径矩阵(按领域</w:t>
      </w:r>
      <w:r>
        <w:rPr>
          <w:sz w:val="21"/>
          <w:szCs w:val="21"/>
          <w:spacing w:val="35"/>
        </w:rPr>
        <w:t>融合度与技能需求划分)</w:t>
      </w:r>
    </w:p>
    <w:p>
      <w:pPr>
        <w:spacing w:line="203" w:lineRule="exact"/>
        <w:rPr/>
      </w:pPr>
      <w:r/>
    </w:p>
    <w:p>
      <w:pPr>
        <w:spacing w:line="203" w:lineRule="exact"/>
        <w:sectPr>
          <w:pgSz w:w="12240" w:h="15840"/>
          <w:pgMar w:top="1346" w:right="1129" w:bottom="0" w:left="940" w:header="0" w:footer="0" w:gutter="0"/>
          <w:cols w:equalWidth="0" w:num="1">
            <w:col w:w="10170" w:space="0"/>
          </w:cols>
        </w:sectPr>
        <w:rPr/>
      </w:pPr>
    </w:p>
    <w:p>
      <w:pPr>
        <w:spacing w:line="342" w:lineRule="auto"/>
        <w:rPr>
          <w:rFonts w:ascii="Arial"/>
          <w:sz w:val="21"/>
        </w:rPr>
      </w:pPr>
      <w:r/>
    </w:p>
    <w:p>
      <w:pPr>
        <w:ind w:left="6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融合度分类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70" w:right="448"/>
        <w:spacing w:before="69" w:line="2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高融合(科技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驱动)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1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代表路径示例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right="221"/>
        <w:spacing w:before="69" w:line="2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艺术+AI/数字媒体/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虚拟现实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核心技能需求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left="7" w:right="305"/>
        <w:spacing w:before="68" w:line="2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编程、</w:t>
      </w:r>
      <w:r>
        <w:rPr>
          <w:rFonts w:ascii="SimSun" w:hAnsi="SimSun" w:eastAsia="SimSun" w:cs="SimSun"/>
          <w:sz w:val="21"/>
          <w:szCs w:val="21"/>
        </w:rPr>
        <w:t>AIGC</w:t>
      </w:r>
      <w:r>
        <w:rPr>
          <w:rFonts w:ascii="SimSun" w:hAnsi="SimSun" w:eastAsia="SimSun" w:cs="SimSun"/>
          <w:sz w:val="21"/>
          <w:szCs w:val="21"/>
          <w:spacing w:val="17"/>
        </w:rPr>
        <w:t>工具、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交互设计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03"/>
        <w:spacing w:before="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潜在收入稳</w:t>
      </w:r>
    </w:p>
    <w:p>
      <w:pPr>
        <w:ind w:left="3"/>
        <w:spacing w:before="1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典型职业方向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   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定性评估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right="2029"/>
        <w:spacing w:before="69" w:line="280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2" style="position:absolute;margin-left:118.499pt;margin-top:2.4448pt;mso-position-vertical-relative:text;mso-position-horizontal-relative:text;width:71.05pt;height:31.8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3"/>
                    <w:spacing w:before="19" w:line="271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较高(新兴需求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3"/>
                    </w:rPr>
                    <w:t>旺盛)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-1"/>
        </w:rPr>
        <w:t>数字艺术策展师、元宇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宙内容创作者</w:t>
      </w:r>
    </w:p>
    <w:p>
      <w:pPr>
        <w:spacing w:line="280" w:lineRule="auto"/>
        <w:sectPr>
          <w:type w:val="continuous"/>
          <w:pgSz w:w="12240" w:h="15840"/>
          <w:pgMar w:top="1346" w:right="1129" w:bottom="0" w:left="940" w:header="0" w:footer="0" w:gutter="0"/>
          <w:cols w:equalWidth="0" w:num="4">
            <w:col w:w="1660" w:space="100"/>
            <w:col w:w="1993" w:space="100"/>
            <w:col w:w="2098" w:space="100"/>
            <w:col w:w="4120" w:space="0"/>
          </w:cols>
        </w:sectPr>
        <w:rPr>
          <w:rFonts w:ascii="SimSun" w:hAnsi="SimSun" w:eastAsia="SimSun" w:cs="SimSun"/>
          <w:sz w:val="21"/>
          <w:szCs w:val="21"/>
        </w:rPr>
      </w:pPr>
    </w:p>
    <w:tbl>
      <w:tblPr>
        <w:tblStyle w:val="TableNormal"/>
        <w:tblW w:w="101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5"/>
        <w:gridCol w:w="2175"/>
        <w:gridCol w:w="2171"/>
        <w:gridCol w:w="2465"/>
        <w:gridCol w:w="1863"/>
      </w:tblGrid>
      <w:tr>
        <w:trPr>
          <w:trHeight w:val="516" w:hRule="atLeast"/>
        </w:trPr>
        <w:tc>
          <w:tcPr>
            <w:tcW w:w="149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9"/>
              <w:spacing w:before="18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中融合(商业</w:t>
            </w:r>
          </w:p>
        </w:tc>
        <w:tc>
          <w:tcPr>
            <w:tcW w:w="217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75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艺术+品牌/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1"/>
              </w:rPr>
              <w:t>运营/</w:t>
            </w:r>
          </w:p>
        </w:tc>
        <w:tc>
          <w:tcPr>
            <w:tcW w:w="217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before="184" w:line="22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2"/>
              </w:rPr>
              <w:t>商业思维、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12"/>
              </w:rPr>
              <w:t>开发、</w:t>
            </w:r>
          </w:p>
        </w:tc>
        <w:tc>
          <w:tcPr>
            <w:tcW w:w="246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8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文创IP运营总监、品牌</w:t>
            </w:r>
          </w:p>
        </w:tc>
        <w:tc>
          <w:tcPr>
            <w:tcW w:w="186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6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中等偏高</w:t>
            </w:r>
          </w:p>
        </w:tc>
      </w:tr>
      <w:tr>
        <w:trPr>
          <w:trHeight w:val="414" w:hRule="atLeast"/>
        </w:trPr>
        <w:tc>
          <w:tcPr>
            <w:tcW w:w="149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9"/>
              <w:spacing w:before="13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6"/>
              </w:rPr>
              <w:t>驱动)</w:t>
            </w:r>
          </w:p>
        </w:tc>
        <w:tc>
          <w:tcPr>
            <w:tcW w:w="21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5"/>
              <w:spacing w:before="13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文创产品</w:t>
            </w:r>
          </w:p>
        </w:tc>
        <w:tc>
          <w:tcPr>
            <w:tcW w:w="217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9"/>
              <w:spacing w:before="13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市场营销</w:t>
            </w:r>
          </w:p>
        </w:tc>
        <w:tc>
          <w:tcPr>
            <w:tcW w:w="24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8"/>
              <w:spacing w:before="13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视觉设计师</w:t>
            </w:r>
          </w:p>
        </w:tc>
        <w:tc>
          <w:tcPr>
            <w:tcW w:w="186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51" w:lineRule="exact"/>
        <w:rPr>
          <w:rFonts w:ascii="Arial"/>
          <w:sz w:val="13"/>
        </w:rPr>
      </w:pPr>
      <w:r/>
    </w:p>
    <w:p>
      <w:pPr>
        <w:spacing w:line="151" w:lineRule="exact"/>
        <w:sectPr>
          <w:type w:val="continuous"/>
          <w:pgSz w:w="12240" w:h="15840"/>
          <w:pgMar w:top="1346" w:right="1129" w:bottom="0" w:left="940" w:header="0" w:footer="0" w:gutter="0"/>
          <w:cols w:equalWidth="0" w:num="1">
            <w:col w:w="10170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ind w:left="59" w:right="357"/>
        <w:spacing w:before="43" w:line="4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低-中融合(社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会驱动)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90"/>
        <w:spacing w:before="39" w:line="4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艺术+教育/乡村振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兴/公共艺术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08"/>
        <w:spacing w:before="41" w:line="4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教学能力、社区协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调、文化传承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13"/>
        <w:spacing w:before="39" w:line="4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艺术教育讲师、乡村美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学振兴规划师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49" w:firstLine="132"/>
        <w:spacing w:before="41" w:line="4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中等(政策支持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强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)</w:t>
      </w:r>
    </w:p>
    <w:p>
      <w:pPr>
        <w:spacing w:line="425" w:lineRule="auto"/>
        <w:sectPr>
          <w:type w:val="continuous"/>
          <w:pgSz w:w="12240" w:h="15840"/>
          <w:pgMar w:top="1346" w:right="1129" w:bottom="0" w:left="940" w:header="0" w:footer="0" w:gutter="0"/>
          <w:cols w:equalWidth="0" w:num="5">
            <w:col w:w="1671" w:space="100"/>
            <w:col w:w="1980" w:space="100"/>
            <w:col w:w="2101" w:space="100"/>
            <w:col w:w="2201" w:space="100"/>
            <w:col w:w="182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9" w:right="23"/>
        <w:spacing w:before="68" w:line="352" w:lineRule="auto"/>
        <w:rPr>
          <w:sz w:val="21"/>
          <w:szCs w:val="21"/>
        </w:rPr>
      </w:pPr>
      <w:r>
        <w:rPr>
          <w:sz w:val="21"/>
          <w:szCs w:val="21"/>
          <w:spacing w:val="30"/>
        </w:rPr>
        <w:t>然而，该路径亦存在技术迭代风险高、艺术本体性可能被削弱等潜在局限，更适用于具备较强技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27"/>
        </w:rPr>
        <w:t>术适应性与跨学科思维的艺术人才。</w:t>
      </w:r>
    </w:p>
    <w:p>
      <w:pPr>
        <w:pStyle w:val="BodyText"/>
        <w:ind w:left="79"/>
        <w:spacing w:before="249" w:line="222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(二)社会评价体系与艺术人才市场境遇的关联性</w:t>
      </w:r>
    </w:p>
    <w:p>
      <w:pPr>
        <w:pStyle w:val="BodyText"/>
        <w:ind w:left="59" w:right="19"/>
        <w:spacing w:before="239" w:line="379" w:lineRule="auto"/>
        <w:rPr>
          <w:sz w:val="21"/>
          <w:szCs w:val="21"/>
        </w:rPr>
      </w:pPr>
      <w:r>
        <w:rPr>
          <w:sz w:val="21"/>
          <w:szCs w:val="21"/>
          <w:spacing w:val="34"/>
        </w:rPr>
        <w:t>值得注意的是，当前社会评价体系(学历、奖项、流量、机构背书等)在</w:t>
      </w:r>
      <w:r>
        <w:rPr>
          <w:sz w:val="21"/>
          <w:szCs w:val="21"/>
          <w:spacing w:val="-54"/>
        </w:rPr>
        <w:t xml:space="preserve"> </w:t>
      </w:r>
      <w:r>
        <w:rPr>
          <w:sz w:val="21"/>
          <w:szCs w:val="21"/>
          <w:spacing w:val="34"/>
        </w:rPr>
        <w:t>一定程度上主导艺术人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7"/>
        </w:rPr>
        <w:t>才的市场境遇与收入水平。</w:t>
      </w:r>
    </w:p>
    <w:p>
      <w:pPr>
        <w:pStyle w:val="BodyText"/>
        <w:ind w:left="49"/>
        <w:spacing w:before="106" w:line="221" w:lineRule="auto"/>
        <w:rPr>
          <w:sz w:val="21"/>
          <w:szCs w:val="21"/>
        </w:rPr>
      </w:pPr>
      <w:r>
        <w:rPr>
          <w:sz w:val="21"/>
          <w:szCs w:val="21"/>
          <w:spacing w:val="35"/>
        </w:rPr>
        <w:t>图1:社会评价体系影响艺术人才收入水平的传导机制流程图(概念化描述)</w:t>
      </w:r>
    </w:p>
    <w:p>
      <w:pPr>
        <w:spacing w:line="137" w:lineRule="exact"/>
        <w:rPr/>
      </w:pPr>
      <w:r/>
    </w:p>
    <w:tbl>
      <w:tblPr>
        <w:tblStyle w:val="TableNormal"/>
        <w:tblW w:w="7090" w:type="dxa"/>
        <w:tblInd w:w="119" w:type="dxa"/>
        <w:tblLayout w:type="fixed"/>
        <w:tblBorders>
          <w:left w:val="single" w:color="000000" w:sz="4" w:space="0"/>
          <w:bottom w:val="single" w:color="000000" w:sz="2" w:space="0"/>
          <w:top w:val="single" w:color="000000" w:sz="2" w:space="0"/>
        </w:tblBorders>
      </w:tblPr>
      <w:tblGrid>
        <w:gridCol w:w="7090"/>
      </w:tblGrid>
      <w:tr>
        <w:trPr>
          <w:trHeight w:val="3718" w:hRule="atLeast"/>
        </w:trPr>
        <w:tc>
          <w:tcPr>
            <w:tcW w:w="7090" w:type="dxa"/>
            <w:vAlign w:val="top"/>
          </w:tcPr>
          <w:p>
            <w:pPr>
              <w:pStyle w:val="TableText"/>
              <w:ind w:left="188"/>
              <w:spacing w:before="239" w:line="239" w:lineRule="auto"/>
              <w:rPr/>
            </w:pPr>
            <w:r>
              <w:rPr>
                <w:b/>
                <w:bCs/>
                <w:spacing w:val="-5"/>
              </w:rPr>
              <w:t>text</w:t>
            </w:r>
          </w:p>
          <w:p>
            <w:pPr>
              <w:pStyle w:val="TableText"/>
              <w:ind w:left="1484" w:right="3231" w:hanging="1309"/>
              <w:spacing w:before="252" w:line="273" w:lineRule="auto"/>
              <w:rPr/>
            </w:pPr>
            <w:r>
              <w:rPr>
                <w:spacing w:val="2"/>
              </w:rPr>
              <w:t>社会评价信号(学历/奖项/流量/背书)</w:t>
            </w:r>
            <w:r>
              <w:rPr>
                <w:spacing w:val="9"/>
              </w:rPr>
              <w:t xml:space="preserve"> </w:t>
            </w:r>
            <w:r>
              <w:rPr/>
              <w:t>↓</w:t>
            </w:r>
          </w:p>
          <w:p>
            <w:pPr>
              <w:pStyle w:val="TableText"/>
              <w:ind w:left="1484" w:right="4678" w:hanging="1309"/>
              <w:spacing w:before="2" w:line="276" w:lineRule="auto"/>
              <w:rPr/>
            </w:pPr>
            <w:r>
              <w:rPr>
                <w:spacing w:val="3"/>
              </w:rPr>
              <w:t>市场认知与信任度提升</w:t>
            </w:r>
            <w:r>
              <w:rPr/>
              <w:t xml:space="preserve"> </w:t>
            </w:r>
            <w:r>
              <w:rPr/>
              <w:t>↓</w:t>
            </w:r>
          </w:p>
          <w:p>
            <w:pPr>
              <w:pStyle w:val="TableText"/>
              <w:ind w:left="1495" w:right="3321" w:hanging="1300"/>
              <w:spacing w:before="2" w:line="271" w:lineRule="auto"/>
              <w:rPr/>
            </w:pPr>
            <w:r>
              <w:rPr>
                <w:spacing w:val="2"/>
              </w:rPr>
              <w:t>资源获取能力增强(项目/赞助/合作)</w:t>
            </w:r>
            <w:r>
              <w:rPr>
                <w:spacing w:val="11"/>
              </w:rPr>
              <w:t xml:space="preserve"> </w:t>
            </w:r>
            <w:r>
              <w:rPr/>
              <w:t>个</w:t>
            </w:r>
          </w:p>
          <w:p>
            <w:pPr>
              <w:pStyle w:val="TableText"/>
              <w:ind w:left="1495" w:right="3101" w:hanging="1300"/>
              <w:spacing w:before="1" w:line="246" w:lineRule="auto"/>
              <w:rPr/>
            </w:pPr>
            <w:r>
              <w:rPr>
                <w:spacing w:val="2"/>
              </w:rPr>
              <w:t>价值变现效率提高(价格/频次/持续性)</w:t>
            </w:r>
            <w:r>
              <w:rPr>
                <w:spacing w:val="9"/>
              </w:rPr>
              <w:t xml:space="preserve"> </w:t>
            </w:r>
            <w:r>
              <w:rPr/>
              <w:t>个</w:t>
            </w:r>
          </w:p>
          <w:p>
            <w:pPr>
              <w:pStyle w:val="TableText"/>
              <w:ind w:left="184"/>
              <w:spacing w:before="74" w:line="219" w:lineRule="auto"/>
              <w:rPr/>
            </w:pPr>
            <w:r>
              <w:rPr>
                <w:spacing w:val="3"/>
              </w:rPr>
              <w:t>收入水平分化(头部效应显著)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346" w:right="1129" w:bottom="0" w:left="940" w:header="0" w:footer="0" w:gutter="0"/>
          <w:cols w:equalWidth="0" w:num="1">
            <w:col w:w="1017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508"/>
        <w:spacing w:before="44" w:line="213" w:lineRule="auto"/>
        <w:rPr>
          <w:sz w:val="22"/>
          <w:szCs w:val="22"/>
        </w:rPr>
      </w:pPr>
      <w:r>
        <w:pict>
          <v:shape id="_x0000_s4" style="position:absolute;margin-left:45.8727pt;margin-top:240.747pt;mso-position-vertical-relative:page;mso-position-horizontal-relative:page;width:14.75pt;height:61.4pt;z-index:251659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家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2"/>
                    </w:rPr>
                    <w:t>法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国</w:t>
                  </w:r>
                </w:p>
              </w:txbxContent>
            </v:textbox>
          </v:shape>
        </w:pict>
      </w:r>
      <w:r>
        <w:rPr>
          <w:sz w:val="22"/>
          <w:szCs w:val="22"/>
          <w:spacing w:val="18"/>
        </w:rPr>
        <w:t>该机制在一定程度上放大头部人才优势，但也可能压缩中腰部人才空间。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512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三、国际比较与案例研究</w:t>
      </w:r>
    </w:p>
    <w:p>
      <w:pPr>
        <w:pStyle w:val="BodyText"/>
        <w:ind w:left="511"/>
        <w:spacing w:before="207" w:line="222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(一)主要国家艺术人才支持政策对比</w:t>
      </w:r>
    </w:p>
    <w:p>
      <w:pPr>
        <w:pStyle w:val="BodyText"/>
        <w:ind w:left="508" w:right="243"/>
        <w:spacing w:before="209" w:line="400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据相关国际文献与政策梳理，主要国家在财政、税收、法律、教育四个维度形成差异化支持格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局。</w:t>
      </w:r>
    </w:p>
    <w:p>
      <w:pPr>
        <w:pStyle w:val="BodyText"/>
        <w:ind w:left="508" w:right="939"/>
        <w:spacing w:before="16" w:line="353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表2:主要国家艺术人才支持政策对比分析表(涵盖财政、税收、法律、教育四个维度)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国</w:t>
      </w:r>
    </w:p>
    <w:p>
      <w:pPr>
        <w:spacing w:line="353" w:lineRule="auto"/>
        <w:sectPr>
          <w:pgSz w:w="12240" w:h="15840"/>
          <w:pgMar w:top="1123" w:right="1158" w:bottom="0" w:left="471" w:header="0" w:footer="0" w:gutter="0"/>
          <w:cols w:equalWidth="0" w:num="1">
            <w:col w:w="10610" w:space="0"/>
          </w:cols>
        </w:sectPr>
        <w:rPr>
          <w:sz w:val="22"/>
          <w:szCs w:val="22"/>
        </w:rPr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4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财政支持代表措施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right="258" w:firstLine="20"/>
        <w:spacing w:before="72" w:line="278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艺术家驻留计划、丰厚公共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基金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3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税收优惠政策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right="493"/>
        <w:spacing w:before="72" w:line="278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艺术家所得税减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9"/>
        </w:rPr>
        <w:t>免、版税优惠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5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2"/>
        </w:rPr>
        <w:t>法律保障重点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艺术家社会保障法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3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教育/培训特色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195"/>
        <w:spacing w:before="72" w:line="277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强调高等艺术教育与国际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4"/>
        </w:rPr>
        <w:t>交流</w:t>
      </w:r>
    </w:p>
    <w:p>
      <w:pPr>
        <w:spacing w:line="277" w:lineRule="auto"/>
        <w:sectPr>
          <w:type w:val="continuous"/>
          <w:pgSz w:w="12240" w:h="15840"/>
          <w:pgMar w:top="1123" w:right="1158" w:bottom="0" w:left="471" w:header="0" w:footer="0" w:gutter="0"/>
          <w:cols w:equalWidth="0" w:num="5">
            <w:col w:w="979" w:space="100"/>
            <w:col w:w="2801" w:space="100"/>
            <w:col w:w="1960" w:space="100"/>
            <w:col w:w="1960" w:space="100"/>
            <w:col w:w="2512" w:space="0"/>
          </w:cols>
        </w:sectPr>
        <w:rPr>
          <w:sz w:val="22"/>
          <w:szCs w:val="22"/>
        </w:rPr>
      </w:pPr>
    </w:p>
    <w:tbl>
      <w:tblPr>
        <w:tblStyle w:val="TableNormal"/>
        <w:tblW w:w="10089" w:type="dxa"/>
        <w:tblInd w:w="5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8"/>
        <w:gridCol w:w="2855"/>
        <w:gridCol w:w="2096"/>
        <w:gridCol w:w="1845"/>
        <w:gridCol w:w="2905"/>
      </w:tblGrid>
      <w:tr>
        <w:trPr>
          <w:trHeight w:val="576" w:hRule="atLeast"/>
        </w:trPr>
        <w:tc>
          <w:tcPr>
            <w:tcW w:w="388" w:type="dxa"/>
            <w:vAlign w:val="top"/>
            <w:tcBorders>
              <w:top w:val="single" w:color="000000" w:sz="2" w:space="0"/>
            </w:tcBorders>
          </w:tcPr>
          <w:p>
            <w:pPr>
              <w:spacing w:before="302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韩</w:t>
            </w:r>
          </w:p>
        </w:tc>
        <w:tc>
          <w:tcPr>
            <w:tcW w:w="28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1"/>
              <w:spacing w:before="302" w:line="221" w:lineRule="auto"/>
              <w:rPr>
                <w:rFonts w:ascii="SimHei" w:hAnsi="SimHei" w:eastAsia="SimHei" w:cs="SimHei"/>
              </w:rPr>
            </w:pPr>
            <w:r>
              <w:rPr>
                <w:rFonts w:ascii="SimHei" w:hAnsi="SimHei" w:eastAsia="SimHei" w:cs="SimHei"/>
                <w:spacing w:val="-6"/>
              </w:rPr>
              <w:t>艺术委员会</w:t>
            </w:r>
            <w:r>
              <w:rPr>
                <w:spacing w:val="-6"/>
              </w:rPr>
              <w:t>(ARKO) </w:t>
            </w:r>
            <w:r>
              <w:rPr>
                <w:rFonts w:ascii="SimHei" w:hAnsi="SimHei" w:eastAsia="SimHei" w:cs="SimHei"/>
                <w:spacing w:val="-6"/>
              </w:rPr>
              <w:t>专项资</w:t>
            </w:r>
          </w:p>
        </w:tc>
        <w:tc>
          <w:tcPr>
            <w:tcW w:w="2096" w:type="dxa"/>
            <w:vAlign w:val="top"/>
            <w:tcBorders>
              <w:top w:val="single" w:color="000000" w:sz="2" w:space="0"/>
            </w:tcBorders>
          </w:tcPr>
          <w:p>
            <w:pPr>
              <w:ind w:left="226"/>
              <w:spacing w:before="302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文化产业税收激励</w:t>
            </w:r>
          </w:p>
        </w:tc>
        <w:tc>
          <w:tcPr>
            <w:tcW w:w="1845" w:type="dxa"/>
            <w:vAlign w:val="top"/>
            <w:tcBorders>
              <w:top w:val="single" w:color="000000" w:sz="2" w:space="0"/>
            </w:tcBorders>
          </w:tcPr>
          <w:p>
            <w:pPr>
              <w:ind w:left="190"/>
              <w:spacing w:before="302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艺术家福祉法</w:t>
            </w:r>
          </w:p>
        </w:tc>
        <w:tc>
          <w:tcPr>
            <w:tcW w:w="2905" w:type="dxa"/>
            <w:vAlign w:val="top"/>
            <w:tcBorders>
              <w:top w:val="single" w:color="000000" w:sz="2" w:space="0"/>
            </w:tcBorders>
          </w:tcPr>
          <w:p>
            <w:pPr>
              <w:ind w:left="405"/>
              <w:spacing w:before="302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政府主导的系统化人才培</w:t>
            </w:r>
          </w:p>
        </w:tc>
      </w:tr>
      <w:tr>
        <w:trPr>
          <w:trHeight w:val="394" w:hRule="atLeast"/>
        </w:trPr>
        <w:tc>
          <w:tcPr>
            <w:tcW w:w="388" w:type="dxa"/>
            <w:vAlign w:val="top"/>
            <w:tcBorders>
              <w:bottom w:val="single" w:color="000000" w:sz="2" w:space="0"/>
            </w:tcBorders>
          </w:tcPr>
          <w:p>
            <w:pPr>
              <w:spacing w:before="63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国</w:t>
            </w:r>
          </w:p>
        </w:tc>
        <w:tc>
          <w:tcPr>
            <w:tcW w:w="2855" w:type="dxa"/>
            <w:vAlign w:val="top"/>
            <w:tcBorders>
              <w:bottom w:val="single" w:color="000000" w:sz="2" w:space="0"/>
            </w:tcBorders>
          </w:tcPr>
          <w:p>
            <w:pPr>
              <w:ind w:left="191"/>
              <w:spacing w:before="62" w:line="21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助、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Hallyu</w:t>
            </w: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推动</w:t>
            </w:r>
          </w:p>
        </w:tc>
        <w:tc>
          <w:tcPr>
            <w:tcW w:w="2096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5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5" w:type="dxa"/>
            <w:vAlign w:val="top"/>
            <w:tcBorders>
              <w:bottom w:val="single" w:color="000000" w:sz="2" w:space="0"/>
            </w:tcBorders>
          </w:tcPr>
          <w:p>
            <w:pPr>
              <w:ind w:left="405"/>
              <w:spacing w:before="62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6"/>
              </w:rPr>
              <w:t>养与出口导向</w:t>
            </w:r>
          </w:p>
        </w:tc>
      </w:tr>
    </w:tbl>
    <w:p>
      <w:pPr>
        <w:pStyle w:val="BodyText"/>
        <w:ind w:left="508"/>
        <w:spacing w:before="287" w:line="221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中</w:t>
      </w:r>
      <w:r>
        <w:rPr>
          <w:sz w:val="22"/>
          <w:szCs w:val="22"/>
          <w:spacing w:val="-7"/>
        </w:rPr>
        <w:t xml:space="preserve">   </w:t>
      </w:r>
      <w:r>
        <w:rPr>
          <w:sz w:val="22"/>
          <w:szCs w:val="22"/>
          <w:spacing w:val="-7"/>
        </w:rPr>
        <w:t>国家艺术基金、地方专项基</w:t>
      </w:r>
      <w:r>
        <w:rPr>
          <w:sz w:val="22"/>
          <w:szCs w:val="22"/>
          <w:spacing w:val="-7"/>
        </w:rPr>
        <w:t xml:space="preserve">    </w:t>
      </w:r>
      <w:r>
        <w:rPr>
          <w:sz w:val="22"/>
          <w:szCs w:val="22"/>
          <w:spacing w:val="-7"/>
        </w:rPr>
        <w:t>部分文化创意税收</w:t>
      </w:r>
      <w:r>
        <w:rPr>
          <w:sz w:val="22"/>
          <w:szCs w:val="22"/>
          <w:spacing w:val="-7"/>
        </w:rPr>
        <w:t xml:space="preserve">   </w:t>
      </w:r>
      <w:r>
        <w:rPr>
          <w:sz w:val="22"/>
          <w:szCs w:val="22"/>
          <w:spacing w:val="-7"/>
        </w:rPr>
        <w:t>《艺术家权益保障》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7"/>
        </w:rPr>
        <w:t>强调职业教育与产教融合</w:t>
      </w:r>
    </w:p>
    <w:p>
      <w:pPr>
        <w:pStyle w:val="BodyText"/>
        <w:ind w:left="508"/>
        <w:spacing w:before="98" w:line="22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国</w:t>
      </w:r>
      <w:r>
        <w:rPr>
          <w:sz w:val="22"/>
          <w:szCs w:val="22"/>
          <w:spacing w:val="18"/>
        </w:rPr>
        <w:t xml:space="preserve">   </w:t>
      </w:r>
      <w:r>
        <w:rPr>
          <w:sz w:val="22"/>
          <w:szCs w:val="22"/>
          <w:spacing w:val="-3"/>
        </w:rPr>
        <w:t>金</w:t>
      </w:r>
      <w:r>
        <w:rPr>
          <w:sz w:val="22"/>
          <w:szCs w:val="22"/>
          <w:spacing w:val="-3"/>
        </w:rPr>
        <w:t xml:space="preserve">                         </w:t>
      </w:r>
      <w:r>
        <w:rPr>
          <w:sz w:val="22"/>
          <w:szCs w:val="22"/>
          <w:spacing w:val="-3"/>
        </w:rPr>
        <w:t>优惠</w:t>
      </w:r>
      <w:r>
        <w:rPr>
          <w:sz w:val="22"/>
          <w:szCs w:val="22"/>
          <w:spacing w:val="-3"/>
        </w:rPr>
        <w:t xml:space="preserve">               </w:t>
      </w:r>
      <w:r>
        <w:rPr>
          <w:sz w:val="22"/>
          <w:szCs w:val="22"/>
          <w:spacing w:val="-3"/>
        </w:rPr>
        <w:t>相关探索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508"/>
        <w:spacing w:before="73" w:line="213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法国与韩国政策在一定程度上体现“政府主导+市场激励”结合，更适用于文化输出型国家。</w:t>
      </w:r>
    </w:p>
    <w:p>
      <w:pPr>
        <w:pStyle w:val="BodyText"/>
        <w:ind w:left="508"/>
        <w:spacing w:before="237" w:line="421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然而，这些政策亦存在执行成本较高、公平性</w:t>
      </w:r>
      <w:r>
        <w:rPr>
          <w:sz w:val="22"/>
          <w:szCs w:val="22"/>
          <w:spacing w:val="20"/>
        </w:rPr>
        <w:t>挑战等潜在局限，更适用于具备成熟产业生态的国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家</w:t>
      </w:r>
      <w:r>
        <w:rPr>
          <w:sz w:val="22"/>
          <w:szCs w:val="22"/>
          <w:spacing w:val="-51"/>
        </w:rPr>
        <w:t xml:space="preserve"> </w:t>
      </w:r>
      <w:r>
        <w:rPr>
          <w:sz w:val="22"/>
          <w:szCs w:val="22"/>
          <w:spacing w:val="-6"/>
        </w:rPr>
        <w:t>。</w:t>
      </w:r>
    </w:p>
    <w:p>
      <w:pPr>
        <w:pStyle w:val="BodyText"/>
        <w:ind w:left="512"/>
        <w:spacing w:before="234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四、战略构建与政策建议</w:t>
      </w:r>
    </w:p>
    <w:p>
      <w:pPr>
        <w:pStyle w:val="BodyText"/>
        <w:ind w:left="511"/>
        <w:spacing w:before="227" w:line="221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(一)知识产权保护与文化消费升级的宏观利好趋势</w:t>
      </w:r>
    </w:p>
    <w:p>
      <w:pPr>
        <w:pStyle w:val="BodyText"/>
        <w:ind w:left="508" w:right="73"/>
        <w:spacing w:before="200" w:line="375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据</w:t>
      </w:r>
      <w:r>
        <w:rPr>
          <w:rFonts w:ascii="SimSun" w:hAnsi="SimSun" w:eastAsia="SimSun" w:cs="SimSun"/>
          <w:sz w:val="22"/>
          <w:szCs w:val="22"/>
        </w:rPr>
        <w:t>WIPO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20"/>
        </w:rPr>
        <w:t>数据显示，版权保护机制在一定程度上为艺术人才提供稳定变现渠道。伴随文化消费升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0"/>
        </w:rPr>
        <w:t>级，数字内容、文创衍生品需求持续增长，通常而言构成艺术人才价</w:t>
      </w:r>
      <w:r>
        <w:rPr>
          <w:sz w:val="22"/>
          <w:szCs w:val="22"/>
          <w:spacing w:val="19"/>
        </w:rPr>
        <w:t>值转化的重要利好因素。</w:t>
      </w:r>
    </w:p>
    <w:p>
      <w:pPr>
        <w:pStyle w:val="BodyText"/>
        <w:ind w:left="511"/>
        <w:spacing w:before="204" w:line="187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(二)核心政策建议</w:t>
      </w:r>
    </w:p>
    <w:p>
      <w:pPr>
        <w:spacing w:line="187" w:lineRule="auto"/>
        <w:sectPr>
          <w:type w:val="continuous"/>
          <w:pgSz w:w="12240" w:h="15840"/>
          <w:pgMar w:top="1123" w:right="1158" w:bottom="0" w:left="471" w:header="0" w:footer="0" w:gutter="0"/>
          <w:cols w:equalWidth="0" w:num="1">
            <w:col w:w="10610" w:space="0"/>
          </w:cols>
        </w:sectPr>
        <w:rPr>
          <w:sz w:val="22"/>
          <w:szCs w:val="22"/>
        </w:rPr>
      </w:pPr>
    </w:p>
    <w:p>
      <w:pPr>
        <w:pStyle w:val="BodyText"/>
        <w:ind w:left="353"/>
        <w:spacing w:before="48" w:line="221" w:lineRule="auto"/>
        <w:outlineLvl w:val="3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1.</w:t>
      </w:r>
      <w:r>
        <w:rPr>
          <w:rFonts w:ascii="SimSun" w:hAnsi="SimSun" w:eastAsia="SimSun" w:cs="SimSun"/>
          <w:sz w:val="24"/>
          <w:szCs w:val="24"/>
          <w:spacing w:val="-6"/>
        </w:rPr>
        <w:t xml:space="preserve"> </w:t>
      </w:r>
      <w:r>
        <w:rPr>
          <w:sz w:val="24"/>
          <w:szCs w:val="24"/>
          <w:b/>
          <w:bCs/>
          <w:spacing w:val="-6"/>
        </w:rPr>
        <w:t>构建多层次跨界培养体系</w:t>
      </w:r>
    </w:p>
    <w:p>
      <w:pPr>
        <w:pStyle w:val="BodyText"/>
        <w:ind w:left="679"/>
        <w:spacing w:before="145" w:line="213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建议考虑在高等艺术教育中增设“艺术+科技/商业”模块，鼓励复合型人才培养。</w:t>
      </w:r>
    </w:p>
    <w:p>
      <w:pPr>
        <w:pStyle w:val="BodyText"/>
        <w:ind w:left="353"/>
        <w:spacing w:before="250" w:line="222" w:lineRule="auto"/>
        <w:outlineLvl w:val="3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2.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sz w:val="24"/>
          <w:szCs w:val="24"/>
          <w:b/>
          <w:bCs/>
          <w:spacing w:val="-3"/>
        </w:rPr>
        <w:t>优化社会评价与激励机制</w:t>
      </w:r>
    </w:p>
    <w:p>
      <w:pPr>
        <w:pStyle w:val="BodyText"/>
        <w:ind w:left="679"/>
        <w:spacing w:before="134" w:line="213" w:lineRule="auto"/>
        <w:rPr>
          <w:sz w:val="24"/>
          <w:szCs w:val="24"/>
        </w:rPr>
      </w:pPr>
      <w:r>
        <w:rPr>
          <w:sz w:val="24"/>
          <w:szCs w:val="24"/>
        </w:rPr>
        <w:t>建议探索多元化评价标准，弱化单一流量导向，强</w:t>
      </w:r>
      <w:r>
        <w:rPr>
          <w:sz w:val="24"/>
          <w:szCs w:val="24"/>
          <w:spacing w:val="-1"/>
        </w:rPr>
        <w:t>化作品质量与社会价值。</w:t>
      </w:r>
    </w:p>
    <w:p>
      <w:pPr>
        <w:pStyle w:val="BodyText"/>
        <w:ind w:left="353"/>
        <w:spacing w:before="259" w:line="221" w:lineRule="auto"/>
        <w:outlineLvl w:val="3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3.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sz w:val="24"/>
          <w:szCs w:val="24"/>
          <w:b/>
          <w:bCs/>
          <w:spacing w:val="-3"/>
        </w:rPr>
        <w:t>强化知识产权与市场服务体系</w:t>
      </w:r>
    </w:p>
    <w:p>
      <w:pPr>
        <w:pStyle w:val="BodyText"/>
        <w:ind w:left="679"/>
        <w:spacing w:before="136" w:line="21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建议完善</w:t>
      </w:r>
      <w:r>
        <w:rPr>
          <w:rFonts w:ascii="SimSun" w:hAnsi="SimSun" w:eastAsia="SimSun" w:cs="SimSun"/>
          <w:sz w:val="24"/>
          <w:szCs w:val="24"/>
          <w:spacing w:val="-2"/>
        </w:rPr>
        <w:t>IP</w:t>
      </w:r>
      <w:r>
        <w:rPr>
          <w:sz w:val="24"/>
          <w:szCs w:val="24"/>
          <w:spacing w:val="-2"/>
        </w:rPr>
        <w:t>固化与交易平台建设，提升价值变现效率。</w:t>
      </w:r>
    </w:p>
    <w:p>
      <w:pPr>
        <w:pStyle w:val="BodyText"/>
        <w:ind w:left="349"/>
        <w:spacing w:before="264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4.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推动区域与乡村振兴融合</w:t>
      </w:r>
    </w:p>
    <w:p>
      <w:pPr>
        <w:pStyle w:val="BodyText"/>
        <w:ind w:left="679"/>
        <w:spacing w:before="121" w:line="213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建议将艺术人才导入乡村振兴项目，形成“艺术+乡村美学”新模式。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8" w:line="331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上述措施在一定程度上与文化强国战略(提升文化软实力)、数字经济国家战略(推动艺术科技融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8"/>
        </w:rPr>
        <w:t>合)、乡村振兴战略(文化赋能乡村)、人才强国战略(培养高水平复合型人才)高度契合。</w:t>
      </w:r>
    </w:p>
    <w:p>
      <w:pPr>
        <w:pStyle w:val="BodyText"/>
        <w:ind w:left="4"/>
        <w:spacing w:before="326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五、结论与展望</w:t>
      </w:r>
    </w:p>
    <w:p>
      <w:pPr>
        <w:pStyle w:val="BodyText"/>
        <w:ind w:right="114"/>
        <w:spacing w:before="233" w:line="313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综合分析显示，艺术人才多元化发展与生态构建是新</w:t>
      </w:r>
      <w:r>
        <w:rPr>
          <w:sz w:val="24"/>
          <w:szCs w:val="24"/>
        </w:rPr>
        <w:t>时代文化高质量发展的必然要求。建议相关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部委以更高战略格局，系统推进跨界培养、评价优</w:t>
      </w:r>
      <w:r>
        <w:rPr>
          <w:sz w:val="24"/>
          <w:szCs w:val="24"/>
        </w:rPr>
        <w:t>化、</w:t>
      </w:r>
      <w:r>
        <w:rPr>
          <w:rFonts w:ascii="SimSun" w:hAnsi="SimSun" w:eastAsia="SimSun" w:cs="SimSun"/>
          <w:sz w:val="24"/>
          <w:szCs w:val="24"/>
        </w:rPr>
        <w:t>IP</w:t>
      </w:r>
      <w:r>
        <w:rPr>
          <w:sz w:val="24"/>
          <w:szCs w:val="24"/>
        </w:rPr>
        <w:t>保护与市场服务体系建设。该方向在一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定程度上可为文化强国建设注入强劲人才动能。然而，也需</w:t>
      </w:r>
      <w:r>
        <w:rPr>
          <w:sz w:val="24"/>
          <w:szCs w:val="24"/>
        </w:rPr>
        <w:t>注意到跨界路径对个体能力要求较</w:t>
      </w:r>
    </w:p>
    <w:p>
      <w:pPr>
        <w:pStyle w:val="BodyText"/>
        <w:ind w:right="117"/>
        <w:spacing w:before="9" w:line="325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高、政策落地需长期配套等潜在局限。该战略</w:t>
      </w:r>
      <w:r>
        <w:rPr>
          <w:sz w:val="24"/>
          <w:szCs w:val="24"/>
        </w:rPr>
        <w:t>的适用条件在于持续的市场培育与机制完善，有待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进一步观察创意经济全球趋势。</w:t>
      </w:r>
    </w:p>
    <w:p>
      <w:pPr>
        <w:spacing w:before="168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3"/>
        </w:rPr>
        <w:t>Key Citations:</w:t>
      </w:r>
    </w:p>
    <w:p>
      <w:pPr>
        <w:spacing w:line="198" w:lineRule="auto"/>
        <w:sectPr>
          <w:pgSz w:w="12240" w:h="15840"/>
          <w:pgMar w:top="1215" w:right="1040" w:bottom="0" w:left="98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ind w:left="140" w:right="381" w:hanging="140"/>
        <w:spacing w:before="64" w:line="32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·UNESCO.Re|Shaping  Policies  for  Creativity:Addressing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culture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as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global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public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good(2022).</w:t>
      </w:r>
      <w:hyperlink w:history="true" r:id="rId1">
        <w:r>
          <w:rPr>
            <w:rFonts w:ascii="Arial" w:hAnsi="Arial" w:eastAsia="Arial" w:cs="Arial"/>
            <w:sz w:val="24"/>
            <w:szCs w:val="24"/>
          </w:rPr>
          <w:t>https://www.unesco.org/reports/reshaping-crea</w:t>
        </w:r>
        <w:r>
          <w:rPr>
            <w:rFonts w:ascii="Arial" w:hAnsi="Arial" w:eastAsia="Arial" w:cs="Arial"/>
            <w:sz w:val="24"/>
            <w:szCs w:val="24"/>
            <w:spacing w:val="-1"/>
          </w:rPr>
          <w:t>tivity/2022/en</w:t>
        </w:r>
      </w:hyperlink>
    </w:p>
    <w:p>
      <w:pPr>
        <w:ind w:left="140" w:right="86" w:hanging="140"/>
        <w:spacing w:before="221" w:line="32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·UNCTAD.Creative     Economy      Outlook     </w:t>
      </w:r>
      <w:r>
        <w:rPr>
          <w:rFonts w:ascii="Arial" w:hAnsi="Arial" w:eastAsia="Arial" w:cs="Arial"/>
          <w:sz w:val="24"/>
          <w:szCs w:val="24"/>
          <w:spacing w:val="-1"/>
        </w:rPr>
        <w:t>2024.</w:t>
      </w:r>
      <w:hyperlink w:history="true" r:id="rId2">
        <w:r>
          <w:rPr>
            <w:rFonts w:ascii="Arial" w:hAnsi="Arial" w:eastAsia="Arial" w:cs="Arial"/>
            <w:sz w:val="24"/>
            <w:szCs w:val="24"/>
            <w:spacing w:val="-1"/>
          </w:rPr>
          <w:t>https://unctad.org/publication/creative</w:t>
        </w:r>
      </w:hyperlink>
      <w:r>
        <w:rPr>
          <w:rFonts w:ascii="Arial" w:hAnsi="Arial" w:eastAsia="Arial" w:cs="Arial"/>
          <w:sz w:val="24"/>
          <w:szCs w:val="24"/>
          <w:spacing w:val="-1"/>
        </w:rPr>
        <w:t>-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economy-outlook-2024</w:t>
      </w:r>
    </w:p>
    <w:p>
      <w:pPr>
        <w:spacing w:before="21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·WIPO.Making  a  Livin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g  in</w:t>
      </w:r>
      <w:r>
        <w:rPr>
          <w:rFonts w:ascii="Arial" w:hAnsi="Arial" w:eastAsia="Arial" w:cs="Arial"/>
          <w:sz w:val="24"/>
          <w:szCs w:val="24"/>
          <w:spacing w:val="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the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Creative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Industries.</w:t>
      </w:r>
    </w:p>
    <w:p>
      <w:pPr>
        <w:ind w:left="140"/>
        <w:spacing w:before="93" w:line="327" w:lineRule="exact"/>
        <w:rPr>
          <w:rFonts w:ascii="Arial" w:hAnsi="Arial" w:eastAsia="Arial" w:cs="Arial"/>
          <w:sz w:val="24"/>
          <w:szCs w:val="24"/>
        </w:rPr>
      </w:pPr>
      <w:hyperlink w:history="true" r:id="rId3">
        <w:r>
          <w:rPr>
            <w:rFonts w:ascii="Arial" w:hAnsi="Arial" w:eastAsia="Arial" w:cs="Arial"/>
            <w:sz w:val="24"/>
            <w:szCs w:val="24"/>
            <w:position w:val="4"/>
          </w:rPr>
          <w:t>https://www.wipo.int/en/web/copyright/cre</w:t>
        </w:r>
        <w:r>
          <w:rPr>
            <w:rFonts w:ascii="Arial" w:hAnsi="Arial" w:eastAsia="Arial" w:cs="Arial"/>
            <w:sz w:val="24"/>
            <w:szCs w:val="24"/>
            <w:spacing w:val="-1"/>
            <w:position w:val="4"/>
          </w:rPr>
          <w:t>ative_industries/index</w:t>
        </w:r>
      </w:hyperlink>
    </w:p>
    <w:p>
      <w:pPr>
        <w:pStyle w:val="BodyText"/>
        <w:ind w:left="140" w:right="605" w:hanging="140"/>
        <w:spacing w:before="259" w:line="286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-9"/>
        </w:rPr>
        <w:t>·</w:t>
      </w:r>
      <w:r>
        <w:rPr>
          <w:sz w:val="24"/>
          <w:szCs w:val="24"/>
          <w:spacing w:val="-93"/>
        </w:rPr>
        <w:t xml:space="preserve"> </w:t>
      </w:r>
      <w:r>
        <w:rPr>
          <w:sz w:val="24"/>
          <w:szCs w:val="24"/>
          <w:spacing w:val="-9"/>
        </w:rPr>
        <w:t>中国文化和旅游部.《“十四五”文化和旅游科技创新规划》及相关职业教育指导意见.</w:t>
      </w:r>
      <w:r>
        <w:rPr>
          <w:sz w:val="24"/>
          <w:szCs w:val="24"/>
        </w:rPr>
        <w:t xml:space="preserve"> </w:t>
      </w:r>
      <w:hyperlink w:history="true" r:id="rId4">
        <w:r>
          <w:rPr>
            <w:rFonts w:ascii="Arial" w:hAnsi="Arial" w:eastAsia="Arial" w:cs="Arial"/>
            <w:sz w:val="24"/>
            <w:szCs w:val="24"/>
          </w:rPr>
          <w:t>https://www.gov.cn/zhengce/zhengceku/2022-04/</w:t>
        </w:r>
        <w:r>
          <w:rPr>
            <w:rFonts w:ascii="Arial" w:hAnsi="Arial" w:eastAsia="Arial" w:cs="Arial"/>
            <w:sz w:val="24"/>
            <w:szCs w:val="24"/>
            <w:spacing w:val="-1"/>
          </w:rPr>
          <w:t>25/content_5687005.htm</w:t>
        </w:r>
      </w:hyperlink>
    </w:p>
    <w:p>
      <w:pPr>
        <w:pStyle w:val="BodyText"/>
        <w:spacing w:before="270" w:line="221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·北京市文化艺术基金2024年度艺术人才培养项目申报公告.</w:t>
      </w:r>
    </w:p>
    <w:p>
      <w:pPr>
        <w:ind w:left="140"/>
        <w:spacing w:before="85" w:line="328" w:lineRule="exact"/>
        <w:rPr>
          <w:rFonts w:ascii="Arial" w:hAnsi="Arial" w:eastAsia="Arial" w:cs="Arial"/>
          <w:sz w:val="24"/>
          <w:szCs w:val="24"/>
        </w:rPr>
      </w:pPr>
      <w:hyperlink w:history="true" r:id="rId5">
        <w:r>
          <w:rPr>
            <w:rFonts w:ascii="Arial" w:hAnsi="Arial" w:eastAsia="Arial" w:cs="Arial"/>
            <w:sz w:val="24"/>
            <w:szCs w:val="24"/>
            <w:position w:val="4"/>
          </w:rPr>
          <w:t>https://www.beijing.gov.cn/zhengce/zhengcefagui/202402</w:t>
        </w:r>
        <w:r>
          <w:rPr>
            <w:rFonts w:ascii="Arial" w:hAnsi="Arial" w:eastAsia="Arial" w:cs="Arial"/>
            <w:sz w:val="24"/>
            <w:szCs w:val="24"/>
            <w:spacing w:val="-1"/>
            <w:position w:val="4"/>
          </w:rPr>
          <w:t>/t20240209_3561340.htm</w:t>
        </w:r>
      </w:hyperlink>
    </w:p>
    <w:p>
      <w:pPr>
        <w:spacing w:line="246" w:lineRule="auto"/>
        <w:rPr>
          <w:rFonts w:ascii="Arial"/>
          <w:sz w:val="21"/>
        </w:rPr>
      </w:pPr>
      <w:r/>
    </w:p>
    <w:p>
      <w:pPr>
        <w:ind w:left="159"/>
        <w:spacing w:before="26" w:line="241" w:lineRule="auto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</w:rPr>
        <w:t>l</w:t>
      </w:r>
    </w:p>
    <w:p>
      <w:pPr>
        <w:pStyle w:val="BodyText"/>
        <w:ind w:left="140" w:right="85" w:hanging="140"/>
        <w:spacing w:before="306" w:line="323" w:lineRule="auto"/>
        <w:rPr>
          <w:rFonts w:ascii="Arial" w:hAnsi="Arial" w:eastAsia="Arial" w:cs="Arial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·Arts</w:t>
      </w:r>
      <w:r>
        <w:rPr>
          <w:rFonts w:ascii="SimSun" w:hAnsi="SimSun" w:eastAsia="SimSun" w:cs="SimSun"/>
          <w:sz w:val="24"/>
          <w:szCs w:val="24"/>
          <w:spacing w:val="9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Council</w:t>
      </w:r>
      <w:r>
        <w:rPr>
          <w:rFonts w:ascii="SimSun" w:hAnsi="SimSun" w:eastAsia="SimSun" w:cs="SimSun"/>
          <w:sz w:val="24"/>
          <w:szCs w:val="24"/>
          <w:spacing w:val="9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Korea(ARKO)</w:t>
      </w:r>
      <w:r>
        <w:rPr>
          <w:sz w:val="24"/>
          <w:szCs w:val="24"/>
          <w:spacing w:val="-5"/>
        </w:rPr>
        <w:t>相关政策介绍.</w:t>
      </w:r>
      <w:hyperlink w:history="true" r:id="rId6">
        <w:r>
          <w:rPr>
            <w:rFonts w:ascii="SimSun" w:hAnsi="SimSun" w:eastAsia="SimSun" w:cs="SimSun"/>
            <w:sz w:val="24"/>
            <w:szCs w:val="24"/>
            <w:spacing w:val="-5"/>
          </w:rPr>
          <w:t>https://culture360.asef.org/resources/art</w:t>
        </w:r>
      </w:hyperlink>
      <w:r>
        <w:rPr>
          <w:rFonts w:ascii="SimSun" w:hAnsi="SimSun" w:eastAsia="SimSun" w:cs="SimSun"/>
          <w:sz w:val="24"/>
          <w:szCs w:val="24"/>
          <w:spacing w:val="-5"/>
        </w:rPr>
        <w:t>-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council-korea-arko/</w:t>
      </w:r>
    </w:p>
    <w:p>
      <w:pPr>
        <w:pStyle w:val="BodyText"/>
        <w:spacing w:before="180" w:line="217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8"/>
        </w:rPr>
        <w:t>·法国-韩国文化合作协议(2025更新)</w:t>
      </w:r>
      <w:r>
        <w:rPr>
          <w:sz w:val="24"/>
          <w:szCs w:val="24"/>
          <w:spacing w:val="7"/>
        </w:rPr>
        <w:t>.</w:t>
      </w:r>
      <w:hyperlink w:history="true" r:id="rId7">
        <w:r>
          <w:rPr>
            <w:rFonts w:ascii="SimSun" w:hAnsi="SimSun" w:eastAsia="SimSun" w:cs="SimSun"/>
            <w:sz w:val="24"/>
            <w:szCs w:val="24"/>
          </w:rPr>
          <w:t>https</w:t>
        </w:r>
        <w:r>
          <w:rPr>
            <w:rFonts w:ascii="SimSun" w:hAnsi="SimSun" w:eastAsia="SimSun" w:cs="SimSun"/>
            <w:sz w:val="24"/>
            <w:szCs w:val="24"/>
            <w:spacing w:val="7"/>
          </w:rPr>
          <w:t>://</w:t>
        </w:r>
        <w:r>
          <w:rPr>
            <w:rFonts w:ascii="SimSun" w:hAnsi="SimSun" w:eastAsia="SimSun" w:cs="SimSun"/>
            <w:sz w:val="24"/>
            <w:szCs w:val="24"/>
          </w:rPr>
          <w:t>www</w:t>
        </w:r>
        <w:r>
          <w:rPr>
            <w:rFonts w:ascii="SimSun" w:hAnsi="SimSun" w:eastAsia="SimSun" w:cs="SimSun"/>
            <w:sz w:val="24"/>
            <w:szCs w:val="24"/>
            <w:spacing w:val="7"/>
          </w:rPr>
          <w:t>.</w:t>
        </w:r>
        <w:r>
          <w:rPr>
            <w:rFonts w:ascii="SimSun" w:hAnsi="SimSun" w:eastAsia="SimSun" w:cs="SimSun"/>
            <w:sz w:val="24"/>
            <w:szCs w:val="24"/>
          </w:rPr>
          <w:t>koreaherald</w:t>
        </w:r>
        <w:r>
          <w:rPr>
            <w:rFonts w:ascii="SimSun" w:hAnsi="SimSun" w:eastAsia="SimSun" w:cs="SimSun"/>
            <w:sz w:val="24"/>
            <w:szCs w:val="24"/>
            <w:spacing w:val="7"/>
          </w:rPr>
          <w:t>.</w:t>
        </w:r>
        <w:r>
          <w:rPr>
            <w:rFonts w:ascii="SimSun" w:hAnsi="SimSun" w:eastAsia="SimSun" w:cs="SimSun"/>
            <w:sz w:val="24"/>
            <w:szCs w:val="24"/>
          </w:rPr>
          <w:t>com</w:t>
        </w:r>
        <w:r>
          <w:rPr>
            <w:rFonts w:ascii="SimSun" w:hAnsi="SimSun" w:eastAsia="SimSun" w:cs="SimSun"/>
            <w:sz w:val="24"/>
            <w:szCs w:val="24"/>
            <w:spacing w:val="7"/>
          </w:rPr>
          <w:t>/</w:t>
        </w:r>
        <w:r>
          <w:rPr>
            <w:rFonts w:ascii="SimSun" w:hAnsi="SimSun" w:eastAsia="SimSun" w:cs="SimSun"/>
            <w:sz w:val="24"/>
            <w:szCs w:val="24"/>
          </w:rPr>
          <w:t>article</w:t>
        </w:r>
        <w:r>
          <w:rPr>
            <w:rFonts w:ascii="SimSun" w:hAnsi="SimSun" w:eastAsia="SimSun" w:cs="SimSun"/>
            <w:sz w:val="24"/>
            <w:szCs w:val="24"/>
            <w:spacing w:val="7"/>
          </w:rPr>
          <w:t>/10492151</w:t>
        </w:r>
      </w:hyperlink>
    </w:p>
    <w:sectPr>
      <w:pgSz w:w="12240" w:h="15840"/>
      <w:pgMar w:top="1155" w:right="1266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yperlink" Target="https://www.koreaherald.com/article/10492151" TargetMode="External"/><Relationship Id="rId6" Type="http://schemas.openxmlformats.org/officeDocument/2006/relationships/hyperlink" Target="https://culture360.asef.org/resources/art" TargetMode="External"/><Relationship Id="rId5" Type="http://schemas.openxmlformats.org/officeDocument/2006/relationships/hyperlink" Target="https://www.beijing.gov.cn/zhengce/zhengcefagui/202402/t20240209_3561340.htm" TargetMode="External"/><Relationship Id="rId4" Type="http://schemas.openxmlformats.org/officeDocument/2006/relationships/hyperlink" Target="https://www.gov.cn/zhengce/zhengceku/2022-04/25/content_5687005.htm" TargetMode="External"/><Relationship Id="rId3" Type="http://schemas.openxmlformats.org/officeDocument/2006/relationships/hyperlink" Target="https://www.wipo.int/en/web/copyright/creative_industries/index" TargetMode="External"/><Relationship Id="rId2" Type="http://schemas.openxmlformats.org/officeDocument/2006/relationships/hyperlink" Target="https://unctad.org/publication/creative" TargetMode="External"/><Relationship Id="rId10" Type="http://schemas.openxmlformats.org/officeDocument/2006/relationships/fontTable" Target="fontTable.xml"/><Relationship Id="rId1" Type="http://schemas.openxmlformats.org/officeDocument/2006/relationships/hyperlink" Target="https://www.unesco.org/reports/reshaping-creativity/2022/e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2026-03-15T23:59:47</vt:filetime>
  </property>
  <property fmtid="{D5CDD505-2E9C-101B-9397-08002B2CF9AE}" pid="4" name="UsrData">
    <vt:lpwstr>69b6d771d3e451001fc5bef8wl</vt:lpwstr>
  </property>
</Properties>
</file>