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"/>
        <w:spacing w:before="48" w:line="213" w:lineRule="auto"/>
        <w:rPr/>
      </w:pPr>
      <w:r>
        <w:rPr>
          <w:spacing w:val="-1"/>
        </w:rPr>
        <w:t>中国艺术生长期面临就业领域单一的挑战，但近年来随着艺术与科技、商业、文旅的深度融合，</w:t>
      </w:r>
    </w:p>
    <w:p>
      <w:pPr>
        <w:pStyle w:val="BodyText"/>
        <w:ind w:left="10" w:right="42"/>
        <w:spacing w:before="152" w:line="324" w:lineRule="auto"/>
        <w:rPr/>
      </w:pPr>
      <w:r>
        <w:rPr>
          <w:spacing w:val="-2"/>
        </w:rPr>
        <w:t>多元化职业路径已显著拓宽。当前社会对艺术人才的评价仍偏向</w:t>
      </w:r>
      <w:r>
        <w:rPr>
          <w:spacing w:val="-3"/>
        </w:rPr>
        <w:t>“稳定+高雅”,导致多数从业者收</w:t>
      </w:r>
      <w:r>
        <w:rPr/>
        <w:t xml:space="preserve"> </w:t>
      </w:r>
      <w:r>
        <w:rPr/>
        <w:t>入中等偏下，但知识产权加强与文化消费升级正逐步改善经济待遇。国际</w:t>
      </w:r>
      <w:r>
        <w:rPr>
          <w:spacing w:val="-1"/>
        </w:rPr>
        <w:t>经验显示，政府主导的</w:t>
      </w:r>
      <w:r>
        <w:rPr/>
        <w:t xml:space="preserve">  </w:t>
      </w:r>
      <w:r>
        <w:rPr>
          <w:spacing w:val="-1"/>
        </w:rPr>
        <w:t>资助、市场化运作与社会尊重相结合是提升艺术人才地位的有效模式。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97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关键点总结</w:t>
      </w:r>
    </w:p>
    <w:p>
      <w:pPr>
        <w:pStyle w:val="BodyText"/>
        <w:ind w:left="519" w:right="110" w:hanging="140"/>
        <w:spacing w:before="195" w:line="272" w:lineRule="auto"/>
        <w:rPr/>
      </w:pPr>
      <w:r>
        <w:rPr>
          <w:spacing w:val="1"/>
        </w:rPr>
        <w:t>·</w:t>
      </w:r>
      <w:r>
        <w:rPr>
          <w:spacing w:val="-88"/>
        </w:rPr>
        <w:t xml:space="preserve"> </w:t>
      </w:r>
      <w:r>
        <w:rPr>
          <w:spacing w:val="1"/>
        </w:rPr>
        <w:t>多元化突破路径：传统路径(教学、机构)外，数字艺术</w:t>
      </w:r>
      <w:r>
        <w:rPr/>
        <w:t>、</w:t>
      </w:r>
      <w:r>
        <w:rPr/>
        <w:t xml:space="preserve"> </w:t>
      </w:r>
      <w:r>
        <w:rPr>
          <w:rFonts w:ascii="SimSun" w:hAnsi="SimSun" w:eastAsia="SimSun" w:cs="SimSun"/>
        </w:rPr>
        <w:t>Al</w:t>
      </w:r>
      <w:r>
        <w:rPr/>
        <w:t>艺术、游戏设计、虚拟空间设</w:t>
      </w:r>
      <w:r>
        <w:rPr/>
        <w:t xml:space="preserve"> </w:t>
      </w:r>
      <w:r>
        <w:rPr/>
        <w:t>计、文创</w:t>
      </w:r>
      <w:r>
        <w:rPr>
          <w:rFonts w:ascii="Arial" w:hAnsi="Arial" w:eastAsia="Arial" w:cs="Arial"/>
        </w:rPr>
        <w:t>IP</w:t>
      </w:r>
      <w:r>
        <w:rPr/>
        <w:t>开发已成为主流新方向，就业率</w:t>
      </w:r>
      <w:r>
        <w:rPr>
          <w:spacing w:val="-1"/>
        </w:rPr>
        <w:t>和薪资潜力更高。</w:t>
      </w:r>
    </w:p>
    <w:p>
      <w:pPr>
        <w:pStyle w:val="BodyText"/>
        <w:ind w:left="519" w:right="40" w:hanging="140"/>
        <w:spacing w:before="263" w:line="288" w:lineRule="auto"/>
        <w:rPr/>
      </w:pPr>
      <w:r>
        <w:rPr>
          <w:spacing w:val="5"/>
        </w:rPr>
        <w:t>·社会评价与收入：中国艺术人才整体收入偏低(</w:t>
      </w:r>
      <w:r>
        <w:rPr>
          <w:spacing w:val="4"/>
        </w:rPr>
        <w:t>多数月薪8</w:t>
      </w:r>
      <w:r>
        <w:rPr>
          <w:rFonts w:ascii="SimSun" w:hAnsi="SimSun" w:eastAsia="SimSun" w:cs="SimSun"/>
          <w:spacing w:val="4"/>
        </w:rPr>
        <w:t>k-15k</w:t>
      </w:r>
      <w:r>
        <w:rPr>
          <w:spacing w:val="4"/>
        </w:rPr>
        <w:t>区间),纯艺术类更难；设</w:t>
      </w:r>
      <w:r>
        <w:rPr/>
        <w:t xml:space="preserve">  </w:t>
      </w:r>
      <w:r>
        <w:rPr/>
        <w:t>计/数字类毕业生在互联网、新能源汽车等领域表现亮眼，头部人</w:t>
      </w:r>
      <w:r>
        <w:rPr>
          <w:spacing w:val="-1"/>
        </w:rPr>
        <w:t>才收入可观，但行业流动性</w:t>
      </w:r>
      <w:r>
        <w:rPr/>
        <w:t xml:space="preserve"> </w:t>
      </w:r>
      <w:r>
        <w:rPr>
          <w:spacing w:val="-2"/>
        </w:rPr>
        <w:t>大、稳定性差。</w:t>
      </w:r>
    </w:p>
    <w:p>
      <w:pPr>
        <w:pStyle w:val="BodyText"/>
        <w:ind w:left="519" w:right="141" w:hanging="140"/>
        <w:spacing w:before="270" w:line="267" w:lineRule="auto"/>
        <w:rPr/>
      </w:pPr>
      <w:r>
        <w:rPr>
          <w:spacing w:val="8"/>
        </w:rPr>
        <w:t>·</w:t>
      </w:r>
      <w:r>
        <w:rPr>
          <w:spacing w:val="-85"/>
        </w:rPr>
        <w:t xml:space="preserve"> </w:t>
      </w:r>
      <w:r>
        <w:rPr>
          <w:spacing w:val="8"/>
        </w:rPr>
        <w:t>知识产权与文化消费：加强版权保护可显著提升创作者分成比例(目前常低于10%-30%),</w:t>
      </w:r>
      <w:r>
        <w:rPr/>
        <w:t xml:space="preserve"> </w:t>
      </w:r>
      <w:r>
        <w:rPr>
          <w:spacing w:val="6"/>
        </w:rPr>
        <w:t>文化消费升级(文创、数字内容)正缓慢改善待遇，但盗版和付费意愿仍为瓶颈。</w:t>
      </w:r>
    </w:p>
    <w:p>
      <w:pPr>
        <w:pStyle w:val="BodyText"/>
        <w:ind w:left="519" w:right="40" w:hanging="140"/>
        <w:spacing w:before="247" w:line="279" w:lineRule="auto"/>
        <w:rPr/>
      </w:pPr>
      <w:r>
        <w:rPr>
          <w:spacing w:val="4"/>
        </w:rPr>
        <w:t>·</w:t>
      </w:r>
      <w:r>
        <w:rPr>
          <w:spacing w:val="-89"/>
        </w:rPr>
        <w:t xml:space="preserve"> </w:t>
      </w:r>
      <w:r>
        <w:rPr>
          <w:spacing w:val="4"/>
        </w:rPr>
        <w:t>国际经验：法国(国家资助+艺术家签证)、美国</w:t>
      </w:r>
      <w:r>
        <w:rPr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(O-1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4"/>
        </w:rPr>
        <w:t>天</w:t>
      </w:r>
      <w:r>
        <w:rPr>
          <w:spacing w:val="3"/>
        </w:rPr>
        <w:t>才签证+市场化)、韩国/日本(文化</w:t>
      </w:r>
      <w:r>
        <w:rPr/>
        <w:t xml:space="preserve"> </w:t>
      </w:r>
      <w:r>
        <w:rPr>
          <w:spacing w:val="4"/>
        </w:rPr>
        <w:t>出口战略+企业孵化)均通过政策+市场双轮驱动显著提升艺术人才地位与收入。</w:t>
      </w:r>
    </w:p>
    <w:p>
      <w:pPr>
        <w:spacing w:line="30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134163</wp:posOffset>
            </wp:positionV>
            <wp:extent cx="6521432" cy="6437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0" w:right="123"/>
        <w:spacing w:before="78" w:line="322" w:lineRule="auto"/>
        <w:jc w:val="both"/>
        <w:rPr/>
      </w:pPr>
      <w:r>
        <w:rPr>
          <w:spacing w:val="5"/>
        </w:rPr>
        <w:t>中国艺术生就业长期高度集中于美术馆/博物馆、艺术教育机构</w:t>
      </w:r>
      <w:r>
        <w:rPr>
          <w:spacing w:val="4"/>
        </w:rPr>
        <w:t>、传统文创企业，但2024-2025</w:t>
      </w:r>
      <w:r>
        <w:rPr/>
        <w:t xml:space="preserve"> </w:t>
      </w:r>
      <w:r>
        <w:rPr>
          <w:spacing w:val="-6"/>
        </w:rPr>
        <w:t>年数据显示，这一格局正在快速演变。教育部与高校联合推动的“数字艺术赋能文旅”活动，以及</w:t>
      </w:r>
      <w:r>
        <w:rPr>
          <w:spacing w:val="16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20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2"/>
        </w:rPr>
        <w:t>25年新增的游戏艺术设计、虚拟空间艺术、智能影像艺术、数字演艺设计等8个艺术类本科专</w:t>
      </w:r>
      <w:r>
        <w:rPr/>
        <w:t xml:space="preserve"> </w:t>
      </w:r>
      <w:r>
        <w:rPr>
          <w:spacing w:val="-2"/>
        </w:rPr>
        <w:t>业，明确指向艺术与科技融合的新赛道。</w:t>
      </w:r>
    </w:p>
    <w:p>
      <w:pPr>
        <w:pStyle w:val="BodyText"/>
        <w:ind w:left="13"/>
        <w:spacing w:before="145" w:line="222" w:lineRule="auto"/>
        <w:rPr/>
      </w:pPr>
      <w:r>
        <w:rPr>
          <w:b/>
          <w:bCs/>
          <w:spacing w:val="-5"/>
        </w:rPr>
        <w:t>多元化职业路径已形成清晰梯度：</w:t>
      </w:r>
    </w:p>
    <w:p>
      <w:pPr>
        <w:spacing w:line="222" w:lineRule="auto"/>
        <w:sectPr>
          <w:pgSz w:w="12240" w:h="15840"/>
          <w:pgMar w:top="1128" w:right="1000" w:bottom="0" w:left="970" w:header="0" w:footer="0" w:gutter="0"/>
        </w:sectPr>
        <w:rPr/>
      </w:pPr>
    </w:p>
    <w:p>
      <w:pPr>
        <w:pStyle w:val="BodyText"/>
        <w:ind w:left="343"/>
        <w:spacing w:before="50" w:line="221" w:lineRule="auto"/>
        <w:outlineLvl w:val="3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5"/>
        </w:rPr>
        <w:t>1.</w:t>
      </w:r>
      <w:r>
        <w:rPr>
          <w:rFonts w:ascii="SimSun" w:hAnsi="SimSun" w:eastAsia="SimSun" w:cs="SimSun"/>
          <w:sz w:val="25"/>
          <w:szCs w:val="25"/>
          <w:spacing w:val="-24"/>
        </w:rPr>
        <w:t xml:space="preserve"> </w:t>
      </w:r>
      <w:r>
        <w:rPr>
          <w:sz w:val="25"/>
          <w:szCs w:val="25"/>
          <w:b/>
          <w:bCs/>
          <w:spacing w:val="-5"/>
        </w:rPr>
        <w:t>科技跨界方向(高增长、高薪潜力)</w:t>
      </w:r>
    </w:p>
    <w:p>
      <w:pPr>
        <w:pStyle w:val="BodyText"/>
        <w:ind w:left="679"/>
        <w:spacing w:before="109" w:line="335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数字媒体艺术、艺术与科技、交互设计</w:t>
      </w:r>
      <w:r>
        <w:rPr>
          <w:sz w:val="23"/>
          <w:szCs w:val="23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UX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/</w:t>
      </w:r>
      <w:r>
        <w:rPr>
          <w:rFonts w:ascii="Times New Roman" w:hAnsi="Times New Roman" w:eastAsia="Times New Roman" w:cs="Times New Roman"/>
          <w:sz w:val="23"/>
          <w:szCs w:val="23"/>
        </w:rPr>
        <w:t>UI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 </w:t>
      </w:r>
      <w:r>
        <w:rPr>
          <w:sz w:val="23"/>
          <w:szCs w:val="23"/>
          <w:spacing w:val="9"/>
        </w:rPr>
        <w:t>生成艺术、元宇宙/</w:t>
      </w:r>
      <w:r>
        <w:rPr>
          <w:rFonts w:ascii="Times New Roman" w:hAnsi="Times New Roman" w:eastAsia="Times New Roman" w:cs="Times New Roman"/>
          <w:sz w:val="23"/>
          <w:szCs w:val="23"/>
        </w:rPr>
        <w:t>NFT</w:t>
      </w:r>
      <w:r>
        <w:rPr>
          <w:sz w:val="23"/>
          <w:szCs w:val="23"/>
          <w:spacing w:val="9"/>
        </w:rPr>
        <w:t>创作等方向需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求旺盛。</w:t>
      </w:r>
    </w:p>
    <w:p>
      <w:pPr>
        <w:pStyle w:val="BodyText"/>
        <w:ind w:left="679" w:right="408"/>
        <w:spacing w:before="1" w:line="313" w:lineRule="auto"/>
        <w:rPr>
          <w:sz w:val="25"/>
          <w:szCs w:val="25"/>
        </w:rPr>
      </w:pPr>
      <w:r>
        <w:rPr>
          <w:sz w:val="25"/>
          <w:szCs w:val="25"/>
        </w:rPr>
        <w:t>代表院校毕业生(如中国美院、中央美院)大量进入互联网大厂</w:t>
      </w:r>
      <w:r>
        <w:rPr>
          <w:sz w:val="25"/>
          <w:szCs w:val="25"/>
          <w:spacing w:val="-1"/>
        </w:rPr>
        <w:t>(字节、腾讯、网易游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8"/>
        </w:rPr>
        <w:t>戏)、新能源汽车设计(如比亚迪、小米汽车</w:t>
      </w:r>
      <w:r>
        <w:rPr>
          <w:rFonts w:ascii="SimSun" w:hAnsi="SimSun" w:eastAsia="SimSun" w:cs="SimSun"/>
          <w:sz w:val="25"/>
          <w:szCs w:val="25"/>
          <w:spacing w:val="-8"/>
        </w:rPr>
        <w:t>UI/</w:t>
      </w:r>
      <w:r>
        <w:rPr>
          <w:sz w:val="25"/>
          <w:szCs w:val="25"/>
          <w:spacing w:val="-8"/>
        </w:rPr>
        <w:t>工业设计)、影视后期与游戏美术。</w:t>
      </w:r>
    </w:p>
    <w:p>
      <w:pPr>
        <w:pStyle w:val="BodyText"/>
        <w:ind w:left="679"/>
        <w:spacing w:before="1" w:line="212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2025年数据显示，此类岗位应届生年薪常在20-50万区间，复合型人才(会</w:t>
      </w:r>
    </w:p>
    <w:p>
      <w:pPr>
        <w:pStyle w:val="BodyText"/>
        <w:ind w:left="679"/>
        <w:spacing w:before="132" w:line="222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Blender</w:t>
      </w:r>
      <w:r>
        <w:rPr>
          <w:rFonts w:ascii="SimSun" w:hAnsi="SimSun" w:eastAsia="SimSun" w:cs="SimSun"/>
          <w:sz w:val="25"/>
          <w:szCs w:val="25"/>
          <w:spacing w:val="4"/>
        </w:rPr>
        <w:t>+</w:t>
      </w:r>
      <w:r>
        <w:rPr>
          <w:rFonts w:ascii="SimSun" w:hAnsi="SimSun" w:eastAsia="SimSun" w:cs="SimSun"/>
          <w:sz w:val="25"/>
          <w:szCs w:val="25"/>
        </w:rPr>
        <w:t>Al</w:t>
      </w:r>
      <w:r>
        <w:rPr>
          <w:rFonts w:ascii="SimSun" w:hAnsi="SimSun" w:eastAsia="SimSun" w:cs="SimSun"/>
          <w:sz w:val="25"/>
          <w:szCs w:val="25"/>
          <w:spacing w:val="4"/>
        </w:rPr>
        <w:t>+</w:t>
      </w:r>
      <w:r>
        <w:rPr>
          <w:rFonts w:ascii="SimSun" w:hAnsi="SimSun" w:eastAsia="SimSun" w:cs="SimSun"/>
          <w:sz w:val="25"/>
          <w:szCs w:val="25"/>
        </w:rPr>
        <w:t>Unreal</w:t>
      </w:r>
      <w:r>
        <w:rPr>
          <w:sz w:val="25"/>
          <w:szCs w:val="25"/>
          <w:spacing w:val="4"/>
        </w:rPr>
        <w:t>引擎)更可轻松突破50万+。</w:t>
      </w:r>
    </w:p>
    <w:p>
      <w:pPr>
        <w:pStyle w:val="BodyText"/>
        <w:ind w:left="339"/>
        <w:spacing w:before="249" w:line="221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2.</w:t>
      </w:r>
      <w:r>
        <w:rPr>
          <w:rFonts w:ascii="SimSun" w:hAnsi="SimSun" w:eastAsia="SimSun" w:cs="SimSun"/>
          <w:sz w:val="25"/>
          <w:szCs w:val="25"/>
          <w:spacing w:val="-27"/>
        </w:rPr>
        <w:t xml:space="preserve"> </w:t>
      </w:r>
      <w:r>
        <w:rPr>
          <w:sz w:val="25"/>
          <w:szCs w:val="25"/>
          <w:spacing w:val="-2"/>
        </w:rPr>
        <w:t>文创与商业化方向(中等稳定、弹性收入)</w:t>
      </w:r>
    </w:p>
    <w:p>
      <w:pPr>
        <w:pStyle w:val="BodyText"/>
        <w:ind w:left="679"/>
        <w:spacing w:before="130" w:line="221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艺术</w:t>
      </w:r>
      <w:r>
        <w:rPr>
          <w:rFonts w:ascii="SimSun" w:hAnsi="SimSun" w:eastAsia="SimSun" w:cs="SimSun"/>
          <w:sz w:val="23"/>
          <w:szCs w:val="23"/>
        </w:rPr>
        <w:t>IP</w:t>
      </w:r>
      <w:r>
        <w:rPr>
          <w:sz w:val="23"/>
          <w:szCs w:val="23"/>
          <w:spacing w:val="7"/>
        </w:rPr>
        <w:t>开发、文创产品设计、策展、公关营销、艺术经纪。</w:t>
      </w:r>
    </w:p>
    <w:p>
      <w:pPr>
        <w:pStyle w:val="BodyText"/>
        <w:ind w:left="679" w:right="164"/>
        <w:spacing w:before="126" w:line="363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10"/>
        </w:rPr>
        <w:t>故宫文创、博物馆衍生品、奢侈品牌联名等已形成成熟链条，头部从业者收入可观，但普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1"/>
        </w:rPr>
        <w:t>通岗位多在10-20</w:t>
      </w:r>
      <w:r>
        <w:rPr>
          <w:rFonts w:ascii="SimSun" w:hAnsi="SimSun" w:eastAsia="SimSun" w:cs="SimSun"/>
          <w:sz w:val="23"/>
          <w:szCs w:val="23"/>
          <w:spacing w:val="11"/>
        </w:rPr>
        <w:t>k。</w:t>
      </w:r>
    </w:p>
    <w:p>
      <w:pPr>
        <w:pStyle w:val="BodyText"/>
        <w:ind w:left="339"/>
        <w:spacing w:before="55" w:line="221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"/>
        </w:rPr>
        <w:t>3.</w:t>
      </w:r>
      <w:r>
        <w:rPr>
          <w:rFonts w:ascii="SimSun" w:hAnsi="SimSun" w:eastAsia="SimSun" w:cs="SimSun"/>
          <w:sz w:val="25"/>
          <w:szCs w:val="25"/>
          <w:spacing w:val="-34"/>
        </w:rPr>
        <w:t xml:space="preserve"> </w:t>
      </w:r>
      <w:r>
        <w:rPr>
          <w:sz w:val="25"/>
          <w:szCs w:val="25"/>
          <w:spacing w:val="-2"/>
        </w:rPr>
        <w:t>教育与公共领域(相对稳定但天花板低)</w:t>
      </w:r>
    </w:p>
    <w:p>
      <w:pPr>
        <w:pStyle w:val="BodyText"/>
        <w:ind w:left="679" w:right="167"/>
        <w:spacing w:before="109" w:line="390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12"/>
        </w:rPr>
        <w:t>艺术培训教师、考公/编(中小学美育教师)、高校辅导员，仍占较大比例，但薪资多在8-</w:t>
      </w:r>
      <w:r>
        <w:rPr>
          <w:sz w:val="23"/>
          <w:szCs w:val="23"/>
          <w:spacing w:val="9"/>
        </w:rPr>
        <w:t xml:space="preserve"> </w:t>
      </w:r>
      <w:r>
        <w:rPr>
          <w:rFonts w:ascii="Arial" w:hAnsi="Arial" w:eastAsia="Arial" w:cs="Arial"/>
          <w:sz w:val="23"/>
          <w:szCs w:val="23"/>
          <w:spacing w:val="-7"/>
        </w:rPr>
        <w:t>15k</w:t>
      </w:r>
      <w:r>
        <w:rPr>
          <w:rFonts w:ascii="SimSun" w:hAnsi="SimSun" w:eastAsia="SimSun" w:cs="SimSun"/>
          <w:sz w:val="23"/>
          <w:szCs w:val="23"/>
          <w:spacing w:val="-7"/>
        </w:rPr>
        <w:t>。</w:t>
      </w:r>
    </w:p>
    <w:p>
      <w:pPr>
        <w:pStyle w:val="BodyText"/>
        <w:ind w:left="339"/>
        <w:spacing w:before="2" w:line="220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4.</w:t>
      </w:r>
      <w:r>
        <w:rPr>
          <w:rFonts w:ascii="SimSun" w:hAnsi="SimSun" w:eastAsia="SimSun" w:cs="SimSun"/>
          <w:sz w:val="25"/>
          <w:szCs w:val="25"/>
          <w:spacing w:val="-67"/>
        </w:rPr>
        <w:t xml:space="preserve"> </w:t>
      </w:r>
      <w:r>
        <w:rPr>
          <w:sz w:val="25"/>
          <w:szCs w:val="25"/>
        </w:rPr>
        <w:t>自由职业与新兴赛道(高风险高回报)</w:t>
      </w:r>
    </w:p>
    <w:p>
      <w:pPr>
        <w:pStyle w:val="BodyText"/>
        <w:ind w:left="679"/>
        <w:spacing w:before="150" w:line="22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NFT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/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 xml:space="preserve"> </w:t>
      </w:r>
      <w:r>
        <w:rPr>
          <w:sz w:val="23"/>
          <w:szCs w:val="23"/>
          <w:spacing w:val="8"/>
        </w:rPr>
        <w:t>加密艺术、独立策展人、虚拟偶像设计、舞蹈治疗、音乐科技等。</w:t>
      </w:r>
    </w:p>
    <w:p>
      <w:pPr>
        <w:pStyle w:val="BodyText"/>
        <w:ind w:left="679"/>
        <w:spacing w:before="144" w:line="212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虽然波动大，但头部案例(如</w:t>
      </w:r>
      <w:r>
        <w:rPr>
          <w:rFonts w:ascii="Arial" w:hAnsi="Arial" w:eastAsia="Arial" w:cs="Arial"/>
          <w:sz w:val="23"/>
          <w:szCs w:val="23"/>
        </w:rPr>
        <w:t>Beeple</w:t>
      </w:r>
      <w:r>
        <w:rPr>
          <w:rFonts w:ascii="Arial" w:hAnsi="Arial" w:eastAsia="Arial" w:cs="Arial"/>
          <w:sz w:val="23"/>
          <w:szCs w:val="23"/>
          <w:spacing w:val="16"/>
        </w:rPr>
        <w:t xml:space="preserve"> </w:t>
      </w:r>
      <w:r>
        <w:rPr>
          <w:sz w:val="23"/>
          <w:szCs w:val="23"/>
          <w:spacing w:val="16"/>
        </w:rPr>
        <w:t>式数字艺术家)已证明天花板极高。</w:t>
      </w:r>
    </w:p>
    <w:p>
      <w:pPr>
        <w:pStyle w:val="BodyText"/>
        <w:ind w:right="105"/>
        <w:spacing w:before="308" w:line="342" w:lineRule="auto"/>
        <w:jc w:val="both"/>
        <w:rPr>
          <w:sz w:val="23"/>
          <w:szCs w:val="23"/>
        </w:rPr>
      </w:pPr>
      <w:r>
        <w:rPr>
          <w:sz w:val="23"/>
          <w:szCs w:val="23"/>
          <w:spacing w:val="10"/>
        </w:rPr>
        <w:t>社会评价体系对中国艺术人才的发展空间与收入产生深远影响。传统观念中，艺术从业者常被贴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-4"/>
        </w:rPr>
        <w:t>上“理想主义”“不稳定”标签，导致家长与社会普遍认为“学艺术=没出路”。2025年</w:t>
      </w:r>
      <w:r>
        <w:rPr>
          <w:sz w:val="23"/>
          <w:szCs w:val="23"/>
          <w:spacing w:val="-5"/>
        </w:rPr>
        <w:t>高校就业报告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显示：</w:t>
      </w:r>
    </w:p>
    <w:p>
      <w:pPr>
        <w:pStyle w:val="BodyText"/>
        <w:ind w:left="339"/>
        <w:spacing w:before="110" w:line="213" w:lineRule="auto"/>
        <w:rPr>
          <w:sz w:val="25"/>
          <w:szCs w:val="25"/>
        </w:rPr>
      </w:pPr>
      <w:r>
        <w:rPr>
          <w:sz w:val="25"/>
          <w:szCs w:val="25"/>
          <w:spacing w:val="6"/>
        </w:rPr>
        <w:t>·</w:t>
      </w:r>
      <w:r>
        <w:rPr>
          <w:sz w:val="25"/>
          <w:szCs w:val="25"/>
          <w:spacing w:val="-106"/>
        </w:rPr>
        <w:t xml:space="preserve"> </w:t>
      </w:r>
      <w:r>
        <w:rPr>
          <w:sz w:val="25"/>
          <w:szCs w:val="25"/>
          <w:spacing w:val="6"/>
        </w:rPr>
        <w:t>纯艺术类(如绘画、雕塑)签约率偏低，</w:t>
      </w:r>
      <w:r>
        <w:rPr>
          <w:sz w:val="25"/>
          <w:szCs w:val="25"/>
          <w:spacing w:val="5"/>
        </w:rPr>
        <w:t>自由职业占比高达37%-40%;</w:t>
      </w:r>
    </w:p>
    <w:p>
      <w:pPr>
        <w:pStyle w:val="BodyText"/>
        <w:ind w:left="509" w:right="97" w:hanging="170"/>
        <w:spacing w:before="261" w:line="284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·</w:t>
      </w:r>
      <w:r>
        <w:rPr>
          <w:sz w:val="23"/>
          <w:szCs w:val="23"/>
          <w:spacing w:val="-82"/>
        </w:rPr>
        <w:t xml:space="preserve"> </w:t>
      </w:r>
      <w:r>
        <w:rPr>
          <w:sz w:val="23"/>
          <w:szCs w:val="23"/>
          <w:spacing w:val="13"/>
        </w:rPr>
        <w:t>设计类(如工业设计、数字媒体)在新能源汽车、游戏行业需求旺盛，就业率明显高于平均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水平。</w:t>
      </w:r>
    </w:p>
    <w:p>
      <w:pPr>
        <w:pStyle w:val="BodyText"/>
        <w:ind w:left="509" w:right="51"/>
        <w:spacing w:before="114" w:line="362" w:lineRule="auto"/>
        <w:rPr>
          <w:sz w:val="23"/>
          <w:szCs w:val="23"/>
        </w:rPr>
      </w:pPr>
      <w:r>
        <w:rPr>
          <w:sz w:val="23"/>
          <w:szCs w:val="23"/>
          <w:spacing w:val="19"/>
        </w:rPr>
        <w:t>整体而言，艺术行业流动性大、薪资待遇一般(多数基础岗位10</w:t>
      </w:r>
      <w:r>
        <w:rPr>
          <w:rFonts w:ascii="SimSun" w:hAnsi="SimSun" w:eastAsia="SimSun" w:cs="SimSun"/>
          <w:sz w:val="23"/>
          <w:szCs w:val="23"/>
          <w:spacing w:val="19"/>
        </w:rPr>
        <w:t>k</w:t>
      </w:r>
      <w:r>
        <w:rPr>
          <w:sz w:val="23"/>
          <w:szCs w:val="23"/>
          <w:spacing w:val="19"/>
        </w:rPr>
        <w:t>以</w:t>
      </w:r>
      <w:r>
        <w:rPr>
          <w:sz w:val="23"/>
          <w:szCs w:val="23"/>
          <w:spacing w:val="18"/>
        </w:rPr>
        <w:t>内),但头部人才(尤其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4"/>
        </w:rPr>
        <w:t>是跨界复合型)收入已与互联网、金融接近。</w:t>
      </w:r>
    </w:p>
    <w:p>
      <w:pPr>
        <w:pStyle w:val="BodyText"/>
        <w:ind w:right="105"/>
        <w:spacing w:before="129" w:line="339" w:lineRule="auto"/>
        <w:jc w:val="both"/>
        <w:rPr>
          <w:sz w:val="23"/>
          <w:szCs w:val="23"/>
        </w:rPr>
      </w:pPr>
      <w:r>
        <w:rPr>
          <w:sz w:val="23"/>
          <w:szCs w:val="23"/>
          <w:spacing w:val="10"/>
        </w:rPr>
        <w:t>知识产权保护对中国艺术从业者经济待遇的提升潜力巨大。目前国内音乐、影视、数字艺术等领</w:t>
      </w:r>
      <w:r>
        <w:rPr>
          <w:sz w:val="23"/>
          <w:szCs w:val="23"/>
          <w:spacing w:val="18"/>
        </w:rPr>
        <w:t xml:space="preserve"> </w:t>
      </w:r>
      <w:r>
        <w:rPr>
          <w:sz w:val="23"/>
          <w:szCs w:val="23"/>
          <w:spacing w:val="22"/>
        </w:rPr>
        <w:t>域，创作者实际分成常低于10%-30%,远低于美日韩的70%以上，主要因盗版泛滥与维权成本</w:t>
      </w:r>
      <w:r>
        <w:rPr>
          <w:sz w:val="23"/>
          <w:szCs w:val="23"/>
          <w:spacing w:val="5"/>
        </w:rPr>
        <w:t xml:space="preserve"> </w:t>
      </w:r>
      <w:r>
        <w:rPr>
          <w:sz w:val="23"/>
          <w:szCs w:val="23"/>
          <w:spacing w:val="-2"/>
        </w:rPr>
        <w:t>高。</w:t>
      </w:r>
    </w:p>
    <w:p>
      <w:pPr>
        <w:pStyle w:val="BodyText"/>
        <w:spacing w:line="220" w:lineRule="auto"/>
        <w:rPr>
          <w:sz w:val="23"/>
          <w:szCs w:val="23"/>
        </w:rPr>
      </w:pPr>
      <w:r>
        <w:rPr>
          <w:sz w:val="23"/>
          <w:szCs w:val="23"/>
          <w:spacing w:val="16"/>
        </w:rPr>
        <w:t>文化消费升级(电影票房、文创产品、数字内容付费)正缓慢改变这一局面：</w:t>
      </w:r>
    </w:p>
    <w:p>
      <w:pPr>
        <w:spacing w:line="220" w:lineRule="auto"/>
        <w:sectPr>
          <w:pgSz w:w="12240" w:h="15840"/>
          <w:pgMar w:top="1243" w:right="1054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ind w:left="887"/>
        <w:spacing w:before="48" w:line="222" w:lineRule="auto"/>
        <w:rPr/>
      </w:pPr>
      <w:r>
        <w:pict>
          <v:shape id="_x0000_s2" style="position:absolute;margin-left:46.4652pt;margin-top:236.42pt;mso-position-vertical-relative:page;mso-position-horizontal-relative:page;width:14.15pt;height:79.15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08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2"/>
                    </w:rPr>
                    <w:t>国</w:t>
                  </w:r>
                  <w:r>
                    <w:rPr>
                      <w:sz w:val="21"/>
                      <w:szCs w:val="21"/>
                      <w:spacing w:val="49"/>
                    </w:rPr>
                    <w:t xml:space="preserve"> </w:t>
                  </w:r>
                  <w:r>
                    <w:rPr>
                      <w:sz w:val="21"/>
                      <w:szCs w:val="21"/>
                      <w:b/>
                      <w:bCs/>
                      <w:spacing w:val="2"/>
                    </w:rPr>
                    <w:t>家</w:t>
                  </w:r>
                  <w:r>
                    <w:rPr>
                      <w:sz w:val="21"/>
                      <w:szCs w:val="21"/>
                      <w:spacing w:val="20"/>
                    </w:rPr>
                    <w:t xml:space="preserve">   </w:t>
                  </w:r>
                  <w:r>
                    <w:rPr>
                      <w:sz w:val="21"/>
                      <w:szCs w:val="21"/>
                      <w:spacing w:val="2"/>
                    </w:rPr>
                    <w:t>法</w:t>
                  </w:r>
                  <w:r>
                    <w:rPr>
                      <w:sz w:val="21"/>
                      <w:szCs w:val="21"/>
                      <w:spacing w:val="57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2"/>
                    </w:rPr>
                    <w:t>国</w:t>
                  </w:r>
                </w:p>
              </w:txbxContent>
            </v:textbox>
          </v:shape>
        </w:pict>
      </w:r>
      <w:r>
        <w:rPr>
          <w:spacing w:val="7"/>
        </w:rPr>
        <w:t>·</w:t>
      </w:r>
      <w:r>
        <w:rPr>
          <w:spacing w:val="-81"/>
        </w:rPr>
        <w:t xml:space="preserve"> </w:t>
      </w:r>
      <w:r>
        <w:rPr>
          <w:spacing w:val="7"/>
        </w:rPr>
        <w:t>正版付费意识逐步增强(尤其95后、00后);</w:t>
      </w:r>
    </w:p>
    <w:p>
      <w:pPr>
        <w:pStyle w:val="BodyText"/>
        <w:ind w:left="887"/>
        <w:spacing w:before="270" w:line="213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>·</w:t>
      </w:r>
      <w:r>
        <w:rPr>
          <w:rFonts w:ascii="Times New Roman" w:hAnsi="Times New Roman" w:eastAsia="Times New Roman" w:cs="Times New Roman"/>
          <w:sz w:val="21"/>
          <w:szCs w:val="21"/>
        </w:rPr>
        <w:t>NFT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>/   </w:t>
      </w:r>
      <w:r>
        <w:rPr>
          <w:sz w:val="21"/>
          <w:szCs w:val="21"/>
          <w:spacing w:val="23"/>
        </w:rPr>
        <w:t>区块链技术为数字艺术提供确权与流通新路径；</w:t>
      </w:r>
    </w:p>
    <w:p>
      <w:pPr>
        <w:pStyle w:val="BodyText"/>
        <w:ind w:left="887"/>
        <w:spacing w:before="237" w:line="213" w:lineRule="auto"/>
        <w:rPr>
          <w:sz w:val="21"/>
          <w:szCs w:val="21"/>
        </w:rPr>
      </w:pPr>
      <w:r>
        <w:rPr>
          <w:sz w:val="21"/>
          <w:szCs w:val="21"/>
          <w:spacing w:val="22"/>
        </w:rPr>
        <w:t>·</w:t>
      </w:r>
      <w:r>
        <w:rPr>
          <w:sz w:val="21"/>
          <w:szCs w:val="21"/>
          <w:spacing w:val="-81"/>
        </w:rPr>
        <w:t xml:space="preserve"> </w:t>
      </w:r>
      <w:r>
        <w:rPr>
          <w:sz w:val="21"/>
          <w:szCs w:val="21"/>
          <w:spacing w:val="22"/>
        </w:rPr>
        <w:t>政府推动的“艺术品授权产业”与文创</w:t>
      </w:r>
      <w:r>
        <w:rPr>
          <w:rFonts w:ascii="Times New Roman" w:hAnsi="Times New Roman" w:eastAsia="Times New Roman" w:cs="Times New Roman"/>
          <w:sz w:val="21"/>
          <w:szCs w:val="21"/>
        </w:rPr>
        <w:t>IP</w:t>
      </w:r>
      <w:r>
        <w:rPr>
          <w:sz w:val="21"/>
          <w:szCs w:val="21"/>
          <w:spacing w:val="22"/>
        </w:rPr>
        <w:t>开发，让原创内容通过衍生品、生活化应</w:t>
      </w:r>
      <w:r>
        <w:rPr>
          <w:sz w:val="21"/>
          <w:szCs w:val="21"/>
          <w:spacing w:val="21"/>
        </w:rPr>
        <w:t>用获得持续</w:t>
      </w:r>
    </w:p>
    <w:p>
      <w:pPr>
        <w:pStyle w:val="BodyText"/>
        <w:ind w:left="1017"/>
        <w:spacing w:before="239" w:line="223" w:lineRule="auto"/>
        <w:rPr>
          <w:sz w:val="21"/>
          <w:szCs w:val="21"/>
        </w:rPr>
      </w:pPr>
      <w:r>
        <w:rPr>
          <w:sz w:val="21"/>
          <w:szCs w:val="21"/>
          <w:spacing w:val="15"/>
        </w:rPr>
        <w:t>收益。</w:t>
      </w:r>
    </w:p>
    <w:p>
      <w:pPr>
        <w:pStyle w:val="BodyText"/>
        <w:ind w:left="1017"/>
        <w:spacing w:before="135" w:line="399" w:lineRule="auto"/>
        <w:rPr>
          <w:sz w:val="21"/>
          <w:szCs w:val="21"/>
        </w:rPr>
      </w:pPr>
      <w:r>
        <w:rPr>
          <w:sz w:val="21"/>
          <w:szCs w:val="21"/>
          <w:spacing w:val="29"/>
        </w:rPr>
        <w:t>研究表明，加强版权保护可显著激励原创，预计未来5-</w:t>
      </w:r>
      <w:r>
        <w:rPr>
          <w:sz w:val="21"/>
          <w:szCs w:val="21"/>
          <w:spacing w:val="-55"/>
        </w:rPr>
        <w:t xml:space="preserve"> </w:t>
      </w:r>
      <w:r>
        <w:rPr>
          <w:sz w:val="21"/>
          <w:szCs w:val="21"/>
          <w:spacing w:val="29"/>
        </w:rPr>
        <w:t>10年将逐步缩小与发</w:t>
      </w:r>
      <w:r>
        <w:rPr>
          <w:sz w:val="21"/>
          <w:szCs w:val="21"/>
          <w:spacing w:val="28"/>
        </w:rPr>
        <w:t>达国家的待遇差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5"/>
        </w:rPr>
        <w:t>距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5"/>
        </w:rPr>
        <w:t>。</w:t>
      </w:r>
    </w:p>
    <w:p>
      <w:pPr>
        <w:pStyle w:val="BodyText"/>
        <w:ind w:left="517"/>
        <w:spacing w:before="141" w:line="222" w:lineRule="auto"/>
        <w:rPr>
          <w:sz w:val="21"/>
          <w:szCs w:val="21"/>
        </w:rPr>
      </w:pPr>
      <w:r>
        <w:rPr>
          <w:sz w:val="21"/>
          <w:szCs w:val="21"/>
          <w:spacing w:val="28"/>
        </w:rPr>
        <w:t>各国提升艺术人才社会地位的典型经验可为中国提供重要参考：</w:t>
      </w:r>
    </w:p>
    <w:p>
      <w:pPr>
        <w:spacing w:line="196" w:lineRule="exact"/>
        <w:rPr/>
      </w:pPr>
      <w:r/>
    </w:p>
    <w:p>
      <w:pPr>
        <w:spacing w:line="196" w:lineRule="exact"/>
        <w:sectPr>
          <w:pgSz w:w="12240" w:h="15840"/>
          <w:pgMar w:top="1250" w:right="1087" w:bottom="0" w:left="472" w:header="0" w:footer="0" w:gutter="0"/>
          <w:cols w:equalWidth="0" w:num="1">
            <w:col w:w="10680" w:space="0"/>
          </w:cols>
        </w:sectPr>
        <w:rPr/>
      </w:pPr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核心政策/模式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right="265" w:firstLine="9"/>
        <w:spacing w:before="69" w:line="297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Talent     Passport</w:t>
      </w:r>
      <w:r>
        <w:rPr>
          <w:sz w:val="21"/>
          <w:szCs w:val="21"/>
        </w:rPr>
        <w:t>艺术家签证、国家大规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模文化资助、巴黎艺术生态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5"/>
        </w:rPr>
        <w:t>主要特点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250"/>
        <w:spacing w:before="69" w:line="300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政府主导+高社会尊重，艺术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2"/>
        </w:rPr>
        <w:t>家地位接近“国家瑰宝”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22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对中国的借鉴意义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472"/>
        <w:spacing w:before="68" w:line="296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强化国家资助与签证便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2"/>
        </w:rPr>
        <w:t>利，提升社会认同感</w:t>
      </w:r>
    </w:p>
    <w:p>
      <w:pPr>
        <w:spacing w:line="296" w:lineRule="auto"/>
        <w:sectPr>
          <w:type w:val="continuous"/>
          <w:pgSz w:w="12240" w:h="15840"/>
          <w:pgMar w:top="1250" w:right="1087" w:bottom="0" w:left="472" w:header="0" w:footer="0" w:gutter="0"/>
          <w:cols w:equalWidth="0" w:num="4">
            <w:col w:w="968" w:space="100"/>
            <w:col w:w="3900" w:space="100"/>
            <w:col w:w="2921" w:space="100"/>
            <w:col w:w="2592" w:space="0"/>
          </w:cols>
        </w:sectPr>
        <w:rPr>
          <w:sz w:val="21"/>
          <w:szCs w:val="21"/>
        </w:rPr>
      </w:pPr>
    </w:p>
    <w:tbl>
      <w:tblPr>
        <w:tblStyle w:val="TableNormal"/>
        <w:tblW w:w="10110" w:type="dxa"/>
        <w:tblInd w:w="4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2"/>
        <w:gridCol w:w="4028"/>
        <w:gridCol w:w="2998"/>
        <w:gridCol w:w="2692"/>
      </w:tblGrid>
      <w:tr>
        <w:trPr>
          <w:trHeight w:val="968" w:hRule="atLeast"/>
        </w:trPr>
        <w:tc>
          <w:tcPr>
            <w:tcW w:w="392" w:type="dxa"/>
            <w:vAlign w:val="top"/>
            <w:textDirection w:val="tbRlV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91"/>
              <w:spacing w:before="178" w:line="199" w:lineRule="auto"/>
              <w:rPr/>
            </w:pPr>
            <w:r>
              <w:rPr>
                <w:spacing w:val="3"/>
              </w:rPr>
              <w:t>美</w:t>
            </w:r>
            <w:r>
              <w:rPr>
                <w:spacing w:val="52"/>
              </w:rPr>
              <w:t xml:space="preserve"> </w:t>
            </w:r>
            <w:r>
              <w:rPr>
                <w:spacing w:val="3"/>
              </w:rPr>
              <w:t>国</w:t>
            </w:r>
          </w:p>
        </w:tc>
        <w:tc>
          <w:tcPr>
            <w:tcW w:w="402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8" w:right="137"/>
              <w:spacing w:before="291" w:line="293" w:lineRule="auto"/>
              <w:rPr/>
            </w:pPr>
            <w:r>
              <w:rPr>
                <w:rFonts w:ascii="SimSun" w:hAnsi="SimSun" w:eastAsia="SimSun" w:cs="SimSun"/>
                <w:spacing w:val="-9"/>
              </w:rPr>
              <w:t>O-1</w:t>
            </w:r>
            <w:r>
              <w:rPr>
                <w:spacing w:val="-9"/>
              </w:rPr>
              <w:t>“非凡人才”签证、市场化运作、拍卖</w:t>
            </w:r>
            <w:r>
              <w:rPr>
                <w:spacing w:val="5"/>
              </w:rPr>
              <w:t xml:space="preserve"> </w:t>
            </w:r>
            <w:r>
              <w:rPr>
                <w:spacing w:val="7"/>
              </w:rPr>
              <w:t>行+画廊体系</w:t>
            </w:r>
          </w:p>
        </w:tc>
        <w:tc>
          <w:tcPr>
            <w:tcW w:w="2998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0" w:right="108"/>
              <w:spacing w:before="282" w:line="297" w:lineRule="auto"/>
              <w:rPr/>
            </w:pPr>
            <w:r>
              <w:rPr/>
              <w:t>高度商业化，头部艺术家收入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>极高</w:t>
            </w:r>
          </w:p>
        </w:tc>
        <w:tc>
          <w:tcPr>
            <w:tcW w:w="26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2" w:right="215"/>
              <w:spacing w:before="291" w:line="293" w:lineRule="auto"/>
              <w:rPr/>
            </w:pPr>
            <w:r>
              <w:rPr>
                <w:spacing w:val="-1"/>
              </w:rPr>
              <w:t>推动艺术市场成熟、鼓励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跨界商业化</w:t>
            </w:r>
          </w:p>
        </w:tc>
      </w:tr>
      <w:tr>
        <w:trPr>
          <w:trHeight w:val="589" w:hRule="atLeast"/>
        </w:trPr>
        <w:tc>
          <w:tcPr>
            <w:tcW w:w="3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"/>
              <w:spacing w:before="301" w:line="225" w:lineRule="auto"/>
              <w:rPr/>
            </w:pPr>
            <w:r>
              <w:rPr/>
              <w:t>德</w:t>
            </w:r>
          </w:p>
        </w:tc>
        <w:tc>
          <w:tcPr>
            <w:tcW w:w="40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98"/>
              <w:spacing w:before="301" w:line="223" w:lineRule="auto"/>
              <w:rPr/>
            </w:pPr>
            <w:r>
              <w:rPr>
                <w:spacing w:val="2"/>
              </w:rPr>
              <w:t>蓝卡+职业培训、公共艺术基金</w:t>
            </w:r>
          </w:p>
        </w:tc>
        <w:tc>
          <w:tcPr>
            <w:tcW w:w="29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50"/>
              <w:spacing w:before="299" w:line="222" w:lineRule="auto"/>
              <w:rPr/>
            </w:pPr>
            <w:r>
              <w:rPr>
                <w:spacing w:val="3"/>
              </w:rPr>
              <w:t>稳定福利+职业教育结合</w:t>
            </w:r>
          </w:p>
        </w:tc>
        <w:tc>
          <w:tcPr>
            <w:tcW w:w="26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2"/>
              <w:spacing w:before="298" w:line="221" w:lineRule="auto"/>
              <w:rPr/>
            </w:pPr>
            <w:r>
              <w:rPr>
                <w:spacing w:val="-1"/>
              </w:rPr>
              <w:t>建立长效培训与社会保障</w:t>
            </w:r>
          </w:p>
        </w:tc>
      </w:tr>
      <w:tr>
        <w:trPr>
          <w:trHeight w:val="275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20"/>
              <w:spacing w:before="111" w:line="153" w:lineRule="exact"/>
              <w:rPr/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197217</wp:posOffset>
                  </wp:positionV>
                  <wp:extent cx="133350" cy="6667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3350" cy="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1"/>
              </w:rPr>
              <w:t>国</w:t>
            </w:r>
          </w:p>
        </w:tc>
        <w:tc>
          <w:tcPr>
            <w:tcW w:w="402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98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9"/>
              <w:spacing w:before="83" w:line="16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机</w:t>
            </w:r>
            <w:r>
              <w:rPr>
                <w:sz w:val="20"/>
                <w:szCs w:val="20"/>
                <w:spacing w:val="34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制</w:t>
            </w:r>
          </w:p>
        </w:tc>
      </w:tr>
      <w:tr>
        <w:trPr>
          <w:trHeight w:val="690" w:hRule="atLeast"/>
        </w:trPr>
        <w:tc>
          <w:tcPr>
            <w:tcW w:w="392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"/>
              <w:spacing w:before="68" w:line="224" w:lineRule="auto"/>
              <w:rPr/>
            </w:pPr>
            <w:r>
              <w:rPr/>
              <w:t>韩</w:t>
            </w:r>
          </w:p>
        </w:tc>
        <w:tc>
          <w:tcPr>
            <w:tcW w:w="4028" w:type="dxa"/>
            <w:vAlign w:val="top"/>
            <w:tcBorders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68" w:line="221" w:lineRule="auto"/>
              <w:rPr/>
            </w:pPr>
            <w:r>
              <w:rPr>
                <w:spacing w:val="8"/>
              </w:rPr>
              <w:t>文化出口战略(韩流)、企业孵化+政府</w:t>
            </w:r>
          </w:p>
        </w:tc>
        <w:tc>
          <w:tcPr>
            <w:tcW w:w="2998" w:type="dxa"/>
            <w:vAlign w:val="top"/>
            <w:tcBorders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8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1"/>
              </w:rPr>
              <w:t>政府+财阀双轮驱动，</w:t>
            </w:r>
            <w:r>
              <w:rPr>
                <w:rFonts w:ascii="Times New Roman" w:hAnsi="Times New Roman" w:eastAsia="Times New Roman" w:cs="Times New Roman"/>
                <w:spacing w:val="1"/>
              </w:rPr>
              <w:t>K-</w:t>
            </w:r>
            <w:r>
              <w:rPr>
                <w:rFonts w:ascii="Times New Roman" w:hAnsi="Times New Roman" w:eastAsia="Times New Roman" w:cs="Times New Roman"/>
              </w:rPr>
              <w:t>pop</w:t>
            </w:r>
            <w:r>
              <w:rPr>
                <w:rFonts w:ascii="Times New Roman" w:hAnsi="Times New Roman" w:eastAsia="Times New Roman" w:cs="Times New Roman"/>
                <w:spacing w:val="1"/>
              </w:rPr>
              <w:t>/</w:t>
            </w:r>
          </w:p>
        </w:tc>
        <w:tc>
          <w:tcPr>
            <w:tcW w:w="2692" w:type="dxa"/>
            <w:vAlign w:val="top"/>
            <w:tcBorders>
              <w:top w:val="single" w:color="000000" w:sz="4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68" w:line="221" w:lineRule="auto"/>
              <w:rPr/>
            </w:pPr>
            <w:r>
              <w:rPr>
                <w:spacing w:val="3"/>
              </w:rPr>
              <w:t>艺术+流行文化+国际传播</w:t>
            </w:r>
          </w:p>
        </w:tc>
      </w:tr>
      <w:tr>
        <w:trPr>
          <w:trHeight w:val="372" w:hRule="atLeast"/>
        </w:trPr>
        <w:tc>
          <w:tcPr>
            <w:tcW w:w="39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"/>
              <w:spacing w:before="66" w:line="222" w:lineRule="auto"/>
              <w:rPr/>
            </w:pPr>
            <w:r>
              <w:rPr/>
              <w:t>国</w:t>
            </w:r>
          </w:p>
        </w:tc>
        <w:tc>
          <w:tcPr>
            <w:tcW w:w="402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8"/>
              <w:spacing w:before="66" w:line="222" w:lineRule="auto"/>
              <w:rPr/>
            </w:pPr>
            <w:r>
              <w:rPr>
                <w:spacing w:val="-2"/>
              </w:rPr>
              <w:t>补贴</w:t>
            </w:r>
          </w:p>
        </w:tc>
        <w:tc>
          <w:tcPr>
            <w:tcW w:w="299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0"/>
              <w:spacing w:before="65" w:line="222" w:lineRule="auto"/>
              <w:rPr/>
            </w:pPr>
            <w:r>
              <w:rPr>
                <w:spacing w:val="-2"/>
              </w:rPr>
              <w:t>韩剧全球影响力</w:t>
            </w:r>
          </w:p>
        </w:tc>
        <w:tc>
          <w:tcPr>
            <w:tcW w:w="269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72"/>
              <w:spacing w:before="67" w:line="223" w:lineRule="auto"/>
              <w:rPr/>
            </w:pPr>
            <w:r>
              <w:rPr>
                <w:spacing w:val="2"/>
              </w:rPr>
              <w:t>的组合拳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35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35" w:lineRule="auto"/>
        <w:sectPr>
          <w:type w:val="continuous"/>
          <w:pgSz w:w="12240" w:h="15840"/>
          <w:pgMar w:top="1250" w:right="1087" w:bottom="0" w:left="472" w:header="0" w:footer="0" w:gutter="0"/>
          <w:cols w:equalWidth="0" w:num="1">
            <w:col w:w="1068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517" w:right="1041"/>
        <w:spacing w:before="42" w:line="313" w:lineRule="auto"/>
        <w:rPr>
          <w:sz w:val="21"/>
          <w:szCs w:val="21"/>
        </w:rPr>
      </w:pPr>
      <w:r>
        <w:rPr>
          <w:sz w:val="21"/>
          <w:szCs w:val="21"/>
        </w:rPr>
        <w:t>日</w:t>
      </w:r>
      <w:r>
        <w:rPr>
          <w:sz w:val="21"/>
          <w:szCs w:val="21"/>
          <w:spacing w:val="15"/>
        </w:rPr>
        <w:t xml:space="preserve">   </w:t>
      </w:r>
      <w:r>
        <w:rPr>
          <w:sz w:val="21"/>
          <w:szCs w:val="21"/>
        </w:rPr>
        <w:t>传统工艺保护+动漫游戏产业化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本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6"/>
        <w:spacing w:before="42" w:line="316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传承与现代产业并重，国民高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度尊重匠人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95"/>
        <w:spacing w:before="42" w:line="316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重视传统与新兴融合，构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2"/>
        </w:rPr>
        <w:t>建国民审美共识</w:t>
      </w:r>
    </w:p>
    <w:p>
      <w:pPr>
        <w:spacing w:line="316" w:lineRule="auto"/>
        <w:sectPr>
          <w:type w:val="continuous"/>
          <w:pgSz w:w="12240" w:h="15840"/>
          <w:pgMar w:top="1250" w:right="1087" w:bottom="0" w:left="472" w:header="0" w:footer="0" w:gutter="0"/>
          <w:cols w:equalWidth="0" w:num="3">
            <w:col w:w="4968" w:space="100"/>
            <w:col w:w="2921" w:space="100"/>
            <w:col w:w="2592" w:space="0"/>
          </w:cols>
        </w:sectPr>
        <w:rPr>
          <w:sz w:val="21"/>
          <w:szCs w:val="21"/>
        </w:rPr>
      </w:pP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517" w:right="52"/>
        <w:spacing w:before="69" w:line="391" w:lineRule="auto"/>
        <w:jc w:val="both"/>
        <w:rPr>
          <w:sz w:val="21"/>
          <w:szCs w:val="21"/>
        </w:rPr>
      </w:pPr>
      <w:r>
        <w:rPr>
          <w:sz w:val="21"/>
          <w:szCs w:val="21"/>
          <w:spacing w:val="31"/>
        </w:rPr>
        <w:t>总体而言，中国艺术生突破传统限制的关键在于主动拥抱科技与</w:t>
      </w:r>
      <w:r>
        <w:rPr>
          <w:sz w:val="21"/>
          <w:szCs w:val="21"/>
          <w:spacing w:val="30"/>
        </w:rPr>
        <w:t>市场，同时期待知识产权环境持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25"/>
        </w:rPr>
        <w:t>续优化与社会审美教育普及。未来5年，真正具备“艺术+技术+商业”复合能力的人才，将迎来黄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25"/>
        </w:rPr>
        <w:t>金发展期。</w:t>
      </w:r>
    </w:p>
    <w:p>
      <w:pPr>
        <w:ind w:left="517"/>
        <w:spacing w:before="88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Key Citations</w:t>
      </w:r>
    </w:p>
    <w:p>
      <w:pPr>
        <w:spacing w:line="198" w:lineRule="auto"/>
        <w:sectPr>
          <w:type w:val="continuous"/>
          <w:pgSz w:w="12240" w:h="15840"/>
          <w:pgMar w:top="1250" w:right="1087" w:bottom="0" w:left="472" w:header="0" w:footer="0" w:gutter="0"/>
          <w:cols w:equalWidth="0" w:num="1">
            <w:col w:w="10680" w:space="0"/>
          </w:cols>
        </w:sectPr>
        <w:rPr>
          <w:rFonts w:ascii="Arial" w:hAnsi="Arial" w:eastAsia="Arial" w:cs="Arial"/>
          <w:sz w:val="24"/>
          <w:szCs w:val="24"/>
        </w:rPr>
      </w:pPr>
    </w:p>
    <w:p>
      <w:pPr>
        <w:pStyle w:val="BodyText"/>
        <w:spacing w:before="48" w:line="221" w:lineRule="auto"/>
        <w:rPr>
          <w:rFonts w:ascii="SimSun" w:hAnsi="SimSun" w:eastAsia="SimSun" w:cs="SimSun"/>
        </w:rPr>
      </w:pPr>
      <w:r>
        <w:rPr>
          <w:spacing w:val="6"/>
        </w:rPr>
        <w:t>·</w:t>
      </w:r>
      <w:r>
        <w:rPr>
          <w:spacing w:val="-99"/>
        </w:rPr>
        <w:t xml:space="preserve"> </w:t>
      </w:r>
      <w:r>
        <w:rPr>
          <w:spacing w:val="6"/>
        </w:rPr>
        <w:t>2025年艺术生就业方向解析-</w:t>
      </w:r>
      <w:r>
        <w:rPr>
          <w:rFonts w:ascii="SimSun" w:hAnsi="SimSun" w:eastAsia="SimSun" w:cs="SimSun"/>
        </w:rPr>
        <w:t>achcn</w:t>
      </w:r>
      <w:r>
        <w:rPr>
          <w:rFonts w:ascii="SimSun" w:hAnsi="SimSun" w:eastAsia="SimSun" w:cs="SimSun"/>
          <w:spacing w:val="6"/>
        </w:rPr>
        <w:t>.</w:t>
      </w:r>
      <w:r>
        <w:rPr>
          <w:rFonts w:ascii="SimSun" w:hAnsi="SimSun" w:eastAsia="SimSun" w:cs="SimSun"/>
        </w:rPr>
        <w:t>com</w:t>
      </w:r>
    </w:p>
    <w:p>
      <w:pPr>
        <w:pStyle w:val="BodyText"/>
        <w:spacing w:before="292" w:line="221" w:lineRule="auto"/>
        <w:rPr/>
      </w:pPr>
      <w:r>
        <w:rPr>
          <w:spacing w:val="3"/>
        </w:rPr>
        <w:t>·</w:t>
      </w:r>
      <w:r>
        <w:rPr>
          <w:spacing w:val="-66"/>
        </w:rPr>
        <w:t xml:space="preserve"> </w:t>
      </w:r>
      <w:r>
        <w:rPr>
          <w:spacing w:val="3"/>
        </w:rPr>
        <w:t>中国美术学院2023-2024届毕业生就业质量报告</w:t>
      </w:r>
    </w:p>
    <w:p>
      <w:pPr>
        <w:pStyle w:val="BodyText"/>
        <w:spacing w:before="242" w:line="221" w:lineRule="auto"/>
        <w:rPr>
          <w:rFonts w:ascii="Times New Roman" w:hAnsi="Times New Roman" w:eastAsia="Times New Roman" w:cs="Times New Roman"/>
        </w:rPr>
      </w:pPr>
      <w:r>
        <w:rPr>
          <w:spacing w:val="-1"/>
        </w:rPr>
        <w:t>·</w:t>
      </w:r>
      <w:r>
        <w:rPr>
          <w:spacing w:val="-96"/>
        </w:rPr>
        <w:t xml:space="preserve"> </w:t>
      </w:r>
      <w:r>
        <w:rPr>
          <w:spacing w:val="-1"/>
        </w:rPr>
        <w:t>元宇宙艺术：数字时代的创作与审美革命-</w:t>
      </w:r>
      <w:r>
        <w:rPr>
          <w:rFonts w:ascii="Times New Roman" w:hAnsi="Times New Roman" w:eastAsia="Times New Roman" w:cs="Times New Roman"/>
          <w:spacing w:val="-1"/>
        </w:rPr>
        <w:t>CSDN</w:t>
      </w:r>
    </w:p>
    <w:p>
      <w:pPr>
        <w:pStyle w:val="BodyText"/>
        <w:spacing w:before="263" w:line="222" w:lineRule="auto"/>
        <w:rPr/>
      </w:pPr>
      <w:r>
        <w:rPr>
          <w:spacing w:val="3"/>
        </w:rPr>
        <w:t>·</w:t>
      </w:r>
      <w:r>
        <w:rPr>
          <w:spacing w:val="-93"/>
        </w:rPr>
        <w:t xml:space="preserve"> </w:t>
      </w:r>
      <w:r>
        <w:rPr>
          <w:spacing w:val="3"/>
        </w:rPr>
        <w:t>知识产权保护对中国艺术从业者收入影响相关分析-求是网/人民论坛</w:t>
      </w:r>
    </w:p>
    <w:p>
      <w:pPr>
        <w:pStyle w:val="BodyText"/>
        <w:spacing w:before="241" w:line="222" w:lineRule="auto"/>
        <w:rPr/>
      </w:pPr>
      <w:r>
        <w:rPr>
          <w:spacing w:val="1"/>
        </w:rPr>
        <w:t>·各国艺术家移民与文化政策-亚太环球移民专题</w:t>
      </w:r>
    </w:p>
    <w:p>
      <w:pPr>
        <w:pStyle w:val="BodyText"/>
        <w:spacing w:before="241" w:line="221" w:lineRule="auto"/>
        <w:rPr>
          <w:rFonts w:ascii="SimSun" w:hAnsi="SimSun" w:eastAsia="SimSun" w:cs="SimSun"/>
        </w:rPr>
      </w:pPr>
      <w:r>
        <w:rPr>
          <w:spacing w:val="2"/>
        </w:rPr>
        <w:t>·2025年数字艺术赋能文旅艺术行业大学生就业创业系列活动-</w:t>
      </w:r>
      <w:r>
        <w:rPr>
          <w:spacing w:val="-43"/>
        </w:rPr>
        <w:t xml:space="preserve"> </w:t>
      </w:r>
      <w:r>
        <w:rPr>
          <w:rFonts w:ascii="SimSun" w:hAnsi="SimSun" w:eastAsia="SimSun" w:cs="SimSun"/>
        </w:rPr>
        <w:t>chinanews</w:t>
      </w:r>
      <w:r>
        <w:rPr>
          <w:rFonts w:ascii="SimSun" w:hAnsi="SimSun" w:eastAsia="SimSun" w:cs="SimSun"/>
          <w:spacing w:val="2"/>
        </w:rPr>
        <w:t>.</w:t>
      </w:r>
      <w:r>
        <w:rPr>
          <w:rFonts w:ascii="SimSun" w:hAnsi="SimSun" w:eastAsia="SimSun" w:cs="SimSun"/>
        </w:rPr>
        <w:t>com</w:t>
      </w:r>
    </w:p>
    <w:p>
      <w:pPr>
        <w:pStyle w:val="BodyText"/>
        <w:spacing w:before="263" w:line="221" w:lineRule="auto"/>
        <w:rPr/>
      </w:pPr>
      <w:r>
        <w:rPr>
          <w:spacing w:val="14"/>
        </w:rPr>
        <w:t>·</w:t>
      </w:r>
      <w:r>
        <w:rPr>
          <w:spacing w:val="-87"/>
        </w:rPr>
        <w:t xml:space="preserve"> </w:t>
      </w:r>
      <w:r>
        <w:rPr>
          <w:spacing w:val="14"/>
        </w:rPr>
        <w:t>新增艺术类专业目录(2025)-教育部相关报道</w:t>
      </w:r>
    </w:p>
    <w:sectPr>
      <w:pgSz w:w="12240" w:h="15840"/>
      <w:pgMar w:top="1209" w:right="1836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2026-03-15T23:59:50</vt:filetime>
  </property>
  <property fmtid="{D5CDD505-2E9C-101B-9397-08002B2CF9AE}" pid="4" name="UsrData">
    <vt:lpwstr>69b6d7749aafeb0020194fa6wl</vt:lpwstr>
  </property>
</Properties>
</file>