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C05FB">
      <w:pPr>
        <w:spacing w:after="400" w:line="400" w:lineRule="atLeast"/>
      </w:pPr>
      <w:bookmarkStart w:id="0" w:name="_GoBack"/>
      <w:bookmarkEnd w:id="0"/>
      <w:r>
        <w:rPr>
          <w:b/>
        </w:rPr>
        <w:t>报告密级：内部参考</w:t>
      </w:r>
    </w:p>
    <w:p w14:paraId="248F5EA0">
      <w:pPr>
        <w:spacing w:after="400" w:line="400" w:lineRule="atLeast"/>
      </w:pPr>
      <w:r>
        <w:rPr>
          <w:b/>
        </w:rPr>
        <w:t>签发单位：</w:t>
      </w:r>
      <w:r>
        <w:t>[文化政策战略研究院]</w:t>
      </w:r>
    </w:p>
    <w:p w14:paraId="6AABCDED">
      <w:pPr>
        <w:spacing w:after="400" w:line="400" w:lineRule="atLeast"/>
      </w:pPr>
      <w:r>
        <w:rPr>
          <w:b/>
        </w:rPr>
        <w:t>签发日期：2026年1月11日</w:t>
      </w:r>
    </w:p>
    <w:p w14:paraId="60483590">
      <w:pPr>
        <w:spacing w:after="400" w:line="400" w:lineRule="atLeast"/>
      </w:pPr>
      <w:r>
        <w:rPr>
          <w:b/>
        </w:rPr>
        <w:t>报告编号：CP-SRI-2026-001</w:t>
      </w:r>
    </w:p>
    <w:p w14:paraId="1507570F">
      <w:pPr>
        <w:spacing w:after="400" w:line="400" w:lineRule="atLeast"/>
      </w:pPr>
      <w:r>
        <w:rPr>
          <w:b/>
          <w:sz w:val="30"/>
        </w:rPr>
        <w:t>关于我国艺术人才多元化发展与生态构建的战略咨询报告</w:t>
      </w:r>
    </w:p>
    <w:p w14:paraId="120552CF">
      <w:pPr>
        <w:spacing w:after="400" w:line="400" w:lineRule="atLeast"/>
      </w:pPr>
      <w:r>
        <w:rPr>
          <w:b/>
          <w:sz w:val="26"/>
        </w:rPr>
        <w:t>执行摘要</w:t>
      </w:r>
    </w:p>
    <w:p w14:paraId="6B86FE2D">
      <w:pPr>
        <w:spacing w:after="400" w:line="400" w:lineRule="atLeast"/>
      </w:pPr>
      <w:r>
        <w:t>本报告旨在系统性地分析当前我国艺术人才发展所面临的结构性挑战与历史性机遇，并为构建一个更具韧性、活力和包容性的艺术人才生态系统提供战略性政策建议。当前，在全球创意经济格局重塑和我国推进文化强国战略的宏大背景下，传统艺术人才的培养模式与职业路径已难以完全适应新质生产力发展的要求。艺术人才的价值实现路径呈现出“出口狭窄”与“转化不畅”的双重困境。</w:t>
      </w:r>
    </w:p>
    <w:p w14:paraId="62F7440A">
      <w:pPr>
        <w:spacing w:after="400" w:line="400" w:lineRule="atLeast"/>
      </w:pPr>
      <w:r>
        <w:rPr>
          <w:b/>
        </w:rPr>
        <w:t>核心发现：</w:t>
      </w:r>
    </w:p>
    <w:p w14:paraId="718C65E4">
      <w:pPr>
        <w:numPr>
          <w:ilvl w:val="0"/>
          <w:numId w:val="1"/>
        </w:numPr>
        <w:spacing w:after="400" w:line="400" w:lineRule="atLeast"/>
      </w:pPr>
      <w:r>
        <w:rPr>
          <w:b/>
        </w:rPr>
        <w:t>职业路径的范式转移：</w:t>
      </w:r>
      <w:r>
        <w:t xml:space="preserve"> 艺术人才的职业发展正从传统的“精深型”路径，向“艺术+”的跨界融合路径大规模迁移。本报告构建了**“领域融合度-技能需求复合度”二维矩阵**，系统性地划分出四类多元化职业路径：</w:t>
      </w:r>
      <w:r>
        <w:rPr>
          <w:b/>
        </w:rPr>
        <w:t>“核心固守型”、“领域深耕型”、“技能拓展型”与“跨界融合型”</w:t>
      </w:r>
      <w:r>
        <w:t>，其中“跨界融合型”人才（如AIGC艺术家、沉浸式体验设计师）已成为驱动文化产业价值创新的关键力量。</w:t>
      </w:r>
    </w:p>
    <w:p w14:paraId="25EB4AFE">
      <w:pPr>
        <w:numPr>
          <w:ilvl w:val="0"/>
          <w:numId w:val="1"/>
        </w:numPr>
        <w:spacing w:after="400" w:line="400" w:lineRule="atLeast"/>
      </w:pPr>
      <w:r>
        <w:rPr>
          <w:b/>
        </w:rPr>
        <w:t>社会评价体系的二元影响：</w:t>
      </w:r>
      <w:r>
        <w:t xml:space="preserve"> 以学历、奖项、机构声誉为代表的传统评价体系，与以社交媒体流量、市场热度为核心的新兴评价体系，共同作用于艺术人才的市场境遇。本报告绘制的**“社会评价体系影响艺术人才收入水平的传导机制流程图”**揭示了，该体系通过“信号释放”影响机构认可与市场认知，最终决定人才的市场议价能力，但也可能存在放大“马太效应”与抑制创新活力的潜在风险。</w:t>
      </w:r>
    </w:p>
    <w:p w14:paraId="31839E76">
      <w:pPr>
        <w:numPr>
          <w:ilvl w:val="0"/>
          <w:numId w:val="1"/>
        </w:numPr>
        <w:spacing w:after="400" w:line="400" w:lineRule="atLeast"/>
      </w:pPr>
      <w:r>
        <w:rPr>
          <w:b/>
        </w:rPr>
        <w:t>宏观环境的结构性利好：</w:t>
      </w:r>
      <w:r>
        <w:t xml:space="preserve"> 我国持续强化的知识产权保护体系与不断升级的文化消费市场，正共同构成推动艺术人才价值实现的关键外部动能。据世界知识产权组织(WIPO)数据显示，近年来中国在全球创新指数中的排名稳步上升，这为艺术创意的知识产权固化与市场转化提供了坚实基础。</w:t>
      </w:r>
    </w:p>
    <w:p w14:paraId="42652378">
      <w:pPr>
        <w:numPr>
          <w:ilvl w:val="0"/>
          <w:numId w:val="1"/>
        </w:numPr>
        <w:spacing w:after="400" w:line="400" w:lineRule="atLeast"/>
      </w:pPr>
      <w:r>
        <w:rPr>
          <w:b/>
        </w:rPr>
        <w:t>国际经验的镜鉴价值：</w:t>
      </w:r>
      <w:r>
        <w:t xml:space="preserve"> 对法国和韩国的比较研究表明，系统性的国家支持是艺术人才生态健康发展的“压舱石”。法国以国家主导、中央与地方协同的模式，构建了覆盖创作、教育、传播全链条的扶持体系。韩国则通过《艺术家福利法》等立法先行的方式，为艺术从业者提供了坚实的社会保障“安全网”。</w:t>
      </w:r>
    </w:p>
    <w:p w14:paraId="603C21A7">
      <w:pPr>
        <w:spacing w:after="400" w:line="400" w:lineRule="atLeast"/>
      </w:pPr>
      <w:r>
        <w:rPr>
          <w:b/>
        </w:rPr>
        <w:t>核心政策建议：</w:t>
      </w:r>
    </w:p>
    <w:p w14:paraId="1DB9A1C8">
      <w:pPr>
        <w:spacing w:after="400" w:line="400" w:lineRule="atLeast"/>
      </w:pPr>
      <w:r>
        <w:t>本报告提出构建**“雨林式”艺术人才发展生态**的总体战略目标，并围绕“人才-产业-社会”协同发展的核心思路，建议从四个方面系统施策：</w:t>
      </w:r>
    </w:p>
    <w:p w14:paraId="7D7B8CBF">
      <w:pPr>
        <w:numPr>
          <w:ilvl w:val="0"/>
          <w:numId w:val="2"/>
        </w:numPr>
        <w:spacing w:after="400" w:line="400" w:lineRule="atLeast"/>
      </w:pPr>
      <w:r>
        <w:rPr>
          <w:b/>
        </w:rPr>
        <w:t>教育端：</w:t>
      </w:r>
      <w:r>
        <w:t xml:space="preserve"> 推动艺术院校设立跨学科“微专业”或“交叉学位”，构建人才培养“立交桥”。</w:t>
      </w:r>
    </w:p>
    <w:p w14:paraId="3BAF10F3">
      <w:pPr>
        <w:numPr>
          <w:ilvl w:val="0"/>
          <w:numId w:val="2"/>
        </w:numPr>
        <w:spacing w:after="400" w:line="400" w:lineRule="atLeast"/>
      </w:pPr>
      <w:r>
        <w:rPr>
          <w:b/>
        </w:rPr>
        <w:t>产业端：</w:t>
      </w:r>
      <w:r>
        <w:t xml:space="preserve"> 设立国家级“艺术+科技”融合创新基金，鼓励中小微文化企业吸纳艺术人才，疏通价值转化“毛细血管”。</w:t>
      </w:r>
    </w:p>
    <w:p w14:paraId="22A48A18">
      <w:pPr>
        <w:numPr>
          <w:ilvl w:val="0"/>
          <w:numId w:val="2"/>
        </w:numPr>
        <w:spacing w:after="400" w:line="400" w:lineRule="atLeast"/>
      </w:pPr>
      <w:r>
        <w:rPr>
          <w:b/>
        </w:rPr>
        <w:t>保障端：</w:t>
      </w:r>
      <w:r>
        <w:t xml:space="preserve"> 借鉴国际经验，探索建立针对自由职业艺术家的社会保险补充机制与法律援助服务，织密社会性“安全网”。</w:t>
      </w:r>
    </w:p>
    <w:p w14:paraId="4B0C4322">
      <w:pPr>
        <w:numPr>
          <w:ilvl w:val="0"/>
          <w:numId w:val="2"/>
        </w:numPr>
        <w:spacing w:after="400" w:line="400" w:lineRule="atLeast"/>
      </w:pPr>
      <w:r>
        <w:rPr>
          <w:b/>
        </w:rPr>
        <w:t>评价端：</w:t>
      </w:r>
      <w:r>
        <w:t xml:space="preserve"> 在国家级艺术基金、人才计划的评审中，引入市场转化、社会影响力、跨界创新等多维度评价指标，建立多元价值“度量衡”。</w:t>
      </w:r>
    </w:p>
    <w:p w14:paraId="11D04DB5">
      <w:pPr>
        <w:spacing w:after="400" w:line="400" w:lineRule="atLeast"/>
      </w:pPr>
      <w:r>
        <w:t>最终，本报告认为，优化艺术人才生态不仅是文化领域的内部议题，更是深度赋能**“文化强国战略”、“数字经济国家战略”及“人才强国战略”**的战略支点。通过前瞻性、系统性的政策布局，有望将我国庞大的人才“蓄水池”转化为驱动国家创新发展的强大动能。</w:t>
      </w:r>
    </w:p>
    <w:p w14:paraId="00FC8A77">
      <w:pPr>
        <w:spacing w:after="400" w:line="400" w:lineRule="atLeast"/>
      </w:pPr>
      <w:r>
        <w:rPr>
          <w:b/>
          <w:sz w:val="30"/>
        </w:rPr>
        <w:t>一、 问题提出与文献述评</w:t>
      </w:r>
    </w:p>
    <w:p w14:paraId="5E4914D1">
      <w:pPr>
        <w:spacing w:after="400" w:line="400" w:lineRule="atLeast"/>
      </w:pPr>
      <w:r>
        <w:rPr>
          <w:b/>
          <w:sz w:val="26"/>
        </w:rPr>
        <w:t>(一) 时代背景：新质生产力与文化强国战略下的新要求</w:t>
      </w:r>
    </w:p>
    <w:p w14:paraId="7E45B5A7">
      <w:pPr>
        <w:spacing w:after="400" w:line="400" w:lineRule="atLeast"/>
      </w:pPr>
      <w:r>
        <w:t>当前，我们正处在一个以数字化、智能化为核心特征的全球产业变革时代。党的二十大报告明确提出“加快建设社会主义文化强国”的宏伟目标，而“新质生产力”概念的提出，更是为文化领域的创新发展指明了方向。据</w:t>
      </w:r>
      <w:r>
        <w:rPr>
          <w:b/>
        </w:rPr>
        <w:t>中国文化和旅游部发展规划司</w:t>
      </w:r>
      <w:r>
        <w:t>的分析，文化产业作为新质生产力的重要组成部分，其核心驱动力源于科技创新与创意人才的深度融合。在此背景下，艺术人才作为文化创意产业价值链的源头和核心，其培养模式、发展路径及生态环境，已成为决定我国文化软实力与产业竞争力的关键变量。</w:t>
      </w:r>
    </w:p>
    <w:p w14:paraId="0E53F663">
      <w:pPr>
        <w:spacing w:after="400" w:line="400" w:lineRule="atLeast"/>
      </w:pPr>
      <w:r>
        <w:t>然而，传统的艺术人才发展路径，即从艺术院校到专业院团、画廊或体制内创作机构的线性模式，正面临深刻挑战。一方面，数字技术（如人工智能生成内容AIGC、虚拟现实VR）正在重塑艺术创作的边界与形态；另一方面，社会经济结构转型催生了大量跨界、融合的新兴文化业态。据</w:t>
      </w:r>
      <w:r>
        <w:rPr>
          <w:b/>
        </w:rPr>
        <w:t>麦肯锡全球研究院分析表明</w:t>
      </w:r>
      <w:r>
        <w:t>，未来全球劳动力市场对创造力、复杂问题解决能力和跨学科协作能力的需求将显著增长。这预示着，社会对艺术人才的需求不再局限于单一的审美创作能力，而是转向了具备“艺术思维+技术能力+商业认知”的复合型人才。因此，审视并重构我国艺术人才的多元化发展路径与生态体系，已成为一项具有紧迫性的战略议题。</w:t>
      </w:r>
    </w:p>
    <w:p w14:paraId="68891279">
      <w:pPr>
        <w:spacing w:after="400" w:line="400" w:lineRule="atLeast"/>
      </w:pPr>
      <w:r>
        <w:rPr>
          <w:b/>
          <w:sz w:val="26"/>
        </w:rPr>
        <w:t>(二) 核心问题：艺术人才“蓄水池”与“价值转化”的结构性失衡</w:t>
      </w:r>
    </w:p>
    <w:p w14:paraId="7744EC68">
      <w:pPr>
        <w:spacing w:after="400" w:line="400" w:lineRule="atLeast"/>
      </w:pPr>
      <w:r>
        <w:t>我国拥有全球规模最大的艺术教育体系，每年培养数十万艺术类毕业生，形成了一个庞大的“人才蓄水池”。然而，这一“蓄水池”与市场需求之间，似乎存在着显著的结构性失衡，主要体现在以下两个层面：</w:t>
      </w:r>
    </w:p>
    <w:p w14:paraId="0CD9026A">
      <w:pPr>
        <w:numPr>
          <w:ilvl w:val="0"/>
          <w:numId w:val="3"/>
        </w:numPr>
        <w:spacing w:after="400" w:line="400" w:lineRule="atLeast"/>
      </w:pPr>
      <w:r>
        <w:rPr>
          <w:b/>
        </w:rPr>
        <w:t>供给与需求的错配：</w:t>
      </w:r>
      <w:r>
        <w:t xml:space="preserve"> 传统艺术教育体系的课程设置与教学方法，在一定程度上仍存在路径依赖，侧重于精深的专业技能训练，而对跨学科知识、数字媒介素养、创新创业能力的培养相对不足。这导致部分毕业生在面对“艺术+科技”、“艺术+消费”等新兴市场时，出现“本领恐慌”，难以快速适应。</w:t>
      </w:r>
    </w:p>
    <w:p w14:paraId="020381F8">
      <w:pPr>
        <w:numPr>
          <w:ilvl w:val="0"/>
          <w:numId w:val="3"/>
        </w:numPr>
        <w:spacing w:after="400" w:line="400" w:lineRule="atLeast"/>
      </w:pPr>
      <w:r>
        <w:rPr>
          <w:b/>
        </w:rPr>
        <w:t>价值转化的梗阻：</w:t>
      </w:r>
      <w:r>
        <w:t xml:space="preserve"> 艺术人才的价值实现过程，即从创意到作品，再到商品和市场价值的过程，面临诸多“堵点”。本报告将此过程定义为**“艺术人才价值转化漏斗（Artistic Talent Value Conversion Funnel）”**。</w:t>
      </w:r>
    </w:p>
    <w:p w14:paraId="37A08642">
      <w:pPr>
        <w:spacing w:after="400" w:line="400" w:lineRule="atLeast"/>
      </w:pPr>
      <w:r>
        <w:rPr>
          <w:b/>
        </w:rPr>
        <w:t>本报告所称“艺术人才价值转化漏斗”，指从创作端到市场端的四阶段模型：创意生成(IDEATION)-知识产权固化(IP FIXATION)-市场触达(MARKET REACH)-价值变现(MONETIZATION)。</w:t>
      </w:r>
    </w:p>
    <w:p w14:paraId="39615975">
      <w:pPr>
        <w:spacing w:after="400" w:line="400" w:lineRule="atLeast"/>
      </w:pPr>
      <w:r>
        <w:t>当前，大量艺术人才的创意停留在IDEATION阶段，或在IP FIXATION阶段因缺乏法律知识与保护手段而流失，更在MARKET REACH与MONETIZATION阶段因缺少市场渠道、商业运作能力和资本支持而受阻。这种转化效率的低下，不仅造成了巨大的人才资源浪费，也制约了整个文化产业的创新活力。</w:t>
      </w:r>
    </w:p>
    <w:p w14:paraId="3AE6A42F">
      <w:pPr>
        <w:spacing w:after="400" w:line="400" w:lineRule="atLeast"/>
      </w:pPr>
      <w:r>
        <w:rPr>
          <w:b/>
          <w:sz w:val="26"/>
        </w:rPr>
        <w:t>(三) 文献述评与概念界定</w:t>
      </w:r>
    </w:p>
    <w:p w14:paraId="54A4814E">
      <w:pPr>
        <w:spacing w:after="400" w:line="400" w:lineRule="atLeast"/>
      </w:pPr>
      <w:r>
        <w:t>学术界对于艺术人才的研究，已从传统的艺术家社会学、艺术教育学，逐步拓展至文化经济学、创新管理学等领域。早期研究多聚焦于艺术家的创作心理、职业身份认同等本体性问题。近年来，随着创意经济理论的兴起，学者们开始关注艺术人才在产业集群、城市发展和经济增长中的作用。然而，既有研究多为领域内的垂直分析，对于艺术人才跨界流动、多元化职业路径的系统性研究尚显不足。特别是缺乏一个能够清晰描绘和分类新兴职业路径的分析框架。</w:t>
      </w:r>
    </w:p>
    <w:p w14:paraId="4885E64F">
      <w:pPr>
        <w:spacing w:after="400" w:line="400" w:lineRule="atLeast"/>
      </w:pPr>
      <w:r>
        <w:t>为深化本报告的分析，我们在此对几个核心术语进行界定：</w:t>
      </w:r>
    </w:p>
    <w:p w14:paraId="4D489B31">
      <w:pPr>
        <w:numPr>
          <w:ilvl w:val="0"/>
          <w:numId w:val="4"/>
        </w:numPr>
        <w:spacing w:after="400" w:line="400" w:lineRule="atLeast"/>
      </w:pPr>
      <w:r>
        <w:rPr>
          <w:b/>
        </w:rPr>
        <w:t>艺术人才生态位（Ecological Niche of Artistic Talent）：</w:t>
      </w:r>
      <w:r>
        <w:t xml:space="preserve"> 借用生态学概念，指特定艺术人才（或群体）在整个文化产业生态系统中所占据的位置、所扮演的功能角色，以及其与环境（市场、政策、技术等）相互作用关系的集合。一个健康的生态系统，应包含丰富多样、相互依存的生态位。</w:t>
      </w:r>
    </w:p>
    <w:p w14:paraId="3F49DF9B">
      <w:pPr>
        <w:numPr>
          <w:ilvl w:val="0"/>
          <w:numId w:val="4"/>
        </w:numPr>
        <w:spacing w:after="400" w:line="400" w:lineRule="atLeast"/>
      </w:pPr>
      <w:r>
        <w:rPr>
          <w:b/>
        </w:rPr>
        <w:t>跨界融合（Cross-border Integration）：</w:t>
      </w:r>
      <w:r>
        <w:t xml:space="preserve"> 指艺术人才将其核心艺术能力与其他学科知识、产业领域、技术工具进行深度结合，从而催生新产品、新服务、新业态的动态过程。它不仅是知识的叠加，更是思维范式的重构与价值创造模式的革新。</w:t>
      </w:r>
    </w:p>
    <w:p w14:paraId="320F5D9B">
      <w:pPr>
        <w:numPr>
          <w:ilvl w:val="0"/>
          <w:numId w:val="4"/>
        </w:numPr>
        <w:spacing w:after="400" w:line="400" w:lineRule="atLeast"/>
      </w:pPr>
      <w:r>
        <w:rPr>
          <w:b/>
        </w:rPr>
        <w:t>社会评价资本（Social Evaluation Capital）：</w:t>
      </w:r>
      <w:r>
        <w:t xml:space="preserve"> 指艺术人才所拥有的、能够被社会和市场识别并赋予价值的非物质资本，包括学历背景、权威奖项、机构认证、业界声誉、媒体曝光度及社交网络影响力等。它是人才获得资源与机会的重要“信号”。</w:t>
      </w:r>
    </w:p>
    <w:p w14:paraId="342112C3">
      <w:pPr>
        <w:spacing w:after="400" w:line="400" w:lineRule="atLeast"/>
      </w:pPr>
      <w:r>
        <w:t>基于上述背景与概念，本报告将从多维视角深入剖析影响艺术人才多元化发展的关键因素，并通过国际比较，最终提出一套旨在构建健康、可持续艺术人才生态的战略框架与政策建议。</w:t>
      </w:r>
    </w:p>
    <w:p w14:paraId="38B04726">
      <w:pPr>
        <w:spacing w:after="400" w:line="400" w:lineRule="atLeast"/>
      </w:pPr>
      <w:r>
        <w:rPr>
          <w:b/>
          <w:sz w:val="30"/>
        </w:rPr>
        <w:t>二、 多维分析：艺术人才多元化发展的内外部环境审视</w:t>
      </w:r>
    </w:p>
    <w:p w14:paraId="45C0C198">
      <w:pPr>
        <w:spacing w:after="400" w:line="400" w:lineRule="atLeast"/>
      </w:pPr>
      <w:r>
        <w:rPr>
          <w:b/>
          <w:sz w:val="26"/>
        </w:rPr>
        <w:t>(一) 供给侧：传统艺术教育体系的路径依赖与转型压力</w:t>
      </w:r>
    </w:p>
    <w:p w14:paraId="3C6C9322">
      <w:pPr>
        <w:spacing w:after="400" w:line="400" w:lineRule="atLeast"/>
      </w:pPr>
      <w:r>
        <w:t>我国艺术教育体系在过去数十年取得了长足发展，为国家培养了大量基础扎实的艺术人才。然而，面对产业的快速迭代，其固有的路径依赖也逐渐显现，主要体包含以下几个方面：</w:t>
      </w:r>
    </w:p>
    <w:p w14:paraId="2452C2C2">
      <w:pPr>
        <w:numPr>
          <w:ilvl w:val="0"/>
          <w:numId w:val="5"/>
        </w:numPr>
        <w:spacing w:after="400" w:line="400" w:lineRule="atLeast"/>
      </w:pPr>
      <w:r>
        <w:rPr>
          <w:b/>
        </w:rPr>
        <w:t>学科壁垒固化：</w:t>
      </w:r>
      <w:r>
        <w:t xml:space="preserve"> 传统艺术院校的院系设置，如国画、油画、雕塑、声乐、器乐等，严格遵循学科分野，这在奠定学生专业基础的同时，也在一定程度上固化了学生的认知边界，不利于跨学科思维的养成。</w:t>
      </w:r>
    </w:p>
    <w:p w14:paraId="7A1F4650">
      <w:pPr>
        <w:numPr>
          <w:ilvl w:val="0"/>
          <w:numId w:val="5"/>
        </w:numPr>
        <w:spacing w:after="400" w:line="400" w:lineRule="atLeast"/>
      </w:pPr>
      <w:r>
        <w:rPr>
          <w:b/>
        </w:rPr>
        <w:t>技能导向的教学模式：</w:t>
      </w:r>
      <w:r>
        <w:t xml:space="preserve"> 教学内容与评价标准过度集中于专业技法的训练与完善，对于学生的观念创新能力、项目管理能力、技术应用能力和市场适应能力的培养则相对薄弱。</w:t>
      </w:r>
    </w:p>
    <w:p w14:paraId="14B2E952">
      <w:pPr>
        <w:numPr>
          <w:ilvl w:val="0"/>
          <w:numId w:val="5"/>
        </w:numPr>
        <w:spacing w:after="400" w:line="400" w:lineRule="atLeast"/>
      </w:pPr>
      <w:r>
        <w:rPr>
          <w:b/>
        </w:rPr>
        <w:t>“大师工作室”制的局限：</w:t>
      </w:r>
      <w:r>
        <w:t xml:space="preserve"> 这种传承模式在技艺传承方面具有不可替代的优势，但在知识的广度与思维的开放性上，可能存在一定的局限性，学生的职业视野容易受限于导师的个人经验与资源网络。</w:t>
      </w:r>
    </w:p>
    <w:p w14:paraId="47C01D4C">
      <w:pPr>
        <w:spacing w:after="400" w:line="400" w:lineRule="atLeast"/>
      </w:pPr>
      <w:r>
        <w:t>值得注意的是，近年来，各大艺术院校已意识到这些问题，并开始积极探索转型。例如，中央美术学院成立了设计学院、实验艺术学院，中国美术学院设立了创新设计学院等，这些举措旨在打破学科壁垒，推动科艺融合。然而，这种转型仍面临师资结构更新缓慢、课程体系改革阻力大、产学研结合不紧密等现实挑战。转型压力巨大，但变革的窗口已经打开。</w:t>
      </w:r>
    </w:p>
    <w:p w14:paraId="4E9EEA02">
      <w:pPr>
        <w:spacing w:after="400" w:line="400" w:lineRule="atLeast"/>
      </w:pPr>
      <w:r>
        <w:rPr>
          <w:b/>
          <w:sz w:val="26"/>
        </w:rPr>
        <w:t>(二) 需求侧：产业融合催生的新兴职业图景</w:t>
      </w:r>
    </w:p>
    <w:p w14:paraId="12573C8D">
      <w:pPr>
        <w:spacing w:after="400" w:line="400" w:lineRule="atLeast"/>
      </w:pPr>
      <w:r>
        <w:t>与供给侧的渐进式变革相比，需求侧的市场变化则显得更为迅猛和激进。数字技术与消费升级共同催化了文化产业内部及与其他产业的深度融合，创造了大量前所未有的职业生态位。为了更系统地描绘这一新兴图景，本报告构建了“艺术人才多元化职业路径矩阵”。</w:t>
      </w:r>
    </w:p>
    <w:p w14:paraId="5D01CF38">
      <w:pPr>
        <w:spacing w:after="400" w:line="400" w:lineRule="atLeast"/>
      </w:pPr>
      <w:r>
        <w:t>该矩阵以**“领域融合度”</w:t>
      </w:r>
      <w:r>
        <w:rPr>
          <w:b/>
        </w:rPr>
        <w:t>（指职业所处的领域与核心艺术领域的距离，从“核心”到“泛艺术”再到“跨界”）和</w:t>
      </w:r>
      <w:r>
        <w:t>“技能需求复合度”**（指职业对非艺术类复合技能的依赖程度，从“单一”到“复合”）为两个核心维度，将艺术人才的多元化职业路径划分为四个象限。</w:t>
      </w:r>
    </w:p>
    <w:p w14:paraId="6E415D7B">
      <w:pPr>
        <w:spacing w:after="400" w:line="400" w:lineRule="atLeast"/>
      </w:pPr>
      <w:r>
        <w:rPr>
          <w:b/>
        </w:rPr>
        <w:t>表1：艺术人才多元化职业路径矩阵（按领域融合度与技能需求复合度划分）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5F9F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09B788">
            <w:pPr>
              <w:spacing w:after="400" w:line="400" w:lineRule="exact"/>
              <w:jc w:val="left"/>
            </w:pPr>
            <w:r>
              <w:rPr>
                <w:b/>
              </w:rPr>
              <w:t xml:space="preserve"> </w:t>
            </w:r>
          </w:p>
        </w:tc>
        <w:tc>
          <w:tcPr>
            <w:tcW w:w="2765" w:type="dxa"/>
          </w:tcPr>
          <w:p w14:paraId="05EBAD80">
            <w:pPr>
              <w:spacing w:after="400" w:line="400" w:lineRule="exact"/>
              <w:jc w:val="left"/>
            </w:pPr>
            <w:r>
              <w:rPr>
                <w:b/>
              </w:rPr>
              <w:t>技能需求复合度：低（侧重单一艺术技能）</w:t>
            </w:r>
          </w:p>
        </w:tc>
        <w:tc>
          <w:tcPr>
            <w:tcW w:w="2765" w:type="dxa"/>
          </w:tcPr>
          <w:p w14:paraId="35AD6F12">
            <w:pPr>
              <w:spacing w:after="400" w:line="400" w:lineRule="exact"/>
              <w:jc w:val="left"/>
            </w:pPr>
            <w:r>
              <w:rPr>
                <w:b/>
              </w:rPr>
              <w:t>技能需求复合度：高（侧重艺术+复合技能）</w:t>
            </w:r>
          </w:p>
        </w:tc>
      </w:tr>
      <w:tr w14:paraId="0789F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CF04F3F">
            <w:pPr>
              <w:spacing w:after="400" w:line="400" w:lineRule="exact"/>
              <w:jc w:val="left"/>
            </w:pPr>
            <w:r>
              <w:rPr>
                <w:b/>
              </w:rPr>
              <w:t>领域融合度：低（核心艺术领域）</w:t>
            </w:r>
          </w:p>
        </w:tc>
        <w:tc>
          <w:tcPr>
            <w:tcW w:w="2765" w:type="dxa"/>
          </w:tcPr>
          <w:p w14:paraId="088F9C70">
            <w:pPr>
              <w:spacing w:after="400" w:line="400" w:lineRule="exact"/>
              <w:jc w:val="left"/>
            </w:pPr>
            <w:r>
              <w:rPr>
                <w:b/>
              </w:rPr>
              <w:t>第一象限：核心固守型 (Core Adherence)</w:t>
            </w:r>
            <w:r>
              <w:t xml:space="preserve">  - </w:t>
            </w:r>
            <w:r>
              <w:rPr>
                <w:b/>
              </w:rPr>
              <w:t>职业画像：</w:t>
            </w:r>
            <w:r>
              <w:t xml:space="preserve"> 传统艺术家（画家、雕塑家、演奏家、舞蹈家等）、艺术院团演员  - </w:t>
            </w:r>
            <w:r>
              <w:rPr>
                <w:b/>
              </w:rPr>
              <w:t>技能要求：</w:t>
            </w:r>
            <w:r>
              <w:t xml:space="preserve"> 极致的专业艺术技巧、深厚的艺术史论修养  - </w:t>
            </w:r>
            <w:r>
              <w:rPr>
                <w:b/>
              </w:rPr>
              <w:t>发展路径：</w:t>
            </w:r>
            <w:r>
              <w:t xml:space="preserve"> 依赖画廊、拍卖行、专业院团、艺术基金会等传统艺术体系</w:t>
            </w:r>
          </w:p>
        </w:tc>
        <w:tc>
          <w:tcPr>
            <w:tcW w:w="2765" w:type="dxa"/>
          </w:tcPr>
          <w:p w14:paraId="3DF7C58F">
            <w:pPr>
              <w:spacing w:after="400" w:line="400" w:lineRule="exact"/>
              <w:jc w:val="left"/>
            </w:pPr>
            <w:r>
              <w:rPr>
                <w:b/>
              </w:rPr>
              <w:t>第二象限：领域深耕型 (Domain Deepening)</w:t>
            </w:r>
            <w:r>
              <w:t xml:space="preserve">  - </w:t>
            </w:r>
            <w:r>
              <w:rPr>
                <w:b/>
              </w:rPr>
              <w:t>职业画像：</w:t>
            </w:r>
            <w:r>
              <w:t xml:space="preserve"> 艺术评论家、策展人、艺术品修复师、艺术教育者、艺术行政管理人员  - </w:t>
            </w:r>
            <w:r>
              <w:rPr>
                <w:b/>
              </w:rPr>
              <w:t>技能要求：</w:t>
            </w:r>
            <w:r>
              <w:t xml:space="preserve"> 艺术本体知识 + 学术研究/策展/教育/管理/修复技能  - </w:t>
            </w:r>
            <w:r>
              <w:rPr>
                <w:b/>
              </w:rPr>
              <w:t>发展路径：</w:t>
            </w:r>
            <w:r>
              <w:t xml:space="preserve"> 活跃于美术馆、博物馆、艺术院校、非营利组织等机构</w:t>
            </w:r>
          </w:p>
        </w:tc>
      </w:tr>
      <w:tr w14:paraId="4086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A0FE3DD">
            <w:pPr>
              <w:spacing w:after="400" w:line="400" w:lineRule="exact"/>
              <w:jc w:val="left"/>
            </w:pPr>
            <w:r>
              <w:rPr>
                <w:b/>
              </w:rPr>
              <w:t>领域融合度：高（泛艺术/跨界领域）</w:t>
            </w:r>
          </w:p>
        </w:tc>
        <w:tc>
          <w:tcPr>
            <w:tcW w:w="2765" w:type="dxa"/>
          </w:tcPr>
          <w:p w14:paraId="2D3B5339">
            <w:pPr>
              <w:spacing w:after="400" w:line="400" w:lineRule="exact"/>
              <w:jc w:val="left"/>
            </w:pPr>
            <w:r>
              <w:rPr>
                <w:b/>
              </w:rPr>
              <w:t>第三象限：技能拓展型 (Skill Extension)</w:t>
            </w:r>
            <w:r>
              <w:t xml:space="preserve">  - </w:t>
            </w:r>
            <w:r>
              <w:rPr>
                <w:b/>
              </w:rPr>
              <w:t>职业画像：</w:t>
            </w:r>
            <w:r>
              <w:t xml:space="preserve"> 商业插画师、时尚设计师、艺术衍生品设计师、广告美术指导  - </w:t>
            </w:r>
            <w:r>
              <w:rPr>
                <w:b/>
              </w:rPr>
              <w:t>技能要求：</w:t>
            </w:r>
            <w:r>
              <w:t xml:space="preserve"> 核心艺术技能 + 商业应用/设计软件/市场洞察能力  - </w:t>
            </w:r>
            <w:r>
              <w:rPr>
                <w:b/>
              </w:rPr>
              <w:t>发展路径：</w:t>
            </w:r>
            <w:r>
              <w:t xml:space="preserve"> 深度嵌入时尚、广告、消费品等商业产业链</w:t>
            </w:r>
          </w:p>
        </w:tc>
        <w:tc>
          <w:tcPr>
            <w:tcW w:w="2765" w:type="dxa"/>
          </w:tcPr>
          <w:p w14:paraId="39E26A18">
            <w:pPr>
              <w:spacing w:after="400" w:line="400" w:lineRule="exact"/>
              <w:jc w:val="left"/>
            </w:pPr>
            <w:r>
              <w:rPr>
                <w:b/>
              </w:rPr>
              <w:t>第四象限：跨界融合型 (Cross-border Integration)</w:t>
            </w:r>
            <w:r>
              <w:t xml:space="preserve">  - </w:t>
            </w:r>
            <w:r>
              <w:rPr>
                <w:b/>
              </w:rPr>
              <w:t>职业画像：</w:t>
            </w:r>
            <w:r>
              <w:t xml:space="preserve"> AIGC艺术家、游戏概念艺术家、沉浸式体验设计师、数字藏品（NFT）艺术家、艺术治疗师、乡村美育设计师  - </w:t>
            </w:r>
            <w:r>
              <w:rPr>
                <w:b/>
              </w:rPr>
              <w:t>技能要求：</w:t>
            </w:r>
            <w:r>
              <w:t xml:space="preserve"> 艺术思维 + 编程/算法/交互设计/心理学/社会学等高度复合的知识技能  - </w:t>
            </w:r>
            <w:r>
              <w:rPr>
                <w:b/>
              </w:rPr>
              <w:t>发展路径：</w:t>
            </w:r>
            <w:r>
              <w:t xml:space="preserve"> 活跃于互联网、游戏、文旅、大健康、乡村振兴等新兴与交叉领域</w:t>
            </w:r>
          </w:p>
        </w:tc>
      </w:tr>
    </w:tbl>
    <w:p w14:paraId="2F0615EA">
      <w:pPr>
        <w:spacing w:before="400" w:after="400" w:line="400" w:lineRule="atLeast"/>
      </w:pPr>
      <w:r>
        <w:rPr>
          <w:b/>
        </w:rPr>
        <w:t>分析与洞察：</w:t>
      </w:r>
    </w:p>
    <w:p w14:paraId="4BF4B6BF">
      <w:pPr>
        <w:numPr>
          <w:ilvl w:val="-1"/>
          <w:numId w:val="6"/>
        </w:numPr>
        <w:spacing w:after="400" w:line="400" w:lineRule="atLeast"/>
      </w:pPr>
      <w:r>
        <w:rPr>
          <w:b/>
        </w:rPr>
        <w:t>从“金字塔”到“网络化”：</w:t>
      </w:r>
      <w:r>
        <w:t xml:space="preserve"> 传统上，人才流向高度集中于第一、第二象限，构成一个“金字塔”结构。而今，第三、第四象限的职业机会爆炸式增长，人才发展路径正演变为一个复杂的“网络化”结构。</w:t>
      </w:r>
    </w:p>
    <w:p w14:paraId="3D05D8A3">
      <w:pPr>
        <w:numPr>
          <w:ilvl w:val="-1"/>
          <w:numId w:val="6"/>
        </w:numPr>
        <w:spacing w:after="400" w:line="400" w:lineRule="atLeast"/>
      </w:pPr>
      <w:r>
        <w:rPr>
          <w:b/>
        </w:rPr>
        <w:t>第四象限的关键价值：</w:t>
      </w:r>
      <w:r>
        <w:t xml:space="preserve"> 据**联合国教科文组织(UNESCO)**在其2024年发布的全球文化与创意产业相关分析中指出，全球创意产业面临显著的技能短缺，尤其是在数字技术与创意内容相结合的领域 [[1]]。第四象限的“跨界融合型”人才正是填补这一缺口、驱动产业增量价值的核心力量，也是当前政策扶持体系中最为薄弱的环节。</w:t>
      </w:r>
    </w:p>
    <w:p w14:paraId="15AAD919">
      <w:pPr>
        <w:numPr>
          <w:ilvl w:val="-1"/>
          <w:numId w:val="6"/>
        </w:numPr>
        <w:spacing w:after="400" w:line="400" w:lineRule="atLeast"/>
      </w:pPr>
      <w:r>
        <w:rPr>
          <w:b/>
        </w:rPr>
        <w:t>路径的流动性：</w:t>
      </w:r>
      <w:r>
        <w:t xml:space="preserve"> 这四个象限并非静止孤立的，人才可以在不同象限间流动。例如，一位传统画家（第一象限）可以通过学习数字艺术，转型为NFT艺术家（第四象限）。政策的着力点应是降低这种流动与转型的壁垒。</w:t>
      </w:r>
    </w:p>
    <w:p w14:paraId="001EE8A3">
      <w:pPr>
        <w:spacing w:after="400" w:line="400" w:lineRule="atLeast"/>
      </w:pPr>
      <w:r>
        <w:rPr>
          <w:b/>
          <w:sz w:val="26"/>
        </w:rPr>
        <w:t>(三) 评价体系：社会资本对市场价值的传导机制分析</w:t>
      </w:r>
    </w:p>
    <w:p w14:paraId="69650D9E">
      <w:pPr>
        <w:spacing w:after="400" w:line="400" w:lineRule="atLeast"/>
      </w:pPr>
      <w:r>
        <w:t>艺术人才的市场价值并非由其艺术水准单向决定，而是在很大程度上受到社会评价体系的塑造与影响。这种评价体系是一个复杂的混合体，既包括传统的权威认证，也包括新兴的市场信号。其对人才收入水平的影响，可以通过一个传导机制来解析。</w:t>
      </w:r>
    </w:p>
    <w:p w14:paraId="6C2BA2E4">
      <w:pPr>
        <w:spacing w:after="400" w:line="400" w:lineRule="atLeast"/>
      </w:pPr>
      <w:r>
        <w:rPr>
          <w:b/>
        </w:rPr>
        <w:t>图1：社会评价体系影响艺术人才收入水平的传导机制流程图</w:t>
      </w:r>
    </w:p>
    <w:p w14:paraId="05621A91">
      <w:r>
        <w:t>graph TD
</w:t>
      </w:r>
    </w:p>
    <w:p w14:paraId="4F026C04">
      <w:r>
        <w:t xml:space="preserve">    subgraph A[社会评价资本 Social Evaluation Capital]
</w:t>
      </w:r>
    </w:p>
    <w:p w14:paraId="1406DB17">
      <w:r>
        <w:t xml:space="preserve">        A1(学历背景&lt;br&gt;Academic Background)
</w:t>
      </w:r>
    </w:p>
    <w:p w14:paraId="7F020D1C">
      <w:r>
        <w:t xml:space="preserve">        A2(权威奖项&lt;br&gt;Authoritative Awards)
</w:t>
      </w:r>
    </w:p>
    <w:p w14:paraId="42D3933C">
      <w:r>
        <w:t xml:space="preserve">        A3(业界声誉&lt;br&gt;Industry Reputation)
</w:t>
      </w:r>
    </w:p>
    <w:p w14:paraId="1A3DC230">
      <w:r>
        <w:t xml:space="preserve">        A4(社交媒体影响力&lt;br&gt;Social Media Influence)
</w:t>
      </w:r>
    </w:p>
    <w:p w14:paraId="3F273C19">
      <w:r>
        <w:t xml:space="preserve">    end
</w:t>
      </w:r>
    </w:p>
    <w:p w14:paraId="2B7AD342">
      <w:r>
        <w:t>
</w:t>
      </w:r>
    </w:p>
    <w:p w14:paraId="70282CAC">
      <w:r>
        <w:t xml:space="preserve">    subgraph B[信号释放机制 Signaling Mechanism]
</w:t>
      </w:r>
    </w:p>
    <w:p w14:paraId="472FD0A6">
      <w:r>
        <w:t xml:space="preserve">        B1("向机构/资本释放“精英/专业”信号")
</w:t>
      </w:r>
    </w:p>
    <w:p w14:paraId="2E5D6CBD">
      <w:r>
        <w:t xml:space="preserve">        B2("向公众/市场释放“流行/可信”信号")
</w:t>
      </w:r>
    </w:p>
    <w:p w14:paraId="2BDC7D83">
      <w:r>
        <w:t xml:space="preserve">    end
</w:t>
      </w:r>
    </w:p>
    <w:p w14:paraId="7524E5FB">
      <w:r>
        <w:t>
</w:t>
      </w:r>
    </w:p>
    <w:p w14:paraId="6CAC3A1F">
      <w:r>
        <w:t xml:space="preserve">    subgraph C[中介传导路径 Intermediary Pathways]
</w:t>
      </w:r>
    </w:p>
    <w:p w14:paraId="0C515BEE">
      <w:r>
        <w:t xml:space="preserve">        C1(机构认可度&lt;br&gt;Institutional Recognition)
</w:t>
      </w:r>
    </w:p>
    <w:p w14:paraId="7E7E675A">
      <w:r>
        <w:t xml:space="preserve">        C2(市场认知度&lt;br&gt;Market Perception)
</w:t>
      </w:r>
    </w:p>
    <w:p w14:paraId="4F88E202">
      <w:r>
        <w:t xml:space="preserve">    end
</w:t>
      </w:r>
    </w:p>
    <w:p w14:paraId="75778390">
      <w:r>
        <w:t>
</w:t>
      </w:r>
    </w:p>
    <w:p w14:paraId="3B876CE9">
      <w:r>
        <w:t xml:space="preserve">    subgraph D[资源配置与机会获取 Resource &amp; Opportunity]
</w:t>
      </w:r>
    </w:p>
    <w:p w14:paraId="5B00A0EF">
      <w:r>
        <w:t xml:space="preserve">        D1(公共资源倾斜&lt;br&gt;Public Resource Allocation)
</w:t>
      </w:r>
    </w:p>
    <w:p w14:paraId="39D270F1">
      <w:r>
        <w:t xml:space="preserve">        D2(商业合作机会&lt;br&gt;Commercial Opportunities)
</w:t>
      </w:r>
    </w:p>
    <w:p w14:paraId="5E2016C2">
      <w:r>
        <w:t xml:space="preserve">        D3(消费端溢价意愿&lt;br&gt;Consumer Premium Willingness)
</w:t>
      </w:r>
    </w:p>
    <w:p w14:paraId="7CC884E8">
      <w:r>
        <w:t xml:space="preserve">        D4(粉丝经济效应&lt;br&gt;Fan Economy Effect)
</w:t>
      </w:r>
    </w:p>
    <w:p w14:paraId="4FE3C314">
      <w:r>
        <w:t xml:space="preserve">    end
</w:t>
      </w:r>
    </w:p>
    <w:p w14:paraId="613892D4">
      <w:r>
        <w:t>
</w:t>
      </w:r>
    </w:p>
    <w:p w14:paraId="522CBF9B">
      <w:r>
        <w:t xml:space="preserve">    subgraph E[核心能力 Core Competence]
</w:t>
      </w:r>
    </w:p>
    <w:p w14:paraId="6768746D">
      <w:r>
        <w:t xml:space="preserve">        E1(市场议价能力&lt;br&gt;Market Bargaining Power)
</w:t>
      </w:r>
    </w:p>
    <w:p w14:paraId="2276DF69">
      <w:r>
        <w:t xml:space="preserve">    end
</w:t>
      </w:r>
    </w:p>
    <w:p w14:paraId="4BB9374A">
      <w:r>
        <w:t>
</w:t>
      </w:r>
    </w:p>
    <w:p w14:paraId="099C2AB8">
      <w:r>
        <w:t xml:space="preserve">    subgraph F[最终结果 Final Outcome]
</w:t>
      </w:r>
    </w:p>
    <w:p w14:paraId="08AB6714">
      <w:r>
        <w:t xml:space="preserve">        F1(艺术人才收入水平&lt;br&gt;Income Level)
</w:t>
      </w:r>
    </w:p>
    <w:p w14:paraId="5299B972">
      <w:r>
        <w:t xml:space="preserve">    end
</w:t>
      </w:r>
    </w:p>
    <w:p w14:paraId="1128AD58">
      <w:r>
        <w:t>
</w:t>
      </w:r>
    </w:p>
    <w:p w14:paraId="2D7E7140">
      <w:r>
        <w:t xml:space="preserve">    A -- "构建资本组合" --&gt; B
</w:t>
      </w:r>
    </w:p>
    <w:p w14:paraId="4C07DAC6">
      <w:r>
        <w:t xml:space="preserve">    B1 --&gt; C1
</w:t>
      </w:r>
    </w:p>
    <w:p w14:paraId="46B3674C">
      <w:r>
        <w:t xml:space="preserve">    B2 --&gt; C2
</w:t>
      </w:r>
    </w:p>
    <w:p w14:paraId="72BC4B3A">
      <w:r>
        <w:t xml:space="preserve">    C1 --&gt; D1 &amp; D2
</w:t>
      </w:r>
    </w:p>
    <w:p w14:paraId="3B2AC209">
      <w:r>
        <w:t xml:space="preserve">    C2 --&gt; D3 &amp; D4
</w:t>
      </w:r>
    </w:p>
    <w:p w14:paraId="2C5D6F5A">
      <w:r>
        <w:t xml:space="preserve">    D1 &amp; D2 &amp; D3 &amp; D4 --&gt; E1
</w:t>
      </w:r>
    </w:p>
    <w:p w14:paraId="682DC404">
      <w:r>
        <w:t xml:space="preserve">    E1 --&gt; F1
</w:t>
      </w:r>
    </w:p>
    <w:p w14:paraId="13719225">
      <w:r>
        <w:t xml:space="preserve">    F1 -- "财富效应反馈&lt;br&gt;Feedback Loop" --&gt; A3
</w:t>
      </w:r>
    </w:p>
    <w:p w14:paraId="2FF373D9">
      <w:r>
        <w:t>
</w:t>
      </w:r>
    </w:p>
    <w:p w14:paraId="029F35A5">
      <w:r>
        <w:t xml:space="preserve">    classDef subgraph fill:#f9f9f9,stroke:#333,stroke-width:2px;
</w:t>
      </w:r>
    </w:p>
    <w:p w14:paraId="50311185">
      <w:r>
        <w:t xml:space="preserve">    class A,B,C,D,E,F subgraph;
</w:t>
      </w:r>
    </w:p>
    <w:p w14:paraId="5729C940">
      <w:r>
        <w:t>
</w:t>
      </w:r>
    </w:p>
    <w:p w14:paraId="4094959D">
      <w:pPr>
        <w:spacing w:after="400" w:line="400" w:lineRule="atLeast"/>
      </w:pPr>
      <w:r>
        <w:rPr>
          <w:b/>
        </w:rPr>
        <w:t>机制解析：</w:t>
      </w:r>
    </w:p>
    <w:p w14:paraId="1BCF71F9">
      <w:pPr>
        <w:numPr>
          <w:ilvl w:val="0"/>
          <w:numId w:val="7"/>
        </w:numPr>
        <w:spacing w:after="400" w:line="400" w:lineRule="atLeast"/>
      </w:pPr>
      <w:r>
        <w:rPr>
          <w:b/>
        </w:rPr>
        <w:t>资本的构成：</w:t>
      </w:r>
      <w:r>
        <w:t xml:space="preserve"> 艺术人才通过教育、参展、竞赛、社交媒体运营等方式，积累其社会评价资本（A）。值得注意的是，传统资本（A1, A2, A3）与新兴资本（A4）的权重正在发生动态变化。</w:t>
      </w:r>
    </w:p>
    <w:p w14:paraId="6B373CDF">
      <w:pPr>
        <w:numPr>
          <w:ilvl w:val="0"/>
          <w:numId w:val="7"/>
        </w:numPr>
        <w:spacing w:after="400" w:line="400" w:lineRule="atLeast"/>
      </w:pPr>
      <w:r>
        <w:rPr>
          <w:b/>
        </w:rPr>
        <w:t>信号的释放：</w:t>
      </w:r>
      <w:r>
        <w:t xml:space="preserve"> 这些资本组合通过各种渠道（如简历、媒体报道、社交平台）向外界释放信号（B）。面向B端（机构、资本）的信号强调其专业性与精英地位，而面向C端（公众、消费者）的信号则更侧重于其流行度与可信度。</w:t>
      </w:r>
    </w:p>
    <w:p w14:paraId="49758C1B">
      <w:pPr>
        <w:numPr>
          <w:ilvl w:val="0"/>
          <w:numId w:val="7"/>
        </w:numPr>
        <w:spacing w:after="400" w:line="400" w:lineRule="atLeast"/>
      </w:pPr>
      <w:r>
        <w:rPr>
          <w:b/>
        </w:rPr>
        <w:t>路径的分化：</w:t>
      </w:r>
      <w:r>
        <w:t xml:space="preserve"> 信号分别作用于机构与市场两个层面。机构认可度（C1）决定了人才能否获得国家艺术基金、美术馆展览、政府项目等公共或权威资源（D1, D2）。市场认知度（C2）则直接影响其作品的C端销售价格、商业代言价值和粉丝付费意愿（D3, D4）。</w:t>
      </w:r>
    </w:p>
    <w:p w14:paraId="5DB200C0">
      <w:pPr>
        <w:numPr>
          <w:ilvl w:val="0"/>
          <w:numId w:val="7"/>
        </w:numPr>
        <w:spacing w:after="400" w:line="400" w:lineRule="atLeast"/>
      </w:pPr>
      <w:r>
        <w:rPr>
          <w:b/>
        </w:rPr>
        <w:t>价值的实现：</w:t>
      </w:r>
      <w:r>
        <w:t xml:space="preserve"> 获取的资源与机会最终汇聚为人才的市场议价能力（E1），并直接决定其收入水平（F1）。同时，高收入水平又会反过来增强其业界声誉（A3），形成一个正向或负向的循环。</w:t>
      </w:r>
    </w:p>
    <w:p w14:paraId="06C6A3D1">
      <w:pPr>
        <w:spacing w:after="400" w:line="400" w:lineRule="atLeast"/>
      </w:pPr>
      <w:r>
        <w:rPr>
          <w:b/>
        </w:rPr>
        <w:t>潜在局限与适用条件：</w:t>
      </w:r>
    </w:p>
    <w:p w14:paraId="5EA1408F">
      <w:pPr>
        <w:numPr>
          <w:ilvl w:val="-1"/>
          <w:numId w:val="6"/>
        </w:numPr>
        <w:spacing w:after="400" w:line="400" w:lineRule="atLeast"/>
      </w:pPr>
      <w:r>
        <w:rPr>
          <w:b/>
        </w:rPr>
        <w:t>马太效应：</w:t>
      </w:r>
      <w:r>
        <w:t xml:space="preserve"> 此机制在高效筛选人才的同时，也可能加剧“马太效应”。已获得高度评价资本的“头部”人才更容易获取资源，而大量有潜力的“腰部”和“尾部”青年人才则可能因初始信号微弱而被忽视。</w:t>
      </w:r>
    </w:p>
    <w:p w14:paraId="57300A52">
      <w:pPr>
        <w:numPr>
          <w:ilvl w:val="-1"/>
          <w:numId w:val="6"/>
        </w:numPr>
        <w:spacing w:after="400" w:line="400" w:lineRule="atLeast"/>
      </w:pPr>
      <w:r>
        <w:rPr>
          <w:b/>
        </w:rPr>
        <w:t>创新抑制风险：</w:t>
      </w:r>
      <w:r>
        <w:t xml:space="preserve"> 当评价体系（特别是奖项和基金评审）标准趋同化时，可能引导创作者迎合特定“范式”，从而在一定程度上抑制了最具颠覆性的前沿艺术探索。</w:t>
      </w:r>
    </w:p>
    <w:p w14:paraId="6ADB1E2E">
      <w:pPr>
        <w:numPr>
          <w:ilvl w:val="-1"/>
          <w:numId w:val="6"/>
        </w:numPr>
        <w:spacing w:after="400" w:line="400" w:lineRule="atLeast"/>
      </w:pPr>
      <w:r>
        <w:rPr>
          <w:b/>
        </w:rPr>
        <w:t>适用性差异：</w:t>
      </w:r>
      <w:r>
        <w:t xml:space="preserve"> 该传导机制在不同艺术门类中表现不同。在高度依赖机构体系的领域（如古典音乐、传统戏剧），机构认可度（C1）的作用更为关键；而在与大众消费紧密结合的领域（如潮流艺术、网络文学），市场认知度（C2）则可能成为主导力量。</w:t>
      </w:r>
    </w:p>
    <w:p w14:paraId="007448C3">
      <w:pPr>
        <w:spacing w:after="400" w:line="400" w:lineRule="atLeast"/>
      </w:pPr>
      <w:r>
        <w:rPr>
          <w:b/>
          <w:sz w:val="26"/>
        </w:rPr>
        <w:t>(四) 宏观利好：知识产权保护与文化消费升级的双轮驱动</w:t>
      </w:r>
    </w:p>
    <w:p w14:paraId="4C14B6EE">
      <w:pPr>
        <w:spacing w:after="400" w:line="400" w:lineRule="atLeast"/>
      </w:pPr>
      <w:r>
        <w:t>尽管艺术人才发展面临内部挑战，但宏观环境中的两大积极趋势正为其价值实现提供了前所未有的历史机遇。本报告侧重于概述其宏观积极趋势，以增强行业发展信心。</w:t>
      </w:r>
    </w:p>
    <w:p w14:paraId="27693685">
      <w:pPr>
        <w:numPr>
          <w:ilvl w:val="0"/>
          <w:numId w:val="8"/>
        </w:numPr>
        <w:spacing w:after="400" w:line="400" w:lineRule="atLeast"/>
      </w:pPr>
      <w:r>
        <w:rPr>
          <w:b/>
        </w:rPr>
        <w:t>知识产权保护体系的日益完善：</w:t>
      </w:r>
    </w:p>
    <w:p w14:paraId="73953BA2">
      <w:pPr>
        <w:spacing w:after="400" w:line="400" w:lineRule="atLeast"/>
      </w:pPr>
      <w:r>
        <w:t>据**世界知识产权组织(WIPO)《全球创新指数报告》**近年来的数据显示，中国的排名持续攀升，这从一个侧面反映了我国在知识产权创造、保护和运用方面的长足进步。国家层面相继修订《著作权法》，加强对网络侵权盗版的打击力度，并积极探索数字环境下的版权保护新模式。这一系列举措，正在为“艺术人才价值转化漏斗”中的“知识产权固化(IP FIXATION)”环节提供坚实的法律保障。一个强有力的IP保护环境，使得艺术家的智力成果可以更安全地转化为可交易、可授权、可衍生的资产，从而极大地拓展了其价值变现的渠道。</w:t>
      </w:r>
    </w:p>
    <w:p w14:paraId="32D36674">
      <w:pPr>
        <w:numPr>
          <w:ilvl w:val="0"/>
          <w:numId w:val="8"/>
        </w:numPr>
        <w:spacing w:after="400" w:line="400" w:lineRule="atLeast"/>
      </w:pPr>
      <w:r>
        <w:rPr>
          <w:b/>
        </w:rPr>
        <w:t>文化消费升级的广阔空间：</w:t>
      </w:r>
    </w:p>
    <w:p w14:paraId="4EACD5E3">
      <w:pPr>
        <w:spacing w:after="400" w:line="400" w:lineRule="atLeast"/>
      </w:pPr>
      <w:r>
        <w:t>随着我国人均GDP的稳步增长，国民的消费结构正在从物质消费为主转向物质与精神消费并重。Z世代等新生代消费群体崛起，他们对个性化、高品质、具有情感附加值的文化产品与体验展现出强烈的支付意愿。从文创雪糕到博物馆联名，从沉浸式戏剧到国潮设计，文化消费的需求日益细分化、场景化和体验化。这一趋势为“艺术人才价值转化漏斗”的“市场触达(MARKET REACH)”与“价值变现(MONETIZATION)”环节开辟了广阔的蓝海市场。艺术人才的创意与审美能力，正成为赋能各行各业、提升产品附加值和品牌价值的关键要素。</w:t>
      </w:r>
    </w:p>
    <w:p w14:paraId="62388E72">
      <w:pPr>
        <w:spacing w:after="400" w:line="400" w:lineRule="atLeast"/>
      </w:pPr>
      <w:r>
        <w:rPr>
          <w:b/>
        </w:rPr>
        <w:t>辩证平衡：</w:t>
      </w:r>
    </w:p>
    <w:p w14:paraId="093B354D">
      <w:pPr>
        <w:spacing w:after="400" w:line="400" w:lineRule="atLeast"/>
      </w:pPr>
      <w:r>
        <w:t>然而，值得注意的是，这两大利好因素的普惠性仍有提升空间。知识产权的维权成本对个体艺术家而言依然较高，而文化消费升级的红利也更多地流向了拥有强大市场运营能力的头部机构与IP。因此，政策的着力点应是如何让更广泛的中小微创作主体和个体艺术家，能更低成本、更高效地享受到这两大宏观趋势带来的发展机遇。</w:t>
      </w:r>
    </w:p>
    <w:p w14:paraId="2FC2AEF8">
      <w:pPr>
        <w:spacing w:after="400" w:line="400" w:lineRule="atLeast"/>
      </w:pPr>
      <w:r>
        <w:rPr>
          <w:b/>
          <w:sz w:val="30"/>
        </w:rPr>
        <w:t>三、 国际比较与案例研究：法国与韩国的政策实践镜鉴</w:t>
      </w:r>
    </w:p>
    <w:p w14:paraId="27939696">
      <w:pPr>
        <w:spacing w:after="400" w:line="400" w:lineRule="atLeast"/>
      </w:pPr>
      <w:r>
        <w:t>选择法国与韩国作为比较研究对象，是因为两国在文化政策领域各具代表性。法国是典型的“文化国家”模式，其艺术人才扶持体系历史悠久、系统完备。韩国则是后发追赶的成功典范，其“文化立国”战略在短时间内取得了举世瞩目的成就。本节侧重描述其政策形式与框架，为我国提供参考。</w:t>
      </w:r>
    </w:p>
    <w:p w14:paraId="7C3F6572">
      <w:pPr>
        <w:spacing w:after="400" w:line="400" w:lineRule="atLeast"/>
      </w:pPr>
      <w:r>
        <w:rPr>
          <w:b/>
          <w:sz w:val="26"/>
        </w:rPr>
        <w:t>(一) 法国：国家主导下的系统性扶持体系</w:t>
      </w:r>
    </w:p>
    <w:p w14:paraId="2FE4F5BA">
      <w:pPr>
        <w:spacing w:after="400" w:line="400" w:lineRule="atLeast"/>
      </w:pPr>
      <w:r>
        <w:t>法国对艺术家的支持，体现了强烈的国家文化意志和系统性思维，其政策工具覆盖了从艺术教育、创作支持到社会保障的完整链条。</w:t>
      </w:r>
    </w:p>
    <w:p w14:paraId="402F186B">
      <w:pPr>
        <w:numPr>
          <w:ilvl w:val="-1"/>
          <w:numId w:val="6"/>
        </w:numPr>
        <w:spacing w:after="400" w:line="400" w:lineRule="atLeast"/>
      </w:pPr>
      <w:r>
        <w:rPr>
          <w:b/>
        </w:rPr>
        <w:t>核心实施机构：</w:t>
      </w:r>
      <w:r>
        <w:t xml:space="preserve"> **法国文化部（Ministère de la Culture）**是整个支持体系的中枢，通过其下属的各个司局（如创作总司）和国家级文化机构（如蓬皮杜艺术中心）来执行政策。</w:t>
      </w:r>
    </w:p>
    <w:p w14:paraId="3D472F78">
      <w:pPr>
        <w:numPr>
          <w:ilvl w:val="-1"/>
          <w:numId w:val="6"/>
        </w:numPr>
        <w:spacing w:after="400" w:line="400" w:lineRule="atLeast"/>
      </w:pPr>
      <w:r>
        <w:rPr>
          <w:b/>
        </w:rPr>
        <w:t>创作与传播支持：</w:t>
      </w:r>
    </w:p>
    <w:p w14:paraId="1741BA68">
      <w:pPr>
        <w:numPr>
          <w:ilvl w:val="-1"/>
          <w:numId w:val="6"/>
        </w:numPr>
        <w:spacing w:after="400" w:line="400" w:lineRule="atLeast"/>
      </w:pPr>
      <w:r>
        <w:t>**“艺术中心（Centre d'art）”网络：**遍布全国的艺术中心是支持当代艺术创作与传播的基础设施，它们为艺术家提供展览、驻留、研究和教育项目，并获得文化部的稳定资助 [[2]]。</w:t>
      </w:r>
    </w:p>
    <w:p w14:paraId="49C4F066">
      <w:pPr>
        <w:numPr>
          <w:ilvl w:val="-1"/>
          <w:numId w:val="6"/>
        </w:numPr>
        <w:spacing w:after="400" w:line="400" w:lineRule="atLeast"/>
      </w:pPr>
      <w:r>
        <w:rPr>
          <w:b/>
        </w:rPr>
        <w:t>“地区当代艺术基金（FRAC）”：</w:t>
      </w:r>
      <w:r>
        <w:t xml:space="preserve"> 每个大区都设有FRAC，负责收藏、展示和推广当代艺术作品，构成了强大的公共收藏与传播体系，为艺术家提供了重要的作品销售渠道 [[3]]。</w:t>
      </w:r>
    </w:p>
    <w:p w14:paraId="1615F36D">
      <w:pPr>
        <w:numPr>
          <w:ilvl w:val="-1"/>
          <w:numId w:val="6"/>
        </w:numPr>
        <w:spacing w:after="400" w:line="400" w:lineRule="atLeast"/>
      </w:pPr>
      <w:r>
        <w:rPr>
          <w:b/>
        </w:rPr>
        <w:t>专项资助计划：</w:t>
      </w:r>
      <w:r>
        <w:t xml:space="preserve"> 文化部设立了多种专项基金，如针对视觉艺术的“艺术制造工作室（AFA）”支持计划、针对摄影和时尚设计的专门资助等，精准扶持不同领域的创作活动 [[4]]。</w:t>
      </w:r>
    </w:p>
    <w:p w14:paraId="4B4D3270">
      <w:pPr>
        <w:numPr>
          <w:ilvl w:val="-1"/>
          <w:numId w:val="6"/>
        </w:numPr>
        <w:spacing w:after="400" w:line="400" w:lineRule="atLeast"/>
      </w:pPr>
      <w:r>
        <w:rPr>
          <w:b/>
        </w:rPr>
        <w:t>艺术教育与普及：</w:t>
      </w:r>
    </w:p>
    <w:p w14:paraId="65816382">
      <w:pPr>
        <w:numPr>
          <w:ilvl w:val="-1"/>
          <w:numId w:val="6"/>
        </w:numPr>
        <w:spacing w:after="400" w:line="400" w:lineRule="atLeast"/>
      </w:pPr>
      <w:r>
        <w:rPr>
          <w:b/>
        </w:rPr>
        <w:t>“地方艺术教育计划”：</w:t>
      </w:r>
      <w:r>
        <w:t xml:space="preserve"> 法国长期推行旨在让每个孩子在义务教育阶段都能接触艺术的教育计划，这为艺术人才的早期发现与培养，以及未来观众的培育，奠定了深厚基础 [[5]]。</w:t>
      </w:r>
    </w:p>
    <w:p w14:paraId="1AF80572">
      <w:pPr>
        <w:numPr>
          <w:ilvl w:val="-1"/>
          <w:numId w:val="6"/>
        </w:numPr>
        <w:spacing w:after="400" w:line="400" w:lineRule="atLeast"/>
      </w:pPr>
      <w:r>
        <w:rPr>
          <w:b/>
        </w:rPr>
        <w:t>社会保障体系：</w:t>
      </w:r>
    </w:p>
    <w:p w14:paraId="0053B6DC">
      <w:pPr>
        <w:numPr>
          <w:ilvl w:val="-1"/>
          <w:numId w:val="6"/>
        </w:numPr>
        <w:spacing w:after="400" w:line="400" w:lineRule="atLeast"/>
      </w:pPr>
      <w:r>
        <w:t>法国拥有针对艺术家和演艺人员的专门失业保险制度（Régime des intermittents du spectacle），允许他们在项目间歇期领取失业救济，极大地保障了其基本生活，维持了创作队伍的稳定。</w:t>
      </w:r>
    </w:p>
    <w:p w14:paraId="476637ED">
      <w:pPr>
        <w:spacing w:after="400" w:line="400" w:lineRule="atLeast"/>
      </w:pPr>
      <w:r>
        <w:rPr>
          <w:b/>
          <w:sz w:val="26"/>
        </w:rPr>
        <w:t>(二) 韩国：法律保障与产业促进并行的福利模式</w:t>
      </w:r>
    </w:p>
    <w:p w14:paraId="582B61F8">
      <w:pPr>
        <w:spacing w:after="400" w:line="400" w:lineRule="atLeast"/>
      </w:pPr>
      <w:r>
        <w:t>韩国的模式更侧重于通过立法来保障艺术家权益，并结合产业政策，推动文化产业的整体发展。</w:t>
      </w:r>
    </w:p>
    <w:p w14:paraId="14124034">
      <w:pPr>
        <w:numPr>
          <w:ilvl w:val="-1"/>
          <w:numId w:val="6"/>
        </w:numPr>
        <w:spacing w:after="400" w:line="400" w:lineRule="atLeast"/>
      </w:pPr>
      <w:r>
        <w:rPr>
          <w:b/>
        </w:rPr>
        <w:t>核心法律框架：</w:t>
      </w:r>
    </w:p>
    <w:p w14:paraId="11526A57">
      <w:pPr>
        <w:numPr>
          <w:ilvl w:val="-1"/>
          <w:numId w:val="6"/>
        </w:numPr>
        <w:spacing w:after="400" w:line="400" w:lineRule="atLeast"/>
      </w:pPr>
      <w:r>
        <w:rPr>
          <w:b/>
        </w:rPr>
        <w:t>《艺术家福利法》（2011年颁布）：</w:t>
      </w:r>
      <w:r>
        <w:t xml:space="preserve"> 这是韩国艺术家支持政策的基石。该法案首次从法律层面界定了“艺术家”的职业身份，并明确了国家和社会在改善艺术家福利、保障其创作权利方面的责任 [[6]]。</w:t>
      </w:r>
    </w:p>
    <w:p w14:paraId="2F14E854">
      <w:pPr>
        <w:numPr>
          <w:ilvl w:val="-1"/>
          <w:numId w:val="6"/>
        </w:numPr>
        <w:spacing w:after="400" w:line="400" w:lineRule="atLeast"/>
      </w:pPr>
      <w:r>
        <w:rPr>
          <w:b/>
        </w:rPr>
        <w:t>核心实施机构：</w:t>
      </w:r>
    </w:p>
    <w:p w14:paraId="4B3D67AF">
      <w:pPr>
        <w:numPr>
          <w:ilvl w:val="-1"/>
          <w:numId w:val="6"/>
        </w:numPr>
        <w:spacing w:after="400" w:line="400" w:lineRule="atLeast"/>
      </w:pPr>
      <w:r>
        <w:rPr>
          <w:b/>
        </w:rPr>
        <w:t>韩国文化体育观光部（MCST）：</w:t>
      </w:r>
      <w:r>
        <w:t xml:space="preserve"> 负责制定宏观文化政策与产业战略。</w:t>
      </w:r>
    </w:p>
    <w:p w14:paraId="1801116C">
      <w:pPr>
        <w:numPr>
          <w:ilvl w:val="-1"/>
          <w:numId w:val="6"/>
        </w:numPr>
        <w:spacing w:after="400" w:line="400" w:lineRule="atLeast"/>
      </w:pPr>
      <w:r>
        <w:rPr>
          <w:b/>
        </w:rPr>
        <w:t>韩国艺术委员会（ARKO）：</w:t>
      </w:r>
      <w:r>
        <w:t xml:space="preserve"> 作为主要的艺术资助机构，负责运营国家文化艺术振兴基金，向艺术家和艺术团体提供项目资助 [[7]]。</w:t>
      </w:r>
    </w:p>
    <w:p w14:paraId="4228D099">
      <w:pPr>
        <w:numPr>
          <w:ilvl w:val="-1"/>
          <w:numId w:val="6"/>
        </w:numPr>
        <w:spacing w:after="400" w:line="400" w:lineRule="atLeast"/>
      </w:pPr>
      <w:r>
        <w:rPr>
          <w:b/>
        </w:rPr>
        <w:t>韩国艺术家福利基金会（KAWF）：</w:t>
      </w:r>
      <w:r>
        <w:t xml:space="preserve"> 根据《艺术家福利法》设立的专门执行机构，负责艺术家社会保险（工伤保险、雇佣保险）的实施、创作准备金的发放、法律咨询等福利事务 [[8]]。</w:t>
      </w:r>
    </w:p>
    <w:p w14:paraId="348EB8C3">
      <w:pPr>
        <w:numPr>
          <w:ilvl w:val="-1"/>
          <w:numId w:val="6"/>
        </w:numPr>
        <w:spacing w:after="400" w:line="400" w:lineRule="atLeast"/>
      </w:pPr>
      <w:r>
        <w:rPr>
          <w:b/>
        </w:rPr>
        <w:t>具体支持项目：</w:t>
      </w:r>
    </w:p>
    <w:p w14:paraId="51CA449F">
      <w:pPr>
        <w:numPr>
          <w:ilvl w:val="-1"/>
          <w:numId w:val="6"/>
        </w:numPr>
        <w:spacing w:after="400" w:line="400" w:lineRule="atLeast"/>
      </w:pPr>
      <w:r>
        <w:rPr>
          <w:b/>
        </w:rPr>
        <w:t>“ARKO青年艺术家支持（ARKO Youth Artist Support）”项目：</w:t>
      </w:r>
      <w:r>
        <w:t xml:space="preserve"> 专门面向39岁以下青年艺术家，为其首次创作活动提供系统性支持，2022年该项目预算大幅增长至300亿韩元，体现了对青年人才的高度重视 [[9]][[10]]。</w:t>
      </w:r>
    </w:p>
    <w:p w14:paraId="785A92D3">
      <w:pPr>
        <w:numPr>
          <w:ilvl w:val="-1"/>
          <w:numId w:val="6"/>
        </w:numPr>
        <w:spacing w:after="400" w:line="400" w:lineRule="atLeast"/>
      </w:pPr>
      <w:r>
        <w:rPr>
          <w:b/>
        </w:rPr>
        <w:t>创作准备金制度：</w:t>
      </w:r>
      <w:r>
        <w:t xml:space="preserve"> KAWF向收入低于一定水平的艺术家提供“创作准备金”，以帮助他们维持基本生活，专注于创作。</w:t>
      </w:r>
    </w:p>
    <w:p w14:paraId="76E62077">
      <w:pPr>
        <w:numPr>
          <w:ilvl w:val="-1"/>
          <w:numId w:val="6"/>
        </w:numPr>
        <w:spacing w:after="400" w:line="400" w:lineRule="atLeast"/>
      </w:pPr>
      <w:r>
        <w:rPr>
          <w:b/>
        </w:rPr>
        <w:t>母胎基金（Motae Fund）：</w:t>
      </w:r>
      <w:r>
        <w:t xml:space="preserve"> 韩国政府通过设立文化产业专门的母胎基金，以市场化方式引导社会资本投资电影、游戏、动漫等文化领域，间接为相关领域的艺术人才创造了大量就业与发展机会 [[11]]。</w:t>
      </w:r>
    </w:p>
    <w:p w14:paraId="1B1352B5">
      <w:pPr>
        <w:spacing w:after="400" w:line="400" w:lineRule="atLeast"/>
      </w:pPr>
      <w:r>
        <w:rPr>
          <w:b/>
          <w:sz w:val="26"/>
        </w:rPr>
        <w:t>(三) 比较分析与启示</w:t>
      </w:r>
    </w:p>
    <w:p w14:paraId="557B3A1C">
      <w:pPr>
        <w:spacing w:after="400" w:line="400" w:lineRule="atLeast"/>
      </w:pPr>
      <w:r>
        <w:t>通过对法、韩两国政策的梳理，我们可以构建一个对比分析框架，以期为我国的政策设计提供更清晰的参照。</w:t>
      </w:r>
    </w:p>
    <w:p w14:paraId="4048406F">
      <w:pPr>
        <w:spacing w:after="400" w:line="400" w:lineRule="atLeast"/>
      </w:pPr>
      <w:r>
        <w:rPr>
          <w:b/>
        </w:rPr>
        <w:t>表2：主要国家艺术人才支持政策对比分析表（涵盖财政、税收、法律、教育四个维度）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48A1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A483E56">
            <w:pPr>
              <w:spacing w:after="400" w:line="400" w:lineRule="exact"/>
              <w:jc w:val="left"/>
            </w:pPr>
            <w:r>
              <w:rPr>
                <w:b/>
              </w:rPr>
              <w:t>政策维度</w:t>
            </w:r>
          </w:p>
        </w:tc>
        <w:tc>
          <w:tcPr>
            <w:tcW w:w="2074" w:type="dxa"/>
          </w:tcPr>
          <w:p w14:paraId="08416258">
            <w:pPr>
              <w:spacing w:after="400" w:line="400" w:lineRule="exact"/>
              <w:jc w:val="left"/>
            </w:pPr>
            <w:r>
              <w:rPr>
                <w:b/>
              </w:rPr>
              <w:t>法国 (France)</w:t>
            </w:r>
          </w:p>
        </w:tc>
        <w:tc>
          <w:tcPr>
            <w:tcW w:w="2074" w:type="dxa"/>
          </w:tcPr>
          <w:p w14:paraId="23B72A62">
            <w:pPr>
              <w:spacing w:after="400" w:line="400" w:lineRule="exact"/>
              <w:jc w:val="left"/>
            </w:pPr>
            <w:r>
              <w:rPr>
                <w:b/>
              </w:rPr>
              <w:t>韩国 (South Korea)</w:t>
            </w:r>
          </w:p>
        </w:tc>
        <w:tc>
          <w:tcPr>
            <w:tcW w:w="2074" w:type="dxa"/>
          </w:tcPr>
          <w:p w14:paraId="7AE2AA8E">
            <w:pPr>
              <w:spacing w:after="400" w:line="400" w:lineRule="exact"/>
              <w:jc w:val="left"/>
            </w:pPr>
            <w:r>
              <w:rPr>
                <w:b/>
              </w:rPr>
              <w:t>对我国的启示与建议</w:t>
            </w:r>
          </w:p>
        </w:tc>
      </w:tr>
      <w:tr w14:paraId="2D78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F4BD7F1">
            <w:pPr>
              <w:spacing w:after="400" w:line="400" w:lineRule="exact"/>
              <w:jc w:val="left"/>
            </w:pPr>
            <w:r>
              <w:rPr>
                <w:b/>
              </w:rPr>
              <w:t>财政支持</w:t>
            </w:r>
          </w:p>
        </w:tc>
        <w:tc>
          <w:tcPr>
            <w:tcW w:w="2074" w:type="dxa"/>
          </w:tcPr>
          <w:p w14:paraId="3133DA5B">
            <w:pPr>
              <w:spacing w:after="400" w:line="400" w:lineRule="exact"/>
              <w:jc w:val="left"/>
            </w:pPr>
            <w:r>
              <w:t xml:space="preserve">- </w:t>
            </w:r>
            <w:r>
              <w:rPr>
                <w:b/>
              </w:rPr>
              <w:t>系统性机构资助：</w:t>
            </w:r>
            <w:r>
              <w:t xml:space="preserve"> 对艺术中心、FRAC、国家院团等的长期、稳定拨款。- </w:t>
            </w:r>
            <w:r>
              <w:rPr>
                <w:b/>
              </w:rPr>
              <w:t>项目制资助并行：</w:t>
            </w:r>
            <w:r>
              <w:t xml:space="preserve"> 文化部设立各类专项创作基金。- </w:t>
            </w:r>
            <w:r>
              <w:rPr>
                <w:b/>
              </w:rPr>
              <w:t>地方政府配套投入：</w:t>
            </w:r>
            <w:r>
              <w:t xml:space="preserve"> 中央与地方政府通过协议共同支持文化项目。</w:t>
            </w:r>
          </w:p>
        </w:tc>
        <w:tc>
          <w:tcPr>
            <w:tcW w:w="2074" w:type="dxa"/>
          </w:tcPr>
          <w:p w14:paraId="76918819">
            <w:pPr>
              <w:spacing w:after="400" w:line="400" w:lineRule="exact"/>
              <w:jc w:val="left"/>
            </w:pPr>
            <w:r>
              <w:t xml:space="preserve">- </w:t>
            </w:r>
            <w:r>
              <w:rPr>
                <w:b/>
              </w:rPr>
              <w:t>国家基金主导：</w:t>
            </w:r>
            <w:r>
              <w:t xml:space="preserve"> 韩国艺术委员会(ARKO)管理运营国家文化艺术振兴基金，以项目制资助为主。- </w:t>
            </w:r>
            <w:r>
              <w:rPr>
                <w:b/>
              </w:rPr>
              <w:t>产业投资基金：</w:t>
            </w:r>
            <w:r>
              <w:t xml:space="preserve"> 政府设立“母胎基金”，引导社会资本投资文化产业。- </w:t>
            </w:r>
            <w:r>
              <w:rPr>
                <w:b/>
              </w:rPr>
              <w:t>福利性财政支出：</w:t>
            </w:r>
            <w:r>
              <w:t xml:space="preserve"> 通过艺术家福利基金会发放创作准备金等。</w:t>
            </w:r>
          </w:p>
        </w:tc>
        <w:tc>
          <w:tcPr>
            <w:tcW w:w="2074" w:type="dxa"/>
          </w:tcPr>
          <w:p w14:paraId="368193DC">
            <w:pPr>
              <w:spacing w:after="400" w:line="400" w:lineRule="exact"/>
              <w:jc w:val="left"/>
            </w:pPr>
            <w:r>
              <w:t xml:space="preserve">- </w:t>
            </w:r>
            <w:r>
              <w:rPr>
                <w:b/>
              </w:rPr>
              <w:t>建议考虑“机构资助”与“项目资助”相结合</w:t>
            </w:r>
            <w:r>
              <w:t xml:space="preserve">，对具有公共服务属性的非营利艺术机构给予更稳定的支持。- </w:t>
            </w:r>
            <w:r>
              <w:rPr>
                <w:b/>
              </w:rPr>
              <w:t>建议探索设立国家级“文化产业投资引导基金”</w:t>
            </w:r>
            <w:r>
              <w:t>，放大财政资金杠杆效应。</w:t>
            </w:r>
          </w:p>
        </w:tc>
      </w:tr>
      <w:tr w14:paraId="6971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60441B">
            <w:pPr>
              <w:spacing w:after="400" w:line="400" w:lineRule="exact"/>
              <w:jc w:val="left"/>
            </w:pPr>
            <w:r>
              <w:rPr>
                <w:b/>
              </w:rPr>
              <w:t>税收优惠</w:t>
            </w:r>
          </w:p>
        </w:tc>
        <w:tc>
          <w:tcPr>
            <w:tcW w:w="2074" w:type="dxa"/>
          </w:tcPr>
          <w:p w14:paraId="147EC7DC">
            <w:pPr>
              <w:spacing w:after="400" w:line="400" w:lineRule="exact"/>
              <w:jc w:val="left"/>
            </w:pPr>
            <w:r>
              <w:t>- 对艺术品交易、文化捐赠、企业赞助等提供税收减免。- 艺术家个人所得税方面有特定优惠政策。</w:t>
            </w:r>
          </w:p>
        </w:tc>
        <w:tc>
          <w:tcPr>
            <w:tcW w:w="2074" w:type="dxa"/>
          </w:tcPr>
          <w:p w14:paraId="70B3F3E6">
            <w:pPr>
              <w:spacing w:after="400" w:line="400" w:lineRule="exact"/>
              <w:jc w:val="left"/>
            </w:pPr>
            <w:r>
              <w:t>- 针对文化产业企业提供税收抵免（如研发费用、投资抵免）。- 对文化捐赠提供税收优惠。</w:t>
            </w:r>
          </w:p>
        </w:tc>
        <w:tc>
          <w:tcPr>
            <w:tcW w:w="2074" w:type="dxa"/>
          </w:tcPr>
          <w:p w14:paraId="15254467">
            <w:pPr>
              <w:spacing w:after="400" w:line="400" w:lineRule="exact"/>
              <w:jc w:val="left"/>
            </w:pPr>
            <w:r>
              <w:t xml:space="preserve">- </w:t>
            </w:r>
            <w:r>
              <w:rPr>
                <w:b/>
              </w:rPr>
              <w:t>建议考虑</w:t>
            </w:r>
            <w:r>
              <w:t xml:space="preserve">对小微文化企业和个体艺术家工作室提供普惠性税收减免。- </w:t>
            </w:r>
            <w:r>
              <w:rPr>
                <w:b/>
              </w:rPr>
              <w:t>建议完善</w:t>
            </w:r>
            <w:r>
              <w:t>并大力宣传针对个人与企业的文化捐赠税收优惠政策，引导社会力量支持艺术发展。</w:t>
            </w:r>
          </w:p>
        </w:tc>
      </w:tr>
      <w:tr w14:paraId="4730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493C6EC">
            <w:pPr>
              <w:spacing w:after="400" w:line="400" w:lineRule="exact"/>
              <w:jc w:val="left"/>
            </w:pPr>
            <w:r>
              <w:rPr>
                <w:b/>
              </w:rPr>
              <w:t>法律保障</w:t>
            </w:r>
          </w:p>
        </w:tc>
        <w:tc>
          <w:tcPr>
            <w:tcW w:w="2074" w:type="dxa"/>
          </w:tcPr>
          <w:p w14:paraId="135CD882">
            <w:pPr>
              <w:spacing w:after="400" w:line="400" w:lineRule="exact"/>
              <w:jc w:val="left"/>
            </w:pPr>
            <w:r>
              <w:t xml:space="preserve">- </w:t>
            </w:r>
            <w:r>
              <w:rPr>
                <w:b/>
              </w:rPr>
              <w:t>完善的劳动法与社会保障法</w:t>
            </w:r>
            <w:r>
              <w:t xml:space="preserve">将艺术家纳入保障体系。- </w:t>
            </w:r>
            <w:r>
              <w:rPr>
                <w:b/>
              </w:rPr>
              <w:t>拥有专门的艺术家失业保险制度</w:t>
            </w:r>
            <w:r>
              <w:t>（间歇工作者制度）。- 强大的著作权保护法律体系。</w:t>
            </w:r>
          </w:p>
        </w:tc>
        <w:tc>
          <w:tcPr>
            <w:tcW w:w="2074" w:type="dxa"/>
          </w:tcPr>
          <w:p w14:paraId="2E61F59F">
            <w:pPr>
              <w:spacing w:after="400" w:line="400" w:lineRule="exact"/>
              <w:jc w:val="left"/>
            </w:pPr>
            <w:r>
              <w:t xml:space="preserve">- </w:t>
            </w:r>
            <w:r>
              <w:rPr>
                <w:b/>
              </w:rPr>
              <w:t>标志性专门立法：</w:t>
            </w:r>
            <w:r>
              <w:t xml:space="preserve"> 《艺术家福利法》从法律上确立艺术家地位和权益。- </w:t>
            </w:r>
            <w:r>
              <w:rPr>
                <w:b/>
              </w:rPr>
              <w:t>配套法律法规：</w:t>
            </w:r>
            <w:r>
              <w:t xml:space="preserve"> 《艺术家地位和权利保护法》、《残疾人艺术家文化与艺术活动支持法》等，形成法律矩阵。</w:t>
            </w:r>
          </w:p>
        </w:tc>
        <w:tc>
          <w:tcPr>
            <w:tcW w:w="2074" w:type="dxa"/>
          </w:tcPr>
          <w:p w14:paraId="58F05367">
            <w:pPr>
              <w:spacing w:after="400" w:line="400" w:lineRule="exact"/>
              <w:jc w:val="left"/>
            </w:pPr>
            <w:r>
              <w:t xml:space="preserve">- </w:t>
            </w:r>
            <w:r>
              <w:rPr>
                <w:b/>
              </w:rPr>
              <w:t>建议研究制定符合国情的《艺术家权益保障条例》</w:t>
            </w:r>
            <w:r>
              <w:t xml:space="preserve">，明确自由职业艺术家的法律地位、社会保障、劳动保护等基本权益。- </w:t>
            </w:r>
            <w:r>
              <w:rPr>
                <w:b/>
              </w:rPr>
              <w:t>建议在《著作权法》实施细则中，进一步加强对数字环境下艺术家权益的保护。</w:t>
            </w:r>
          </w:p>
        </w:tc>
      </w:tr>
      <w:tr w14:paraId="3F24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56D0EBD">
            <w:pPr>
              <w:spacing w:after="400" w:line="400" w:lineRule="exact"/>
              <w:jc w:val="left"/>
            </w:pPr>
            <w:r>
              <w:rPr>
                <w:b/>
              </w:rPr>
              <w:t>教育体系</w:t>
            </w:r>
          </w:p>
        </w:tc>
        <w:tc>
          <w:tcPr>
            <w:tcW w:w="2074" w:type="dxa"/>
          </w:tcPr>
          <w:p w14:paraId="6E607F22">
            <w:pPr>
              <w:spacing w:after="400" w:line="400" w:lineRule="exact"/>
              <w:jc w:val="left"/>
            </w:pPr>
            <w:r>
              <w:t xml:space="preserve">- </w:t>
            </w:r>
            <w:r>
              <w:rPr>
                <w:b/>
              </w:rPr>
              <w:t>强调全民艺术教育（EAC）</w:t>
            </w:r>
            <w:r>
              <w:t>，从基础教育阶段培养艺术素养与未来观众。- 高等艺术教育体系完备，公立院校学费低廉。- 鼓励艺术院校与文化机构的深度合作。</w:t>
            </w:r>
          </w:p>
        </w:tc>
        <w:tc>
          <w:tcPr>
            <w:tcW w:w="2074" w:type="dxa"/>
          </w:tcPr>
          <w:p w14:paraId="004DA5C0">
            <w:pPr>
              <w:spacing w:after="400" w:line="400" w:lineRule="exact"/>
              <w:jc w:val="left"/>
            </w:pPr>
            <w:r>
              <w:t xml:space="preserve">- </w:t>
            </w:r>
            <w:r>
              <w:rPr>
                <w:b/>
              </w:rPr>
              <w:t>精英教育与职业教育并重：</w:t>
            </w:r>
            <w:r>
              <w:t xml:space="preserve"> 建立从艺术高中到顶尖大学的精英培养链条。- </w:t>
            </w:r>
            <w:r>
              <w:rPr>
                <w:b/>
              </w:rPr>
              <w:t>强化终身教育体系</w:t>
            </w:r>
            <w:r>
              <w:t xml:space="preserve">，为艺术家提供职业转型和技能更新的培训机会。- </w:t>
            </w:r>
            <w:r>
              <w:rPr>
                <w:b/>
              </w:rPr>
              <w:t>产学研结合紧密</w:t>
            </w:r>
            <w:r>
              <w:t>，特别是在游戏、动漫等产业化程度高的领域。</w:t>
            </w:r>
          </w:p>
        </w:tc>
        <w:tc>
          <w:tcPr>
            <w:tcW w:w="2074" w:type="dxa"/>
          </w:tcPr>
          <w:p w14:paraId="4CE223DC">
            <w:pPr>
              <w:spacing w:after="400" w:line="400" w:lineRule="exact"/>
              <w:jc w:val="left"/>
            </w:pPr>
            <w:r>
              <w:t xml:space="preserve">- </w:t>
            </w:r>
            <w:r>
              <w:rPr>
                <w:b/>
              </w:rPr>
              <w:t>建议将艺术素养全面纳入国民教育体系</w:t>
            </w:r>
            <w:r>
              <w:t xml:space="preserve">，作为“五育并举”的重要内容。- </w:t>
            </w:r>
            <w:r>
              <w:rPr>
                <w:b/>
              </w:rPr>
              <w:t>建议鼓励艺术院校与科技企业、互联网平台共建实验室、开设交叉课程</w:t>
            </w:r>
            <w:r>
              <w:t>，培养“跨界融合型”人才。</w:t>
            </w:r>
          </w:p>
        </w:tc>
      </w:tr>
    </w:tbl>
    <w:p w14:paraId="1DBC8865">
      <w:pPr>
        <w:spacing w:before="400" w:after="400" w:line="400" w:lineRule="atLeast"/>
      </w:pPr>
      <w:r>
        <w:rPr>
          <w:b/>
        </w:rPr>
        <w:t>辩证平衡：</w:t>
      </w:r>
    </w:p>
    <w:p w14:paraId="0541CFD5">
      <w:pPr>
        <w:spacing w:after="400" w:line="400" w:lineRule="atLeast"/>
      </w:pPr>
      <w:r>
        <w:t>需要指出的是，法、韩两国的政策体系均植根于其独特的社会文化土壤。法国的强国家传统使其政策具有高度的稳定性和系统性，但有时也可能存在效率不高、官僚主义等问题。韩国的模式则更具产业导向和市场效率，但在一定程度上可能过度偏向于能够产生巨大经济效益的流行文化领域。因此，我国在借鉴其经验时，不应简单复制，而应结合我国国情，进行创造性转化与创新性发展，取其精髓，服务于构建中国特色的艺术人才发展生态。</w:t>
      </w:r>
    </w:p>
    <w:p w14:paraId="323F2772">
      <w:pPr>
        <w:spacing w:after="400" w:line="400" w:lineRule="atLeast"/>
      </w:pPr>
      <w:r>
        <w:rPr>
          <w:b/>
          <w:sz w:val="30"/>
        </w:rPr>
        <w:t>四、 战略构建与政策建议：构建“雨林式”艺术人才发展生态</w:t>
      </w:r>
    </w:p>
    <w:p w14:paraId="258558D5">
      <w:pPr>
        <w:spacing w:after="400" w:line="400" w:lineRule="atLeast"/>
      </w:pPr>
      <w:r>
        <w:t>基于前述分析，本报告认为，我国艺术人才生态的未来目标，不应是建一个物种单一、结构整齐的“人工林”，而应是构建一个物种丰富、结构复杂、自我调节、充满活力的**“雨林式”生态系统（Rainforest-like Ecosystem）**。在这个生态系统中，既有参天大树（顶尖艺术家和龙头企业），也有繁茂的灌木（中小微创作团体），更有丰富的地衣和微生物（大量个体创作者），它们相互依存，共同构成了生态的韧性与活力。</w:t>
      </w:r>
    </w:p>
    <w:p w14:paraId="6525A3ED">
      <w:pPr>
        <w:spacing w:after="400" w:line="400" w:lineRule="atLeast"/>
      </w:pPr>
      <w:r>
        <w:rPr>
          <w:b/>
          <w:sz w:val="26"/>
        </w:rPr>
        <w:t>(一) 顶层设计：确立“人才-产业-社会”协同发展战略</w:t>
      </w:r>
    </w:p>
    <w:p w14:paraId="6BB827B3">
      <w:pPr>
        <w:spacing w:after="400" w:line="400" w:lineRule="atLeast"/>
      </w:pPr>
      <w:r>
        <w:t>建议将艺术人才发展提升至国家文化安全与创新驱动战略的高度，确立“人才培养链、产业创新链、社会支持链”三链协同的顶层设计思路。这意味着，相关政策的制定不能仅由文化主管部门“单兵突进”，而应建立由</w:t>
      </w:r>
      <w:r>
        <w:rPr>
          <w:b/>
        </w:rPr>
        <w:t>文化、教育、科技、人社、财政、税务</w:t>
      </w:r>
      <w:r>
        <w:t>等多部门参与的常态化协同机制，统筹规划，形成合力。</w:t>
      </w:r>
    </w:p>
    <w:p w14:paraId="7D434A28">
      <w:pPr>
        <w:spacing w:after="400" w:line="400" w:lineRule="atLeast"/>
      </w:pPr>
      <w:r>
        <w:rPr>
          <w:b/>
          <w:sz w:val="26"/>
        </w:rPr>
        <w:t>(二) 政策工具箱：多部门联动的精准支持体系</w:t>
      </w:r>
    </w:p>
    <w:p w14:paraId="295E5181">
      <w:pPr>
        <w:spacing w:after="400" w:line="400" w:lineRule="atLeast"/>
      </w:pPr>
      <w:r>
        <w:t>为实现“雨林式”生态的目标，需要一个多元化、多层次的政策工具箱，精准滴灌生态系统中的不同环节。</w:t>
      </w:r>
    </w:p>
    <w:p w14:paraId="3587671E">
      <w:pPr>
        <w:spacing w:after="400" w:line="400" w:lineRule="atLeast"/>
      </w:pPr>
      <w:r>
        <w:rPr>
          <w:b/>
          <w:sz w:val="24"/>
        </w:rPr>
        <w:t>1. 教育端：构建跨学科人才培养“立交桥”</w:t>
      </w:r>
    </w:p>
    <w:p w14:paraId="643C2400">
      <w:pPr>
        <w:numPr>
          <w:ilvl w:val="-1"/>
          <w:numId w:val="6"/>
        </w:numPr>
        <w:spacing w:after="400" w:line="400" w:lineRule="atLeast"/>
      </w:pPr>
      <w:r>
        <w:rPr>
          <w:b/>
        </w:rPr>
        <w:t>（1）推广“主修+微专业/辅修”模式：</w:t>
      </w:r>
      <w:r>
        <w:t xml:space="preserve"> 建议</w:t>
      </w:r>
      <w:r>
        <w:rPr>
          <w:b/>
        </w:rPr>
        <w:t>教育部</w:t>
      </w:r>
      <w:r>
        <w:t>指导高水平艺术院校，面向全体学生，大规模开设与“艺术+”相关的“微专业”或“辅修”课程模块，如“艺术+科技（AIGC、交互设计）”、“艺术+商业（策展、IP授权）”、“艺术+疗愈（艺术治疗、社区美育）”等，让学生在不改变主修专业的前提下，低成本地构建复合型知识结构。</w:t>
      </w:r>
    </w:p>
    <w:p w14:paraId="47AEC913">
      <w:pPr>
        <w:numPr>
          <w:ilvl w:val="-1"/>
          <w:numId w:val="6"/>
        </w:numPr>
        <w:spacing w:after="400" w:line="400" w:lineRule="atLeast"/>
      </w:pPr>
      <w:r>
        <w:rPr>
          <w:b/>
        </w:rPr>
        <w:t>（2）设立“交叉学科博士/硕士”专项：</w:t>
      </w:r>
      <w:r>
        <w:t xml:space="preserve"> 在国家研究生招生计划中，设立“艺术与科学”、“设计与社会”等交叉学位的专项名额，由艺术院校与综合性大学、理工科院校联合培养，从源头上培养顶尖的“跨界融合型”领军人才。</w:t>
      </w:r>
    </w:p>
    <w:p w14:paraId="58DE7CCF">
      <w:pPr>
        <w:numPr>
          <w:ilvl w:val="-1"/>
          <w:numId w:val="6"/>
        </w:numPr>
        <w:spacing w:after="400" w:line="400" w:lineRule="atLeast"/>
      </w:pPr>
      <w:r>
        <w:rPr>
          <w:b/>
        </w:rPr>
        <w:t>（3）将产业实践纳入核心学分：</w:t>
      </w:r>
      <w:r>
        <w:t xml:space="preserve"> 建议改革艺术类专业学生的毕业要求，将高质量的产业项目实习、社会创新实践等，作为与毕业创作同等重要的核心学分，并建立由学校、企业、行业协会共同认证的实践评价体系。</w:t>
      </w:r>
    </w:p>
    <w:p w14:paraId="752320FB">
      <w:pPr>
        <w:spacing w:after="400" w:line="400" w:lineRule="atLeast"/>
      </w:pPr>
      <w:r>
        <w:rPr>
          <w:b/>
          <w:sz w:val="24"/>
        </w:rPr>
        <w:t>2. 产业端：疏通价值转化“毛细血管”</w:t>
      </w:r>
    </w:p>
    <w:p w14:paraId="5B5FEFE2">
      <w:pPr>
        <w:numPr>
          <w:ilvl w:val="-1"/>
          <w:numId w:val="6"/>
        </w:numPr>
        <w:spacing w:after="400" w:line="400" w:lineRule="atLeast"/>
      </w:pPr>
      <w:r>
        <w:rPr>
          <w:b/>
        </w:rPr>
        <w:t>（1）设立国家级“艺术+科技”融合创新基金：</w:t>
      </w:r>
      <w:r>
        <w:t xml:space="preserve"> 建议由</w:t>
      </w:r>
      <w:r>
        <w:rPr>
          <w:b/>
        </w:rPr>
        <w:t>科技部</w:t>
      </w:r>
      <w:r>
        <w:t>与</w:t>
      </w:r>
      <w:r>
        <w:rPr>
          <w:b/>
        </w:rPr>
        <w:t>文旅部</w:t>
      </w:r>
      <w:r>
        <w:t>联合牵头，设立专项基金，重点支持处于种子期和天使轮的“艺术+科技”创业项目，特别是那些具有底层技术创新和商业模式创新的中小微企业。</w:t>
      </w:r>
    </w:p>
    <w:p w14:paraId="309FAAF4">
      <w:pPr>
        <w:numPr>
          <w:ilvl w:val="-1"/>
          <w:numId w:val="6"/>
        </w:numPr>
        <w:spacing w:after="400" w:line="400" w:lineRule="atLeast"/>
      </w:pPr>
      <w:r>
        <w:rPr>
          <w:b/>
        </w:rPr>
        <w:t>（2）实施“艺术人才吸纳补贴计划”：</w:t>
      </w:r>
      <w:r>
        <w:t xml:space="preserve"> 建议</w:t>
      </w:r>
      <w:r>
        <w:rPr>
          <w:b/>
        </w:rPr>
        <w:t>人社部</w:t>
      </w:r>
      <w:r>
        <w:t>与</w:t>
      </w:r>
      <w:r>
        <w:rPr>
          <w:b/>
        </w:rPr>
        <w:t>税务总局</w:t>
      </w:r>
      <w:r>
        <w:t>研究出台政策，对首次雇佣艺术类专业毕业生的非文化类中小微企业（如科技公司、消费品公司），在一定期限内（如1-2年）给予一定的社保补贴或税收减免，以激励更广泛的产业领域吸纳艺术人才。</w:t>
      </w:r>
    </w:p>
    <w:p w14:paraId="6321D606">
      <w:pPr>
        <w:numPr>
          <w:ilvl w:val="-1"/>
          <w:numId w:val="6"/>
        </w:numPr>
        <w:spacing w:after="400" w:line="400" w:lineRule="atLeast"/>
      </w:pPr>
      <w:r>
        <w:rPr>
          <w:b/>
        </w:rPr>
        <w:t>（3-）打造“线上+线下”一体化IP交易与服务平台：</w:t>
      </w:r>
      <w:r>
        <w:t xml:space="preserve"> 建议由国家版权局指导，建设国家级的数字文化产权交易服务平台，为个体艺术家提供集版权登记、价值评估、授权交易、法律维权于一体的“一站式”服务，降低其IP转化的门槛与成本。</w:t>
      </w:r>
    </w:p>
    <w:p w14:paraId="64142147">
      <w:pPr>
        <w:spacing w:after="400" w:line="400" w:lineRule="atLeast"/>
      </w:pPr>
      <w:r>
        <w:rPr>
          <w:b/>
          <w:sz w:val="24"/>
        </w:rPr>
        <w:t>3. 保障端：织密社会性“安全网”</w:t>
      </w:r>
    </w:p>
    <w:p w14:paraId="70414702">
      <w:pPr>
        <w:numPr>
          <w:ilvl w:val="-1"/>
          <w:numId w:val="6"/>
        </w:numPr>
        <w:spacing w:after="400" w:line="400" w:lineRule="atLeast"/>
      </w:pPr>
      <w:r>
        <w:rPr>
          <w:b/>
        </w:rPr>
        <w:t>（1）探索建立自由职业艺术家社会保障补充机制：</w:t>
      </w:r>
      <w:r>
        <w:t xml:space="preserve"> 借鉴韩国经验，建议由</w:t>
      </w:r>
      <w:r>
        <w:rPr>
          <w:b/>
        </w:rPr>
        <w:t>人社部</w:t>
      </w:r>
      <w:r>
        <w:t>牵头，研究针对无法按单位参保的自由职业艺术家，设立专门的社会保险（特别是医疗和养老保险）补充参保渠道，允许其以更灵活的方式、更合理的缴费基数参保，解决其后顾之忧。</w:t>
      </w:r>
    </w:p>
    <w:p w14:paraId="61E2C079">
      <w:pPr>
        <w:numPr>
          <w:ilvl w:val="-1"/>
          <w:numId w:val="6"/>
        </w:numPr>
        <w:spacing w:after="400" w:line="400" w:lineRule="atLeast"/>
      </w:pPr>
      <w:r>
        <w:rPr>
          <w:b/>
        </w:rPr>
        <w:t>（2）推广“艺术领域公共法律服务计划”：</w:t>
      </w:r>
      <w:r>
        <w:t xml:space="preserve"> 建议</w:t>
      </w:r>
      <w:r>
        <w:rPr>
          <w:b/>
        </w:rPr>
        <w:t>司法部</w:t>
      </w:r>
      <w:r>
        <w:t>联合各级文联、美协等组织，建立艺术领域的专业法律志愿者团队或公益法律服务中心，为艺术家提供低成本甚至免费的合同审查、版权咨询、纠纷调解等服务。</w:t>
      </w:r>
    </w:p>
    <w:p w14:paraId="3CD04B67">
      <w:pPr>
        <w:numPr>
          <w:ilvl w:val="-1"/>
          <w:numId w:val="6"/>
        </w:numPr>
        <w:spacing w:after="400" w:line="400" w:lineRule="atLeast"/>
      </w:pPr>
      <w:r>
        <w:rPr>
          <w:b/>
        </w:rPr>
        <w:t>（3）盘活城市闲置空间为青年艺术家工作室：</w:t>
      </w:r>
      <w:r>
        <w:t xml:space="preserve"> 鼓励地方政府将城市更新过程中产生的闲置厂房、仓库等空间，以低租金或免租金的方式，改造为青年艺术家共享工作室或孵化器，为其提供基础的创作空间保障。</w:t>
      </w:r>
    </w:p>
    <w:p w14:paraId="383D3668">
      <w:pPr>
        <w:spacing w:after="400" w:line="400" w:lineRule="atLeast"/>
      </w:pPr>
      <w:r>
        <w:rPr>
          <w:b/>
          <w:sz w:val="24"/>
        </w:rPr>
        <w:t>4. 评价端：建立多元价值“度量衡”</w:t>
      </w:r>
    </w:p>
    <w:p w14:paraId="5F9E1818">
      <w:pPr>
        <w:numPr>
          <w:ilvl w:val="-1"/>
          <w:numId w:val="6"/>
        </w:numPr>
        <w:spacing w:after="400" w:line="400" w:lineRule="atLeast"/>
      </w:pPr>
      <w:r>
        <w:rPr>
          <w:b/>
        </w:rPr>
        <w:t>（1）优化国家级艺术基金与人才计划评审标准：</w:t>
      </w:r>
      <w:r>
        <w:t xml:space="preserve"> 建议在国家艺术基金、青年艺术人才托举工程等国家级项目的评审中，改变过度依赖学术背景、奖项头衔的单一评价维度。引入更加多元的评价指标，如**“跨界创新性”、“市场转化潜力”、“社会美育贡献”、“国际传播能力”**等，并适当增加青年评委和来自产业界的评委比重。</w:t>
      </w:r>
    </w:p>
    <w:p w14:paraId="1B221704">
      <w:pPr>
        <w:numPr>
          <w:ilvl w:val="-1"/>
          <w:numId w:val="6"/>
        </w:numPr>
        <w:spacing w:after="400" w:line="400" w:lineRule="atLeast"/>
      </w:pPr>
      <w:r>
        <w:rPr>
          <w:b/>
        </w:rPr>
        <w:t>（2）建立“艺术人才社会影响力”动态评估体系：</w:t>
      </w:r>
      <w:r>
        <w:t xml:space="preserve"> 鼓励行业协会、研究机构等第三方，基于大数据分析，研究并发布“艺术人才社会影响力榜单”，综合评估人才在公共教育、社区营造、乡村美育、网络传播等方面的社会贡献，作为对其价值的补充性评价。</w:t>
      </w:r>
    </w:p>
    <w:p w14:paraId="6E3B0CA5">
      <w:pPr>
        <w:spacing w:after="400" w:line="400" w:lineRule="atLeast"/>
      </w:pPr>
      <w:r>
        <w:rPr>
          <w:b/>
          <w:sz w:val="30"/>
        </w:rPr>
        <w:t>五、 结论与展望</w:t>
      </w:r>
    </w:p>
    <w:p w14:paraId="5CEEC2D5">
      <w:pPr>
        <w:spacing w:after="400" w:line="400" w:lineRule="atLeast"/>
      </w:pPr>
      <w:r>
        <w:rPr>
          <w:b/>
          <w:sz w:val="26"/>
        </w:rPr>
        <w:t>(一) 核心结论</w:t>
      </w:r>
    </w:p>
    <w:p w14:paraId="1B81CFF8">
      <w:pPr>
        <w:spacing w:after="400" w:line="400" w:lineRule="atLeast"/>
      </w:pPr>
      <w:r>
        <w:t>本报告系统性地论证了，推动艺术人才的多元化发展，并为其构建一个富有活力的生态系统，是应对全球创意经济竞争和实现我国文化发展战略目标的必然要求。其核心在于，必须从根本上转变将艺术人才视为单一领域“生产者”的传统观念，而应将其视为能够赋能百业、驱动创新的**“社会创新催化剂”**。当前面临的主要挑战，是人才供给结构、社会评价体系、价值转化渠道与产业发展需求之间的结构性错配。破局的关键，在于采取一套“组合拳”式的系统性政策干预，打通教育、产业、社会保障与价值评价之间的壁垒，构建一个开放、协同、包容的“雨林式”生态。</w:t>
      </w:r>
    </w:p>
    <w:p w14:paraId="48B69348">
      <w:pPr>
        <w:spacing w:after="400" w:line="400" w:lineRule="atLeast"/>
      </w:pPr>
      <w:r>
        <w:rPr>
          <w:b/>
          <w:sz w:val="26"/>
        </w:rPr>
        <w:t>(二) 战略升维：赋能国家重大发展战略</w:t>
      </w:r>
    </w:p>
    <w:p w14:paraId="173A8910">
      <w:pPr>
        <w:spacing w:after="400" w:line="400" w:lineRule="atLeast"/>
      </w:pPr>
      <w:r>
        <w:t>本报告提出的政策建议，其意义远超文化领域本身，它们与我国多项重大国家战略深度耦合，具有“一子落而全盘活”的战略价值。</w:t>
      </w:r>
    </w:p>
    <w:p w14:paraId="65276BEE">
      <w:pPr>
        <w:numPr>
          <w:ilvl w:val="0"/>
          <w:numId w:val="9"/>
        </w:numPr>
        <w:spacing w:after="400" w:line="400" w:lineRule="atLeast"/>
      </w:pPr>
      <w:r>
        <w:rPr>
          <w:b/>
        </w:rPr>
        <w:t>赋能“文化强国战略”：</w:t>
      </w:r>
      <w:r>
        <w:t xml:space="preserve"> 一个多元、活跃的艺术人才群体是文化创新活力的源泉。通过优化其生态，能够催生更多具有中国特色、体现时代精神、深受人民喜爱的优秀作品与文化产品，从而夯实文化强国的根基。</w:t>
      </w:r>
    </w:p>
    <w:p w14:paraId="7487CD8F">
      <w:pPr>
        <w:numPr>
          <w:ilvl w:val="0"/>
          <w:numId w:val="9"/>
        </w:numPr>
        <w:spacing w:after="400" w:line="400" w:lineRule="atLeast"/>
      </w:pPr>
      <w:r>
        <w:rPr>
          <w:b/>
        </w:rPr>
        <w:t>赋能“数字经济国家战略”：</w:t>
      </w:r>
      <w:r>
        <w:t xml:space="preserve"> 数字经济的下半场，是内容与体验的竞争。艺术人才所具备的审美能力、叙事能力和情感洞察力，是提升数字产品（如游戏、社交媒体、虚拟世界）用户体验与情感价值的核心要素，是数字经济从“技术驱动”迈向“人文驱动”的关键变量。</w:t>
      </w:r>
    </w:p>
    <w:p w14:paraId="7AEF82CE">
      <w:pPr>
        <w:numPr>
          <w:ilvl w:val="0"/>
          <w:numId w:val="9"/>
        </w:numPr>
        <w:spacing w:after="400" w:line="400" w:lineRule="atLeast"/>
      </w:pPr>
      <w:r>
        <w:rPr>
          <w:b/>
        </w:rPr>
        <w:t>赋能“人才强国战略”：</w:t>
      </w:r>
      <w:r>
        <w:t xml:space="preserve"> 将艺术人才纳入更广阔的人才强国战略框架，承认并发挥其在激发社会创新、提升国民素养、塑造城市品格等方面的独特作用，是丰富“人才”内涵、构建多元化、多层次国家人才体系的应有之义。</w:t>
      </w:r>
    </w:p>
    <w:p w14:paraId="77DB9895">
      <w:pPr>
        <w:numPr>
          <w:ilvl w:val="0"/>
          <w:numId w:val="9"/>
        </w:numPr>
        <w:spacing w:after="400" w:line="400" w:lineRule="atLeast"/>
      </w:pPr>
      <w:r>
        <w:rPr>
          <w:b/>
        </w:rPr>
        <w:t>赋能“乡村振兴战略”：</w:t>
      </w:r>
      <w:r>
        <w:t xml:space="preserve"> “跨界融合型”艺术人才（如乡村美育设计师、社区营造师）正在成为推动乡村文化振兴、提升乡村文旅品质、重塑乡村美学价值的重要力量。政策的倾斜能够引导更多艺术人才投身于广阔的乡村天地。</w:t>
      </w:r>
    </w:p>
    <w:p w14:paraId="634D7B62">
      <w:pPr>
        <w:spacing w:after="400" w:line="400" w:lineRule="atLeast"/>
      </w:pPr>
      <w:r>
        <w:rPr>
          <w:b/>
          <w:sz w:val="26"/>
        </w:rPr>
        <w:t>(三) 展望</w:t>
      </w:r>
    </w:p>
    <w:p w14:paraId="32EB53B3">
      <w:pPr>
        <w:spacing w:after="400" w:line="400" w:lineRule="atLeast"/>
      </w:pPr>
      <w:r>
        <w:t>展望未来，随着新一轮科技革命和产业变革的深入，艺术的边界将进一步消融，艺术与其他领域的融合将成为常态。一个国家拥有多少能够驾驭这种融合、创造全新价值的艺术人才，将在很大程度上决定其在全球文化格局中的地位。</w:t>
      </w:r>
    </w:p>
    <w:p w14:paraId="5F1EB75D">
      <w:pPr>
        <w:spacing w:after="400" w:line="400" w:lineRule="atLeast"/>
      </w:pPr>
      <w:r>
        <w:t>本报告所提出的战略框架与政策建议，是一个旨在激发系统内生活力的长期性工程，不可能一蹴而就。它需要在实践中不断调试、迭代和完善。我们有理由相信，凭借我国庞大的人才基数、广阔的市场空间和显著的制度优势，只要我们以更长远的眼光、更系统的思维、更精准的政策去培育和浇灌我们的艺术人才“雨林”，它必将成长为一片生机勃勃、硕果累累的创新高地，为中华民族的伟大复兴注入不竭的文化动能。</w:t>
      </w:r>
    </w:p>
    <w:p w14:paraId="5375AC96">
      <w:pPr>
        <w:pStyle w:val="3"/>
        <w:spacing w:after="400" w:line="400" w:lineRule="atLeast"/>
      </w:pPr>
      <w:r>
        <w:t>文献来源</w:t>
      </w:r>
    </w:p>
    <w:p w14:paraId="2FB86F50">
      <w:pPr>
        <w:spacing w:after="200" w:line="400" w:lineRule="atLeast"/>
      </w:pPr>
      <w:r>
        <w:fldChar w:fldCharType="begin"/>
      </w:r>
      <w:r>
        <w:instrText xml:space="preserve"> HYPERLINK "https://doi.org/10.54394/guaa9177" \h </w:instrText>
      </w:r>
      <w:r>
        <w:fldChar w:fldCharType="separate"/>
      </w:r>
      <w:r>
        <w:rPr>
          <w:rStyle w:val="13"/>
          <w:color w:val="0563C1"/>
        </w:rPr>
        <w:t>[146,151]. La protection sociale dans le secteur de la culture et de la création: Pratiques et innovations observées dans différents pays</w:t>
      </w:r>
      <w:r>
        <w:rPr>
          <w:rStyle w:val="13"/>
          <w:color w:val="0563C1"/>
        </w:rPr>
        <w:fldChar w:fldCharType="end"/>
      </w:r>
    </w:p>
    <w:p w14:paraId="08C9109A">
      <w:pPr>
        <w:spacing w:after="200" w:line="400" w:lineRule="atLeast"/>
      </w:pPr>
      <w:r>
        <w:fldChar w:fldCharType="begin"/>
      </w:r>
      <w:r>
        <w:instrText xml:space="preserve"> HYPERLINK "https://doi.org/10.16937/kcti.rep.2020.e13" \h </w:instrText>
      </w:r>
      <w:r>
        <w:fldChar w:fldCharType="separate"/>
      </w:r>
      <w:r>
        <w:rPr>
          <w:rStyle w:val="13"/>
          <w:color w:val="0563C1"/>
        </w:rPr>
        <w:t>[191]. 예술향유정책 분석 및 방향 연구</w:t>
      </w:r>
      <w:r>
        <w:rPr>
          <w:rStyle w:val="13"/>
          <w:color w:val="0563C1"/>
        </w:rPr>
        <w:fldChar w:fldCharType="end"/>
      </w:r>
    </w:p>
    <w:p w14:paraId="28F85B85">
      <w:pPr>
        <w:spacing w:after="200" w:line="400" w:lineRule="atLeast"/>
      </w:pPr>
      <w:r>
        <w:fldChar w:fldCharType="begin"/>
      </w:r>
      <w:r>
        <w:instrText xml:space="preserve"> HYPERLINK "https://doi.org/10.1080/10286632.2011.638983" \h </w:instrText>
      </w:r>
      <w:r>
        <w:fldChar w:fldCharType="separate"/>
      </w:r>
      <w:r>
        <w:rPr>
          <w:rStyle w:val="13"/>
          <w:color w:val="0563C1"/>
        </w:rPr>
        <w:t>[231,232]. Progress without consensus: ‘instituting’ Arts Council in Korea</w:t>
      </w:r>
      <w:r>
        <w:rPr>
          <w:rStyle w:val="13"/>
          <w:color w:val="0563C1"/>
        </w:rPr>
        <w:fldChar w:fldCharType="end"/>
      </w:r>
    </w:p>
    <w:p w14:paraId="20548FCA">
      <w:pPr>
        <w:spacing w:after="400" w:line="400" w:lineRule="atLeast"/>
      </w:pPr>
      <w:r>
        <w:rPr>
          <w:i/>
        </w:rPr>
        <w:t>以下来源未被直接引用</w:t>
      </w:r>
    </w:p>
    <w:p w14:paraId="22BC47EE">
      <w:pPr>
        <w:spacing w:after="200" w:line="400" w:lineRule="atLeast"/>
      </w:pPr>
      <w:r>
        <w:fldChar w:fldCharType="begin"/>
      </w:r>
      <w:r>
        <w:instrText xml:space="preserve"> HYPERLINK "https://doi.org/10.1080/09548963.2014.912043" \h </w:instrText>
      </w:r>
      <w:r>
        <w:fldChar w:fldCharType="separate"/>
      </w:r>
      <w:r>
        <w:rPr>
          <w:rStyle w:val="13"/>
          <w:color w:val="0563C1"/>
        </w:rPr>
        <w:t>Creative industries in “developing” countries: Questioning country classifications in the UNCTAD creative economy reports</w:t>
      </w:r>
      <w:r>
        <w:rPr>
          <w:rStyle w:val="13"/>
          <w:color w:val="0563C1"/>
        </w:rPr>
        <w:fldChar w:fldCharType="end"/>
      </w:r>
    </w:p>
    <w:p w14:paraId="24D36537">
      <w:pPr>
        <w:spacing w:after="200" w:line="400" w:lineRule="atLeast"/>
      </w:pPr>
      <w:r>
        <w:fldChar w:fldCharType="begin"/>
      </w:r>
      <w:r>
        <w:instrText xml:space="preserve"> HYPERLINK "https://doi.org/10.1177/0002764217734274" \h </w:instrText>
      </w:r>
      <w:r>
        <w:fldChar w:fldCharType="separate"/>
      </w:r>
      <w:r>
        <w:rPr>
          <w:rStyle w:val="13"/>
          <w:color w:val="0563C1"/>
        </w:rPr>
        <w:t>Cultural Capital: Arts Graduates, Spatial Inequality, and London’s Impact on Cultural Labor Markets</w:t>
      </w:r>
      <w:r>
        <w:rPr>
          <w:rStyle w:val="13"/>
          <w:color w:val="0563C1"/>
        </w:rPr>
        <w:fldChar w:fldCharType="end"/>
      </w:r>
    </w:p>
    <w:p w14:paraId="512AD42F">
      <w:pPr>
        <w:spacing w:after="200" w:line="400" w:lineRule="atLeast"/>
      </w:pPr>
      <w:r>
        <w:fldChar w:fldCharType="begin"/>
      </w:r>
      <w:r>
        <w:instrText xml:space="preserve"> HYPERLINK "https://www.semanticscholar.org/search?q=Culture%2C%20Creativity%2C%20Cultural%20Economy%3A%20A%20Review&amp;sort=relevance" \h </w:instrText>
      </w:r>
      <w:r>
        <w:fldChar w:fldCharType="separate"/>
      </w:r>
      <w:r>
        <w:rPr>
          <w:rStyle w:val="13"/>
          <w:color w:val="0563C1"/>
        </w:rPr>
        <w:t>Culture, Creativity, Cultural Economy: A Review</w:t>
      </w:r>
      <w:r>
        <w:rPr>
          <w:rStyle w:val="13"/>
          <w:color w:val="0563C1"/>
        </w:rPr>
        <w:fldChar w:fldCharType="end"/>
      </w:r>
    </w:p>
    <w:p w14:paraId="0DE7A544">
      <w:pPr>
        <w:spacing w:after="200" w:line="400" w:lineRule="atLeast"/>
      </w:pPr>
      <w:r>
        <w:fldChar w:fldCharType="begin"/>
      </w:r>
      <w:r>
        <w:instrText xml:space="preserve"> HYPERLINK "https://doi.org/10.15407/scin16.01.016" \h </w:instrText>
      </w:r>
      <w:r>
        <w:fldChar w:fldCharType="separate"/>
      </w:r>
      <w:r>
        <w:rPr>
          <w:rStyle w:val="13"/>
          <w:color w:val="0563C1"/>
        </w:rPr>
        <w:t>New Economy: Evolution of Forms and Research Methodology</w:t>
      </w:r>
      <w:r>
        <w:rPr>
          <w:rStyle w:val="13"/>
          <w:color w:val="0563C1"/>
        </w:rPr>
        <w:fldChar w:fldCharType="end"/>
      </w:r>
    </w:p>
    <w:p w14:paraId="4FAFD429">
      <w:pPr>
        <w:spacing w:after="200" w:line="400" w:lineRule="atLeast"/>
      </w:pPr>
      <w:r>
        <w:fldChar w:fldCharType="begin"/>
      </w:r>
      <w:r>
        <w:instrText xml:space="preserve"> HYPERLINK "https://www.semanticscholar.org/search?q=%C3%89conomie%20cr%C3%A9ative%2C%20sp%C3%A9cialisation%20internationale%20et%20tourisme&amp;sort=relevance" \h </w:instrText>
      </w:r>
      <w:r>
        <w:fldChar w:fldCharType="separate"/>
      </w:r>
      <w:r>
        <w:rPr>
          <w:rStyle w:val="13"/>
          <w:color w:val="0563C1"/>
        </w:rPr>
        <w:t>Économie créative, spécialisation internationale et tourisme</w:t>
      </w:r>
      <w:r>
        <w:rPr>
          <w:rStyle w:val="13"/>
          <w:color w:val="0563C1"/>
        </w:rPr>
        <w:fldChar w:fldCharType="end"/>
      </w:r>
    </w:p>
    <w:p w14:paraId="5C74A16D">
      <w:pPr>
        <w:spacing w:after="200" w:line="400" w:lineRule="atLeast"/>
      </w:pPr>
      <w:r>
        <w:fldChar w:fldCharType="begin"/>
      </w:r>
      <w:r>
        <w:instrText xml:space="preserve"> HYPERLINK "https://doi.org/10.1080/09548960802361951" \h </w:instrText>
      </w:r>
      <w:r>
        <w:fldChar w:fldCharType="separate"/>
      </w:r>
      <w:r>
        <w:rPr>
          <w:rStyle w:val="13"/>
          <w:color w:val="0563C1"/>
        </w:rPr>
        <w:t>The concentric circles model of the cultural industries</w:t>
      </w:r>
      <w:r>
        <w:rPr>
          <w:rStyle w:val="13"/>
          <w:color w:val="0563C1"/>
        </w:rPr>
        <w:fldChar w:fldCharType="end"/>
      </w:r>
    </w:p>
    <w:p w14:paraId="6B53C9CA">
      <w:pPr>
        <w:pStyle w:val="3"/>
        <w:spacing w:after="400" w:line="400" w:lineRule="atLeast"/>
      </w:pPr>
      <w:r>
        <w:t>其他来源</w:t>
      </w:r>
    </w:p>
    <w:p w14:paraId="59B7272A">
      <w:pPr>
        <w:spacing w:after="200" w:line="400" w:lineRule="atLeast"/>
      </w:pPr>
      <w:r>
        <w:fldChar w:fldCharType="begin"/>
      </w:r>
      <w:r>
        <w:instrText xml:space="preserve"> HYPERLINK "https://observatoricultural.gencat.cat/web/.content/00-observatori/00-inici/02-diapositives/REC91.pdf" \h </w:instrText>
      </w:r>
      <w:r>
        <w:fldChar w:fldCharType="separate"/>
      </w:r>
      <w:r>
        <w:rPr>
          <w:rStyle w:val="13"/>
          <w:color w:val="0563C1"/>
        </w:rPr>
        <w:t>[1]. ECONOMIA DE LA CULTURA I DE LES ARTS</w:t>
      </w:r>
      <w:r>
        <w:rPr>
          <w:rStyle w:val="13"/>
          <w:color w:val="0563C1"/>
        </w:rPr>
        <w:fldChar w:fldCharType="end"/>
      </w:r>
    </w:p>
    <w:p w14:paraId="036A31ED">
      <w:pPr>
        <w:spacing w:after="200" w:line="400" w:lineRule="atLeast"/>
      </w:pPr>
      <w:r>
        <w:fldChar w:fldCharType="begin"/>
      </w:r>
      <w:r>
        <w:instrText xml:space="preserve"> HYPERLINK "https://files.metaso.cn/api/public-file/preview?fileName=8692425855568035840.pdf" \h </w:instrText>
      </w:r>
      <w:r>
        <w:fldChar w:fldCharType="separate"/>
      </w:r>
      <w:r>
        <w:rPr>
          <w:rStyle w:val="13"/>
          <w:color w:val="0563C1"/>
        </w:rPr>
        <w:t>[2,3,4,9,11,12,13,14,136,237,285]. 联合国教科文组织：2025年人工智能与文化研究报告</w:t>
      </w:r>
      <w:r>
        <w:rPr>
          <w:rStyle w:val="13"/>
          <w:color w:val="0563C1"/>
        </w:rPr>
        <w:fldChar w:fldCharType="end"/>
      </w:r>
    </w:p>
    <w:p w14:paraId="230FBB92">
      <w:pPr>
        <w:spacing w:after="200" w:line="400" w:lineRule="atLeast"/>
      </w:pPr>
      <w:r>
        <w:fldChar w:fldCharType="begin"/>
      </w:r>
      <w:r>
        <w:instrText xml:space="preserve"> HYPERLINK "https://ijnrd.org/papers/IJNRD2505067.pdf" \h </w:instrText>
      </w:r>
      <w:r>
        <w:fldChar w:fldCharType="separate"/>
      </w:r>
      <w:r>
        <w:rPr>
          <w:rStyle w:val="13"/>
          <w:color w:val="0563C1"/>
        </w:rPr>
        <w:t>[5,6,134,139,307]. Building a Sustainable Creative Economy: Opportunities, Hurdles, and Gandhian Principles</w:t>
      </w:r>
      <w:r>
        <w:rPr>
          <w:rStyle w:val="13"/>
          <w:color w:val="0563C1"/>
        </w:rPr>
        <w:fldChar w:fldCharType="end"/>
      </w:r>
    </w:p>
    <w:p w14:paraId="7C6A541C">
      <w:pPr>
        <w:spacing w:after="200" w:line="400" w:lineRule="atLeast"/>
      </w:pPr>
      <w:r>
        <w:fldChar w:fldCharType="begin"/>
      </w:r>
      <w:r>
        <w:instrText xml:space="preserve"> HYPERLINK "https://www.unesco.org/creativity/sites/default/files/medias/fichiers/2024/06/387452eng.pdf" \h </w:instrText>
      </w:r>
      <w:r>
        <w:fldChar w:fldCharType="separate"/>
      </w:r>
      <w:r>
        <w:rPr>
          <w:rStyle w:val="13"/>
          <w:color w:val="0563C1"/>
        </w:rPr>
        <w:t>[7,15,100,109]. Empowering Creativity: Implementing the UNESCO 1980 Recommendation Concerning the Status of the Artist - 5th Global Consultation</w:t>
      </w:r>
      <w:r>
        <w:rPr>
          <w:rStyle w:val="13"/>
          <w:color w:val="0563C1"/>
        </w:rPr>
        <w:fldChar w:fldCharType="end"/>
      </w:r>
    </w:p>
    <w:p w14:paraId="2393D0D1">
      <w:pPr>
        <w:spacing w:after="200" w:line="400" w:lineRule="atLeast"/>
      </w:pPr>
      <w:r>
        <w:fldChar w:fldCharType="begin"/>
      </w:r>
      <w:r>
        <w:instrText xml:space="preserve"> HYPERLINK "https://conseildesarts.ca/-/media/Files/CCA/Research/2025/08/Rapport%20final-Retombees-de-la-composante-Innovation-et-developpement-du-secteur-2022-2025.pdf" \h </w:instrText>
      </w:r>
      <w:r>
        <w:fldChar w:fldCharType="separate"/>
      </w:r>
      <w:r>
        <w:rPr>
          <w:rStyle w:val="13"/>
          <w:color w:val="0563C1"/>
        </w:rPr>
        <w:t>[8]. Retombées de la composante Innovation et développement du secteur 2022-2025</w:t>
      </w:r>
      <w:r>
        <w:rPr>
          <w:rStyle w:val="13"/>
          <w:color w:val="0563C1"/>
        </w:rPr>
        <w:fldChar w:fldCharType="end"/>
      </w:r>
    </w:p>
    <w:p w14:paraId="5759E7EC">
      <w:pPr>
        <w:spacing w:after="200" w:line="400" w:lineRule="atLeast"/>
      </w:pPr>
      <w:r>
        <w:fldChar w:fldCharType="begin"/>
      </w:r>
      <w:r>
        <w:instrText xml:space="preserve"> HYPERLINK "https://files.metaso.cn/api/public-file/preview?fileName=8683674835643060224.pdf" \h </w:instrText>
      </w:r>
      <w:r>
        <w:fldChar w:fldCharType="separate"/>
      </w:r>
      <w:r>
        <w:rPr>
          <w:rStyle w:val="13"/>
          <w:color w:val="0563C1"/>
        </w:rPr>
        <w:t>[10]. Artist AI Trend Report 2026</w:t>
      </w:r>
      <w:r>
        <w:rPr>
          <w:rStyle w:val="13"/>
          <w:color w:val="0563C1"/>
        </w:rPr>
        <w:fldChar w:fldCharType="end"/>
      </w:r>
    </w:p>
    <w:p w14:paraId="45064E4C">
      <w:pPr>
        <w:spacing w:after="200" w:line="400" w:lineRule="atLeast"/>
      </w:pPr>
      <w:r>
        <w:fldChar w:fldCharType="begin"/>
      </w:r>
      <w:r>
        <w:instrText xml:space="preserve"> HYPERLINK "https://news.qq.com/rain/a/20250117A01W2H00" \h </w:instrText>
      </w:r>
      <w:r>
        <w:fldChar w:fldCharType="separate"/>
      </w:r>
      <w:r>
        <w:rPr>
          <w:rStyle w:val="13"/>
          <w:color w:val="0563C1"/>
        </w:rPr>
        <w:t>[16]. 创意经济与艺术教育：全球文化创意人才培养的实践与探索</w:t>
      </w:r>
      <w:r>
        <w:rPr>
          <w:rStyle w:val="13"/>
          <w:color w:val="0563C1"/>
        </w:rPr>
        <w:fldChar w:fldCharType="end"/>
      </w:r>
    </w:p>
    <w:p w14:paraId="78246E50">
      <w:pPr>
        <w:spacing w:after="200" w:line="400" w:lineRule="atLeast"/>
      </w:pPr>
      <w:r>
        <w:fldChar w:fldCharType="begin"/>
      </w:r>
      <w:r>
        <w:instrText xml:space="preserve"> HYPERLINK "https://m.cqyage888.com/cxyz/24230.html" \h </w:instrText>
      </w:r>
      <w:r>
        <w:fldChar w:fldCharType="separate"/>
      </w:r>
      <w:r>
        <w:rPr>
          <w:rStyle w:val="13"/>
          <w:color w:val="0563C1"/>
        </w:rPr>
        <w:t>[17]. 跨界艺术合作案例分析报告</w:t>
      </w:r>
      <w:r>
        <w:rPr>
          <w:rStyle w:val="13"/>
          <w:color w:val="0563C1"/>
        </w:rPr>
        <w:fldChar w:fldCharType="end"/>
      </w:r>
    </w:p>
    <w:p w14:paraId="6E5B20B7">
      <w:pPr>
        <w:spacing w:after="200" w:line="400" w:lineRule="atLeast"/>
      </w:pPr>
      <w:r>
        <w:fldChar w:fldCharType="begin"/>
      </w:r>
      <w:r>
        <w:instrText xml:space="preserve"> HYPERLINK "https://www.nepeanfinearts.com/trends/artnouveau/40364.html" \h </w:instrText>
      </w:r>
      <w:r>
        <w:fldChar w:fldCharType="separate"/>
      </w:r>
      <w:r>
        <w:rPr>
          <w:rStyle w:val="13"/>
          <w:color w:val="0563C1"/>
        </w:rPr>
        <w:t>[18]. 艺术跨界合作案例分析</w:t>
      </w:r>
      <w:r>
        <w:rPr>
          <w:rStyle w:val="13"/>
          <w:color w:val="0563C1"/>
        </w:rPr>
        <w:fldChar w:fldCharType="end"/>
      </w:r>
    </w:p>
    <w:p w14:paraId="74CD30C6">
      <w:pPr>
        <w:spacing w:after="200" w:line="400" w:lineRule="atLeast"/>
      </w:pPr>
      <w:r>
        <w:fldChar w:fldCharType="begin"/>
      </w:r>
      <w:r>
        <w:instrText xml:space="preserve"> HYPERLINK "https://www.nepeanfinearts.com/trends/artnouveau/4717.html" \h </w:instrText>
      </w:r>
      <w:r>
        <w:fldChar w:fldCharType="separate"/>
      </w:r>
      <w:r>
        <w:rPr>
          <w:rStyle w:val="13"/>
          <w:color w:val="0563C1"/>
        </w:rPr>
        <w:t>[19,29]. 艺术家的跨界合作</w:t>
      </w:r>
      <w:r>
        <w:rPr>
          <w:rStyle w:val="13"/>
          <w:color w:val="0563C1"/>
        </w:rPr>
        <w:fldChar w:fldCharType="end"/>
      </w:r>
    </w:p>
    <w:p w14:paraId="28738B08">
      <w:pPr>
        <w:spacing w:after="200" w:line="400" w:lineRule="atLeast"/>
      </w:pPr>
      <w:r>
        <w:fldChar w:fldCharType="begin"/>
      </w:r>
      <w:r>
        <w:instrText xml:space="preserve"> HYPERLINK "https://www.renrendoc.com/paper/394406385.html" \h </w:instrText>
      </w:r>
      <w:r>
        <w:fldChar w:fldCharType="separate"/>
      </w:r>
      <w:r>
        <w:rPr>
          <w:rStyle w:val="13"/>
          <w:color w:val="0563C1"/>
        </w:rPr>
        <w:t>[20,23,30,39]. 艺术产业与经济转型</w:t>
      </w:r>
      <w:r>
        <w:rPr>
          <w:rStyle w:val="13"/>
          <w:color w:val="0563C1"/>
        </w:rPr>
        <w:fldChar w:fldCharType="end"/>
      </w:r>
    </w:p>
    <w:p w14:paraId="348444D6">
      <w:pPr>
        <w:spacing w:after="200" w:line="400" w:lineRule="atLeast"/>
      </w:pPr>
      <w:r>
        <w:fldChar w:fldCharType="begin"/>
      </w:r>
      <w:r>
        <w:instrText xml:space="preserve"> HYPERLINK "https://mp.weixin.qq.com/s?__biz=MjM5NzIyMjY5OA==&amp;mid=2650149543&amp;idx=1&amp;sn=610fbaffa03d8e225216bc847a8d75f7&amp;chksm=bf64cdfaa19b3c36ccb9ff685bcb78e780969c24d52687927a236a1eb37e477d5bb4205b3fc0&amp;scene=27" \h </w:instrText>
      </w:r>
      <w:r>
        <w:fldChar w:fldCharType="separate"/>
      </w:r>
      <w:r>
        <w:rPr>
          <w:rStyle w:val="13"/>
          <w:color w:val="0563C1"/>
        </w:rPr>
        <w:t>[21,32,115,118,153,155]. 艺术管理学科（专业）建设的优化路径与体系构建</w:t>
      </w:r>
      <w:r>
        <w:rPr>
          <w:rStyle w:val="13"/>
          <w:color w:val="0563C1"/>
        </w:rPr>
        <w:fldChar w:fldCharType="end"/>
      </w:r>
    </w:p>
    <w:p w14:paraId="7DEF8C97">
      <w:pPr>
        <w:spacing w:after="200" w:line="400" w:lineRule="atLeast"/>
      </w:pPr>
      <w:r>
        <w:fldChar w:fldCharType="begin"/>
      </w:r>
      <w:r>
        <w:instrText xml:space="preserve"> HYPERLINK "https://www.szthmc.com/Protectingnature/220.html" \h </w:instrText>
      </w:r>
      <w:r>
        <w:fldChar w:fldCharType="separate"/>
      </w:r>
      <w:r>
        <w:rPr>
          <w:rStyle w:val="13"/>
          <w:color w:val="0563C1"/>
        </w:rPr>
        <w:t>[22,31,40,41]. 艺术融合与文化产业发展现状分析及跨界创新策略</w:t>
      </w:r>
      <w:r>
        <w:rPr>
          <w:rStyle w:val="13"/>
          <w:color w:val="0563C1"/>
        </w:rPr>
        <w:fldChar w:fldCharType="end"/>
      </w:r>
    </w:p>
    <w:p w14:paraId="2A16F132">
      <w:pPr>
        <w:spacing w:after="200" w:line="400" w:lineRule="atLeast"/>
      </w:pPr>
      <w:r>
        <w:fldChar w:fldCharType="begin"/>
      </w:r>
      <w:r>
        <w:instrText xml:space="preserve"> HYPERLINK "https://news.nafzxq.com/education/2436.html" \h </w:instrText>
      </w:r>
      <w:r>
        <w:fldChar w:fldCharType="separate"/>
      </w:r>
      <w:r>
        <w:rPr>
          <w:rStyle w:val="13"/>
          <w:color w:val="0563C1"/>
        </w:rPr>
        <w:t>[24]. 艺术跨界：形式、价值与案例</w:t>
      </w:r>
      <w:r>
        <w:rPr>
          <w:rStyle w:val="13"/>
          <w:color w:val="0563C1"/>
        </w:rPr>
        <w:fldChar w:fldCharType="end"/>
      </w:r>
    </w:p>
    <w:p w14:paraId="7D8BD590">
      <w:pPr>
        <w:spacing w:after="200" w:line="400" w:lineRule="atLeast"/>
      </w:pPr>
      <w:r>
        <w:fldChar w:fldCharType="begin"/>
      </w:r>
      <w:r>
        <w:instrText xml:space="preserve"> HYPERLINK "https://www.nepeanfinearts.com/lnterview/artisticvision/8295.html" \h </w:instrText>
      </w:r>
      <w:r>
        <w:fldChar w:fldCharType="separate"/>
      </w:r>
      <w:r>
        <w:rPr>
          <w:rStyle w:val="13"/>
          <w:color w:val="0563C1"/>
        </w:rPr>
        <w:t>[25,27,34,35,36,37]. 艺术跨界合作案例分享</w:t>
      </w:r>
      <w:r>
        <w:rPr>
          <w:rStyle w:val="13"/>
          <w:color w:val="0563C1"/>
        </w:rPr>
        <w:fldChar w:fldCharType="end"/>
      </w:r>
    </w:p>
    <w:p w14:paraId="75D057EA">
      <w:pPr>
        <w:spacing w:after="200" w:line="400" w:lineRule="atLeast"/>
      </w:pPr>
      <w:r>
        <w:fldChar w:fldCharType="begin"/>
      </w:r>
      <w:r>
        <w:instrText xml:space="preserve"> HYPERLINK "https://news.nepeanfinearts.com/reporting/8697.html" \h </w:instrText>
      </w:r>
      <w:r>
        <w:fldChar w:fldCharType="separate"/>
      </w:r>
      <w:r>
        <w:rPr>
          <w:rStyle w:val="13"/>
          <w:color w:val="0563C1"/>
        </w:rPr>
        <w:t>[26]. 艺术跨界合作案例研究</w:t>
      </w:r>
      <w:r>
        <w:rPr>
          <w:rStyle w:val="13"/>
          <w:color w:val="0563C1"/>
        </w:rPr>
        <w:fldChar w:fldCharType="end"/>
      </w:r>
    </w:p>
    <w:p w14:paraId="53C71BE8">
      <w:pPr>
        <w:spacing w:after="200" w:line="400" w:lineRule="atLeast"/>
      </w:pPr>
      <w:r>
        <w:fldChar w:fldCharType="begin"/>
      </w:r>
      <w:r>
        <w:instrText xml:space="preserve"> HYPERLINK "https://www.nepeanfinearts.com/trends/artnouveau/42823.html" \h </w:instrText>
      </w:r>
      <w:r>
        <w:fldChar w:fldCharType="separate"/>
      </w:r>
      <w:r>
        <w:rPr>
          <w:rStyle w:val="13"/>
          <w:color w:val="0563C1"/>
        </w:rPr>
        <w:t>[28]. 艺术跨界合作案例</w:t>
      </w:r>
      <w:r>
        <w:rPr>
          <w:rStyle w:val="13"/>
          <w:color w:val="0563C1"/>
        </w:rPr>
        <w:fldChar w:fldCharType="end"/>
      </w:r>
    </w:p>
    <w:p w14:paraId="1E9B0B0B">
      <w:pPr>
        <w:spacing w:after="200" w:line="400" w:lineRule="atLeast"/>
      </w:pPr>
      <w:r>
        <w:fldChar w:fldCharType="begin"/>
      </w:r>
      <w:r>
        <w:instrText xml:space="preserve"> HYPERLINK "https://interface.sina.cn/pc_to_wap.d.html?ref=http%253A%252F%252Ffinance.sina.com.cn%252Fhy%252F20120108%252F220911152171.shtml" \h </w:instrText>
      </w:r>
      <w:r>
        <w:fldChar w:fldCharType="separate"/>
      </w:r>
      <w:r>
        <w:rPr>
          <w:rStyle w:val="13"/>
          <w:color w:val="0563C1"/>
        </w:rPr>
        <w:t>[33]. 跨界融合催生文化产业创新人才</w:t>
      </w:r>
      <w:r>
        <w:rPr>
          <w:rStyle w:val="13"/>
          <w:color w:val="0563C1"/>
        </w:rPr>
        <w:fldChar w:fldCharType="end"/>
      </w:r>
    </w:p>
    <w:p w14:paraId="4BD0E0A9">
      <w:pPr>
        <w:spacing w:after="200" w:line="400" w:lineRule="atLeast"/>
      </w:pPr>
      <w:r>
        <w:fldChar w:fldCharType="begin"/>
      </w:r>
      <w:r>
        <w:instrText xml:space="preserve"> HYPERLINK "https://files.metaso.cn/api/public-file/preview?fileName=8676824952361205760.pdf" \h </w:instrText>
      </w:r>
      <w:r>
        <w:fldChar w:fldCharType="separate"/>
      </w:r>
      <w:r>
        <w:rPr>
          <w:rStyle w:val="13"/>
          <w:color w:val="0563C1"/>
        </w:rPr>
        <w:t>[38]. “新营造”三大原理及“新营造 2.0”算法之四种模式</w:t>
      </w:r>
      <w:r>
        <w:rPr>
          <w:rStyle w:val="13"/>
          <w:color w:val="0563C1"/>
        </w:rPr>
        <w:fldChar w:fldCharType="end"/>
      </w:r>
    </w:p>
    <w:p w14:paraId="74CFF2E1">
      <w:pPr>
        <w:spacing w:after="200" w:line="400" w:lineRule="atLeast"/>
      </w:pPr>
      <w:r>
        <w:fldChar w:fldCharType="begin"/>
      </w:r>
      <w:r>
        <w:instrText xml:space="preserve"> HYPERLINK "https://www.renrendoc.com/paper/323497763.html" \h </w:instrText>
      </w:r>
      <w:r>
        <w:fldChar w:fldCharType="separate"/>
      </w:r>
      <w:r>
        <w:rPr>
          <w:rStyle w:val="13"/>
          <w:color w:val="0563C1"/>
        </w:rPr>
        <w:t>[42]. 艺术与设计：跨界合作的无限可能</w:t>
      </w:r>
      <w:r>
        <w:rPr>
          <w:rStyle w:val="13"/>
          <w:color w:val="0563C1"/>
        </w:rPr>
        <w:fldChar w:fldCharType="end"/>
      </w:r>
    </w:p>
    <w:p w14:paraId="67372DB9">
      <w:pPr>
        <w:spacing w:after="200" w:line="400" w:lineRule="atLeast"/>
      </w:pPr>
      <w:r>
        <w:fldChar w:fldCharType="begin"/>
      </w:r>
      <w:r>
        <w:instrText xml:space="preserve"> HYPERLINK "https://journal.kci.go.kr/aanda/archive/articlePdf?artiId=ART003052610" \h </w:instrText>
      </w:r>
      <w:r>
        <w:fldChar w:fldCharType="separate"/>
      </w:r>
      <w:r>
        <w:rPr>
          <w:rStyle w:val="13"/>
          <w:color w:val="0563C1"/>
        </w:rPr>
        <w:t>[43,46,47,48,49,50,51,62,65,311]. Study on the Korean application of cultural accessibility and cultural arts education: focusing on French cultural policy*</w:t>
      </w:r>
      <w:r>
        <w:rPr>
          <w:rStyle w:val="13"/>
          <w:color w:val="0563C1"/>
        </w:rPr>
        <w:fldChar w:fldCharType="end"/>
      </w:r>
    </w:p>
    <w:p w14:paraId="1FF431A6">
      <w:pPr>
        <w:spacing w:after="200" w:line="400" w:lineRule="atLeast"/>
      </w:pPr>
      <w:r>
        <w:fldChar w:fldCharType="begin"/>
      </w:r>
      <w:r>
        <w:instrText xml:space="preserve"> HYPERLINK "https://www2.assemblee-nationale.fr/static/17/Annexes-DL/PLF-2025/Culture.pdf" \h </w:instrText>
      </w:r>
      <w:r>
        <w:fldChar w:fldCharType="separate"/>
      </w:r>
      <w:r>
        <w:rPr>
          <w:rStyle w:val="13"/>
          <w:color w:val="0563C1"/>
        </w:rPr>
        <w:t>[44,54,55,57,58,63,121,125,309]. Projet annuel de performances</w:t>
      </w:r>
      <w:r>
        <w:rPr>
          <w:rStyle w:val="13"/>
          <w:color w:val="0563C1"/>
        </w:rPr>
        <w:fldChar w:fldCharType="end"/>
      </w:r>
    </w:p>
    <w:p w14:paraId="6086EBAA">
      <w:pPr>
        <w:spacing w:after="200" w:line="400" w:lineRule="atLeast"/>
      </w:pPr>
      <w:r>
        <w:fldChar w:fldCharType="begin"/>
      </w:r>
      <w:r>
        <w:instrText xml:space="preserve"> HYPERLINK "https://www.culture.gouv.fr/content/download/127357/file/soutiencentreart.pdf?inLanguage=fre-FR" \h </w:instrText>
      </w:r>
      <w:r>
        <w:fldChar w:fldCharType="separate"/>
      </w:r>
      <w:r>
        <w:rPr>
          <w:rStyle w:val="13"/>
          <w:color w:val="0563C1"/>
        </w:rPr>
        <w:t>[45,53,56,64,66,67,308]. Soutien aux centres d'art</w:t>
      </w:r>
      <w:r>
        <w:rPr>
          <w:rStyle w:val="13"/>
          <w:color w:val="0563C1"/>
        </w:rPr>
        <w:fldChar w:fldCharType="end"/>
      </w:r>
    </w:p>
    <w:p w14:paraId="775B0B69">
      <w:pPr>
        <w:spacing w:after="200" w:line="400" w:lineRule="atLeast"/>
      </w:pPr>
      <w:r>
        <w:fldChar w:fldCharType="begin"/>
      </w:r>
      <w:r>
        <w:instrText xml:space="preserve"> HYPERLINK "http://ftp.inma-web.org/JEMA/2015/Cahier-n1.pdf" \h </w:instrText>
      </w:r>
      <w:r>
        <w:fldChar w:fldCharType="separate"/>
      </w:r>
      <w:r>
        <w:rPr>
          <w:rStyle w:val="13"/>
          <w:color w:val="0563C1"/>
        </w:rPr>
        <w:t>[52,59,60]. Les métiers d'art : contexte, enjeux et acteurs</w:t>
      </w:r>
      <w:r>
        <w:rPr>
          <w:rStyle w:val="13"/>
          <w:color w:val="0563C1"/>
        </w:rPr>
        <w:fldChar w:fldCharType="end"/>
      </w:r>
    </w:p>
    <w:p w14:paraId="3C48A8FA">
      <w:pPr>
        <w:spacing w:after="200" w:line="400" w:lineRule="atLeast"/>
      </w:pPr>
      <w:r>
        <w:fldChar w:fldCharType="begin"/>
      </w:r>
      <w:r>
        <w:instrText xml:space="preserve"> HYPERLINK "https://charlottekaufmann.com/wp-content/uploads/2018/06/revelations-press-kit.pdf" \h </w:instrText>
      </w:r>
      <w:r>
        <w:fldChar w:fldCharType="separate"/>
      </w:r>
      <w:r>
        <w:rPr>
          <w:rStyle w:val="13"/>
          <w:color w:val="0563C1"/>
        </w:rPr>
        <w:t>[61,73,82]. REVELATIONS LE SALON DES MÉTIERS D'ART ET DE LA CRÉATION</w:t>
      </w:r>
      <w:r>
        <w:rPr>
          <w:rStyle w:val="13"/>
          <w:color w:val="0563C1"/>
        </w:rPr>
        <w:fldChar w:fldCharType="end"/>
      </w:r>
    </w:p>
    <w:p w14:paraId="682F6C05">
      <w:pPr>
        <w:spacing w:after="200" w:line="400" w:lineRule="atLeast"/>
      </w:pPr>
      <w:r>
        <w:fldChar w:fldCharType="begin"/>
      </w:r>
      <w:r>
        <w:instrText xml:space="preserve"> HYPERLINK "https://welcon.kocca.kr/cmm/fms/CrawlingFileDown.do?atchFileId=FILE_e6d5a2c7-7974-4e65-bc6a-06ffa0e36574&amp;fileSn=1" \h </w:instrText>
      </w:r>
      <w:r>
        <w:fldChar w:fldCharType="separate"/>
      </w:r>
      <w:r>
        <w:rPr>
          <w:rStyle w:val="13"/>
          <w:color w:val="0563C1"/>
        </w:rPr>
        <w:t>[68,86,92,93]. 프랑스 콘텐츠 산업동향</w:t>
      </w:r>
      <w:r>
        <w:rPr>
          <w:rStyle w:val="13"/>
          <w:color w:val="0563C1"/>
        </w:rPr>
        <w:fldChar w:fldCharType="end"/>
      </w:r>
    </w:p>
    <w:p w14:paraId="2FF87C04">
      <w:pPr>
        <w:spacing w:after="200" w:line="400" w:lineRule="atLeast"/>
      </w:pPr>
      <w:r>
        <w:fldChar w:fldCharType="begin"/>
      </w:r>
      <w:r>
        <w:instrText xml:space="preserve"> HYPERLINK "http://office.sfac.or.kr/UIPage/BizPublicationBook/Upload/%EC%A0%9C8%ED%9A%8C%20%EC%84%9C%EC%9A%B8%EC%8B%9C%EC%B0%BD%EC%9E%91%EA%B3%B5%EA%B0%84%20%EA%B5%AD%EC%A0%9C%EC%8B%AC%ED%8F%AC%EC%A7%80%EC%97%84%20%EC%9E%90%EB%A3%8C%EC%A7%91.pdf" \h </w:instrText>
      </w:r>
      <w:r>
        <w:fldChar w:fldCharType="separate"/>
      </w:r>
      <w:r>
        <w:rPr>
          <w:rStyle w:val="13"/>
          <w:color w:val="0563C1"/>
        </w:rPr>
        <w:t>[69]. 최소한의 창작조건, 예술가의 작업실</w:t>
      </w:r>
      <w:r>
        <w:rPr>
          <w:rStyle w:val="13"/>
          <w:color w:val="0563C1"/>
        </w:rPr>
        <w:fldChar w:fldCharType="end"/>
      </w:r>
    </w:p>
    <w:p w14:paraId="7C8299C3">
      <w:pPr>
        <w:spacing w:after="200" w:line="400" w:lineRule="atLeast"/>
      </w:pPr>
      <w:r>
        <w:fldChar w:fldCharType="begin"/>
      </w:r>
      <w:r>
        <w:instrText xml:space="preserve"> HYPERLINK "https://www.douban.com/note/328330494/" \h </w:instrText>
      </w:r>
      <w:r>
        <w:fldChar w:fldCharType="separate"/>
      </w:r>
      <w:r>
        <w:rPr>
          <w:rStyle w:val="13"/>
          <w:color w:val="0563C1"/>
        </w:rPr>
        <w:t>[70,83,94,317]. 解析多国文化艺术基金</w:t>
      </w:r>
      <w:r>
        <w:rPr>
          <w:rStyle w:val="13"/>
          <w:color w:val="0563C1"/>
        </w:rPr>
        <w:fldChar w:fldCharType="end"/>
      </w:r>
    </w:p>
    <w:p w14:paraId="309F0DD8">
      <w:pPr>
        <w:spacing w:after="200" w:line="400" w:lineRule="atLeast"/>
      </w:pPr>
      <w:r>
        <w:fldChar w:fldCharType="begin"/>
      </w:r>
      <w:r>
        <w:instrText xml:space="preserve"> HYPERLINK "https://asef.org/wp-content/uploads/2020/10/ASEF-Korea-Guide_ver_web_new.pdf" \h </w:instrText>
      </w:r>
      <w:r>
        <w:fldChar w:fldCharType="separate"/>
      </w:r>
      <w:r>
        <w:rPr>
          <w:rStyle w:val="13"/>
          <w:color w:val="0563C1"/>
        </w:rPr>
        <w:t>[71,79,84,89,90,91,313]. CREATIVE RESPONSES TO SUSTAINABILITY</w:t>
      </w:r>
      <w:r>
        <w:rPr>
          <w:rStyle w:val="13"/>
          <w:color w:val="0563C1"/>
        </w:rPr>
        <w:fldChar w:fldCharType="end"/>
      </w:r>
    </w:p>
    <w:p w14:paraId="57080F94">
      <w:pPr>
        <w:spacing w:after="200" w:line="400" w:lineRule="atLeast"/>
      </w:pPr>
      <w:r>
        <w:fldChar w:fldCharType="begin"/>
      </w:r>
      <w:r>
        <w:instrText xml:space="preserve"> HYPERLINK "https://kr.ambafrance-culture.org/wp-content/uploads/2022/04/22.04.01_MakingLemonade2022_PressRelease-EN.pdf" \h </w:instrText>
      </w:r>
      <w:r>
        <w:fldChar w:fldCharType="separate"/>
      </w:r>
      <w:r>
        <w:rPr>
          <w:rStyle w:val="13"/>
          <w:color w:val="0563C1"/>
        </w:rPr>
        <w:t>[72]. Making Lemonade 2.0: Towards a Sustainable Future for the Arts</w:t>
      </w:r>
      <w:r>
        <w:rPr>
          <w:rStyle w:val="13"/>
          <w:color w:val="0563C1"/>
        </w:rPr>
        <w:fldChar w:fldCharType="end"/>
      </w:r>
    </w:p>
    <w:p w14:paraId="0202CA01">
      <w:pPr>
        <w:spacing w:after="200" w:line="400" w:lineRule="atLeast"/>
      </w:pPr>
      <w:r>
        <w:fldChar w:fldCharType="begin"/>
      </w:r>
      <w:r>
        <w:instrText xml:space="preserve"> HYPERLINK "https://media.unesco.org/sites/default/files/webform/dce002/QPR_2022_KR_c7261d63-bc46-46d8-9a7a-6ac3ac68c330_22.pdf" \h </w:instrText>
      </w:r>
      <w:r>
        <w:fldChar w:fldCharType="separate"/>
      </w:r>
      <w:r>
        <w:rPr>
          <w:rStyle w:val="13"/>
          <w:color w:val="0563C1"/>
        </w:rPr>
        <w:t>[74,75,76,77,78,80,85,87,88,312,314]. QUADRENNIAL PERIODIC REPORT REPUBLIC OF KOREA 2022</w:t>
      </w:r>
      <w:r>
        <w:rPr>
          <w:rStyle w:val="13"/>
          <w:color w:val="0563C1"/>
        </w:rPr>
        <w:fldChar w:fldCharType="end"/>
      </w:r>
    </w:p>
    <w:p w14:paraId="4BB7355A">
      <w:pPr>
        <w:spacing w:after="200" w:line="400" w:lineRule="atLeast"/>
      </w:pPr>
      <w:r>
        <w:fldChar w:fldCharType="begin"/>
      </w:r>
      <w:r>
        <w:instrText xml:space="preserve"> HYPERLINK "https://www.mk.co.kr/cn/culture/11322732" \h </w:instrText>
      </w:r>
      <w:r>
        <w:fldChar w:fldCharType="separate"/>
      </w:r>
      <w:r>
        <w:rPr>
          <w:rStyle w:val="13"/>
          <w:color w:val="0563C1"/>
        </w:rPr>
        <w:t>[81,131]. 韩国和法国政府决定以两国建交140周年为契机,加强相互间的文化合作基础。 因此,两国决定具体制定相关机构的合作体系,扩大演出、展示、电影、游戏等文化艺术领域的交流和保护文化、自然遗产等。 另外,还计划.. - MK</w:t>
      </w:r>
      <w:r>
        <w:rPr>
          <w:rStyle w:val="13"/>
          <w:color w:val="0563C1"/>
        </w:rPr>
        <w:fldChar w:fldCharType="end"/>
      </w:r>
    </w:p>
    <w:p w14:paraId="4601838E">
      <w:pPr>
        <w:spacing w:after="200" w:line="400" w:lineRule="atLeast"/>
      </w:pPr>
      <w:r>
        <w:fldChar w:fldCharType="begin"/>
      </w:r>
      <w:r>
        <w:instrText xml:space="preserve"> HYPERLINK "https://files.metaso.cn/api/public-file/preview?fileName=8694310299568136192.pdf" \h </w:instrText>
      </w:r>
      <w:r>
        <w:fldChar w:fldCharType="separate"/>
      </w:r>
      <w:r>
        <w:rPr>
          <w:rStyle w:val="13"/>
          <w:color w:val="0563C1"/>
        </w:rPr>
        <w:t>[95,97,98,99,101,102,135,140,143,201]. 人工智能与文化研究报告</w:t>
      </w:r>
      <w:r>
        <w:rPr>
          <w:rStyle w:val="13"/>
          <w:color w:val="0563C1"/>
        </w:rPr>
        <w:fldChar w:fldCharType="end"/>
      </w:r>
    </w:p>
    <w:p w14:paraId="6BA0EFD8">
      <w:pPr>
        <w:spacing w:after="200" w:line="400" w:lineRule="atLeast"/>
      </w:pPr>
      <w:r>
        <w:fldChar w:fldCharType="begin"/>
      </w:r>
      <w:r>
        <w:instrText xml:space="preserve"> HYPERLINK "https://www.unesco.de/assets/dokumente/Deutsche_UNESCO-Kommission/02_Publikationen/DUK_Jahrbuch-2024_DIN-A4_web.pdf" \h </w:instrText>
      </w:r>
      <w:r>
        <w:fldChar w:fldCharType="separate"/>
      </w:r>
      <w:r>
        <w:rPr>
          <w:rStyle w:val="13"/>
          <w:color w:val="0563C1"/>
        </w:rPr>
        <w:t>[96]. Jahrbuch 2024: Der Kreativität Räume geben</w:t>
      </w:r>
      <w:r>
        <w:rPr>
          <w:rStyle w:val="13"/>
          <w:color w:val="0563C1"/>
        </w:rPr>
        <w:fldChar w:fldCharType="end"/>
      </w:r>
    </w:p>
    <w:p w14:paraId="578336B8">
      <w:pPr>
        <w:spacing w:after="200" w:line="400" w:lineRule="atLeast"/>
      </w:pPr>
      <w:r>
        <w:fldChar w:fldCharType="begin"/>
      </w:r>
      <w:r>
        <w:instrText xml:space="preserve"> HYPERLINK "https://www.unesco.org/sites/default/files/medias/fichiers/2025/04/Kargopol_Monitoring_Report_2024.pdf" \h </w:instrText>
      </w:r>
      <w:r>
        <w:fldChar w:fldCharType="separate"/>
      </w:r>
      <w:r>
        <w:rPr>
          <w:rStyle w:val="13"/>
          <w:color w:val="0563C1"/>
        </w:rPr>
        <w:t>[103]. UNESCO CREATIVE CITIES NETWORK Reporting Exercise 2024</w:t>
      </w:r>
      <w:r>
        <w:rPr>
          <w:rStyle w:val="13"/>
          <w:color w:val="0563C1"/>
        </w:rPr>
        <w:fldChar w:fldCharType="end"/>
      </w:r>
    </w:p>
    <w:p w14:paraId="0E91C01B">
      <w:pPr>
        <w:spacing w:after="200" w:line="400" w:lineRule="atLeast"/>
      </w:pPr>
      <w:r>
        <w:fldChar w:fldCharType="begin"/>
      </w:r>
      <w:r>
        <w:instrText xml:space="preserve"> HYPERLINK "https://www.unesco.org/sites/default/files/medias/fichiers/2025/04/Dunedin_Monitoring_Report_2024.pdf" \h </w:instrText>
      </w:r>
      <w:r>
        <w:fldChar w:fldCharType="separate"/>
      </w:r>
      <w:r>
        <w:rPr>
          <w:rStyle w:val="13"/>
          <w:color w:val="0563C1"/>
        </w:rPr>
        <w:t>[104]. UNESCO Creative Cities Network - Reporting Exercise 2024 - Dunedin</w:t>
      </w:r>
      <w:r>
        <w:rPr>
          <w:rStyle w:val="13"/>
          <w:color w:val="0563C1"/>
        </w:rPr>
        <w:fldChar w:fldCharType="end"/>
      </w:r>
    </w:p>
    <w:p w14:paraId="32021D8A">
      <w:pPr>
        <w:spacing w:after="200" w:line="400" w:lineRule="atLeast"/>
      </w:pPr>
      <w:r>
        <w:fldChar w:fldCharType="begin"/>
      </w:r>
      <w:r>
        <w:instrText xml:space="preserve"> HYPERLINK "https://cic-media.s3.eu-west-2.amazonaws.com/media/549033/pec-evidence-synthesis-scoping_work-foundation-final-1-.pdf" \h </w:instrText>
      </w:r>
      <w:r>
        <w:fldChar w:fldCharType="separate"/>
      </w:r>
      <w:r>
        <w:rPr>
          <w:rStyle w:val="13"/>
          <w:color w:val="0563C1"/>
        </w:rPr>
        <w:t>[105,149]. Skills, talent and diversity in the creative industries: Evidence synthesis and scoping: summary report</w:t>
      </w:r>
      <w:r>
        <w:rPr>
          <w:rStyle w:val="13"/>
          <w:color w:val="0563C1"/>
        </w:rPr>
        <w:fldChar w:fldCharType="end"/>
      </w:r>
    </w:p>
    <w:p w14:paraId="00066453">
      <w:pPr>
        <w:spacing w:after="200" w:line="400" w:lineRule="atLeast"/>
      </w:pPr>
      <w:r>
        <w:fldChar w:fldCharType="begin"/>
      </w:r>
      <w:r>
        <w:instrText xml:space="preserve"> HYPERLINK "https://en.unesco.org/protecting-our-heritage-and-fostering-creativity/international-funds-supporting-culture" \h </w:instrText>
      </w:r>
      <w:r>
        <w:fldChar w:fldCharType="separate"/>
      </w:r>
      <w:r>
        <w:rPr>
          <w:rStyle w:val="13"/>
          <w:color w:val="0563C1"/>
        </w:rPr>
        <w:t>[106]. Diversity of Cultural Expressions</w:t>
      </w:r>
      <w:r>
        <w:rPr>
          <w:rStyle w:val="13"/>
          <w:color w:val="0563C1"/>
        </w:rPr>
        <w:fldChar w:fldCharType="end"/>
      </w:r>
    </w:p>
    <w:p w14:paraId="4942F27F">
      <w:pPr>
        <w:spacing w:after="200" w:line="400" w:lineRule="atLeast"/>
      </w:pPr>
      <w:r>
        <w:fldChar w:fldCharType="begin"/>
      </w:r>
      <w:r>
        <w:instrText xml:space="preserve"> HYPERLINK "https://finance.sina.com.cn/tech/2022-02-10/doc-ikyakumy5111413.shtml" \h </w:instrText>
      </w:r>
      <w:r>
        <w:fldChar w:fldCharType="separate"/>
      </w:r>
      <w:r>
        <w:rPr>
          <w:rStyle w:val="13"/>
          <w:color w:val="0563C1"/>
        </w:rPr>
        <w:t>[107]. 确保文化表现形式的多样性</w:t>
      </w:r>
      <w:r>
        <w:rPr>
          <w:rStyle w:val="13"/>
          <w:color w:val="0563C1"/>
        </w:rPr>
        <w:fldChar w:fldCharType="end"/>
      </w:r>
    </w:p>
    <w:p w14:paraId="77E43C29">
      <w:pPr>
        <w:spacing w:after="200" w:line="400" w:lineRule="atLeast"/>
      </w:pPr>
      <w:r>
        <w:fldChar w:fldCharType="begin"/>
      </w:r>
      <w:r>
        <w:instrText xml:space="preserve"> HYPERLINK "https://digitallibrary.in.one.un.org/TempPdfFiles/28711_1.pdf" \h </w:instrText>
      </w:r>
      <w:r>
        <w:fldChar w:fldCharType="separate"/>
      </w:r>
      <w:r>
        <w:rPr>
          <w:rStyle w:val="13"/>
          <w:color w:val="0563C1"/>
        </w:rPr>
        <w:t>[108,138,195,196,198,199,206,272,275]. Creative Economy Outlook 2024</w:t>
      </w:r>
      <w:r>
        <w:rPr>
          <w:rStyle w:val="13"/>
          <w:color w:val="0563C1"/>
        </w:rPr>
        <w:fldChar w:fldCharType="end"/>
      </w:r>
    </w:p>
    <w:p w14:paraId="61FFCB9B">
      <w:pPr>
        <w:spacing w:after="200" w:line="400" w:lineRule="atLeast"/>
      </w:pPr>
      <w:r>
        <w:fldChar w:fldCharType="begin"/>
      </w:r>
      <w:r>
        <w:instrText xml:space="preserve"> HYPERLINK "https://www.aep-arts.org/wp-content/uploads/Arts-Integration-Frameworks-Research-Practice_A-Literature-Review.pdf" \h </w:instrText>
      </w:r>
      <w:r>
        <w:fldChar w:fldCharType="separate"/>
      </w:r>
      <w:r>
        <w:rPr>
          <w:rStyle w:val="13"/>
          <w:color w:val="0563C1"/>
        </w:rPr>
        <w:t>[110]. Arts Integration Frameworks, Research &amp; Practice: A Literature Review</w:t>
      </w:r>
      <w:r>
        <w:rPr>
          <w:rStyle w:val="13"/>
          <w:color w:val="0563C1"/>
        </w:rPr>
        <w:fldChar w:fldCharType="end"/>
      </w:r>
    </w:p>
    <w:p w14:paraId="640E488D">
      <w:pPr>
        <w:spacing w:after="200" w:line="400" w:lineRule="atLeast"/>
      </w:pPr>
      <w:r>
        <w:fldChar w:fldCharType="begin"/>
      </w:r>
      <w:r>
        <w:instrText xml:space="preserve"> HYPERLINK "https://s3.amazonaws.com/arena-attachments/420069/166b0ba49939d8b612cb79f22faf98e7.pdf" \h </w:instrText>
      </w:r>
      <w:r>
        <w:fldChar w:fldCharType="separate"/>
      </w:r>
      <w:r>
        <w:rPr>
          <w:rStyle w:val="13"/>
          <w:color w:val="0563C1"/>
        </w:rPr>
        <w:t>[111]. Theoretical Frameworks for Arts Integration</w:t>
      </w:r>
      <w:r>
        <w:rPr>
          <w:rStyle w:val="13"/>
          <w:color w:val="0563C1"/>
        </w:rPr>
        <w:fldChar w:fldCharType="end"/>
      </w:r>
    </w:p>
    <w:p w14:paraId="0FC26622">
      <w:pPr>
        <w:spacing w:after="200" w:line="400" w:lineRule="atLeast"/>
      </w:pPr>
      <w:r>
        <w:fldChar w:fldCharType="begin"/>
      </w:r>
      <w:r>
        <w:instrText xml:space="preserve"> HYPERLINK "https://ncca.ie/media/6370/conceptualising-curriculum-integration.pdf" \h </w:instrText>
      </w:r>
      <w:r>
        <w:fldChar w:fldCharType="separate"/>
      </w:r>
      <w:r>
        <w:rPr>
          <w:rStyle w:val="13"/>
          <w:color w:val="0563C1"/>
        </w:rPr>
        <w:t>[112]. Conceptualising Curriculum Integration: A Synthesis of Theory, Research and Practice REPORT 1</w:t>
      </w:r>
      <w:r>
        <w:rPr>
          <w:rStyle w:val="13"/>
          <w:color w:val="0563C1"/>
        </w:rPr>
        <w:fldChar w:fldCharType="end"/>
      </w:r>
    </w:p>
    <w:p w14:paraId="7FE8A2F3">
      <w:pPr>
        <w:spacing w:after="200" w:line="400" w:lineRule="atLeast"/>
      </w:pPr>
      <w:r>
        <w:fldChar w:fldCharType="begin"/>
      </w:r>
      <w:r>
        <w:instrText xml:space="preserve"> HYPERLINK "https://ojs.vitu-pub.com/index.php/ysrwyskqy/article/viewFile/136954/136103" \h </w:instrText>
      </w:r>
      <w:r>
        <w:fldChar w:fldCharType="separate"/>
      </w:r>
      <w:r>
        <w:rPr>
          <w:rStyle w:val="13"/>
          <w:color w:val="0563C1"/>
        </w:rPr>
        <w:t>[113]. 跨界融合：数字艺术展览中的多学科协作与创新实践</w:t>
      </w:r>
      <w:r>
        <w:rPr>
          <w:rStyle w:val="13"/>
          <w:color w:val="0563C1"/>
        </w:rPr>
        <w:fldChar w:fldCharType="end"/>
      </w:r>
    </w:p>
    <w:p w14:paraId="4CE42B1C">
      <w:pPr>
        <w:spacing w:after="200" w:line="400" w:lineRule="atLeast"/>
      </w:pPr>
      <w:r>
        <w:fldChar w:fldCharType="begin"/>
      </w:r>
      <w:r>
        <w:instrText xml:space="preserve"> HYPERLINK "https://max.book118.com/html/2024/0610/5323010131011223.shtm" \h </w:instrText>
      </w:r>
      <w:r>
        <w:fldChar w:fldCharType="separate"/>
      </w:r>
      <w:r>
        <w:rPr>
          <w:rStyle w:val="13"/>
          <w:color w:val="0563C1"/>
        </w:rPr>
        <w:t>[114]. 表演艺术的跨界融合</w:t>
      </w:r>
      <w:r>
        <w:rPr>
          <w:rStyle w:val="13"/>
          <w:color w:val="0563C1"/>
        </w:rPr>
        <w:fldChar w:fldCharType="end"/>
      </w:r>
    </w:p>
    <w:p w14:paraId="4A54B243">
      <w:pPr>
        <w:spacing w:after="200" w:line="400" w:lineRule="atLeast"/>
      </w:pPr>
      <w:r>
        <w:fldChar w:fldCharType="begin"/>
      </w:r>
      <w:r>
        <w:instrText xml:space="preserve"> HYPERLINK "https://liangtan.top/detail?specialty=%E8%89%BA%E6%9C%AF%E4%B8%8E%E7%A7%91%E6%8A%80&amp;label=proposalReport&amp;title=%E8%89%BA%E6%9C%AF%E5%AE%B6%E4%B8%8E%E7%A7%91%E6%8A%80%E7%A0%94%E7%A9%B6%E8%80%85%E7%9A%84%E8%B7%A8%E7%95%8C%E5%90%88%E4%BD%9C%E6%A8%A1%E5%BC%8F%E6%8E%A2%E8%AE%A8" \h </w:instrText>
      </w:r>
      <w:r>
        <w:fldChar w:fldCharType="separate"/>
      </w:r>
      <w:r>
        <w:rPr>
          <w:rStyle w:val="13"/>
          <w:color w:val="0563C1"/>
        </w:rPr>
        <w:t>[116,117]. 《艺术家与科技研究者的跨界合作模式探讨》</w:t>
      </w:r>
      <w:r>
        <w:rPr>
          <w:rStyle w:val="13"/>
          <w:color w:val="0563C1"/>
        </w:rPr>
        <w:fldChar w:fldCharType="end"/>
      </w:r>
    </w:p>
    <w:p w14:paraId="109618EF">
      <w:pPr>
        <w:spacing w:after="200" w:line="400" w:lineRule="atLeast"/>
      </w:pPr>
      <w:r>
        <w:fldChar w:fldCharType="begin"/>
      </w:r>
      <w:r>
        <w:instrText xml:space="preserve"> HYPERLINK "http://www.lunwen.net.cn/lunwen/jingjilunwen/117827.html" \h </w:instrText>
      </w:r>
      <w:r>
        <w:fldChar w:fldCharType="separate"/>
      </w:r>
      <w:r>
        <w:rPr>
          <w:rStyle w:val="13"/>
          <w:color w:val="0563C1"/>
        </w:rPr>
        <w:t>[119]. 现代职业教育教学范式的理论模型</w:t>
      </w:r>
      <w:r>
        <w:rPr>
          <w:rStyle w:val="13"/>
          <w:color w:val="0563C1"/>
        </w:rPr>
        <w:fldChar w:fldCharType="end"/>
      </w:r>
    </w:p>
    <w:p w14:paraId="2A78477F">
      <w:pPr>
        <w:spacing w:after="200" w:line="400" w:lineRule="atLeast"/>
      </w:pPr>
      <w:r>
        <w:fldChar w:fldCharType="begin"/>
      </w:r>
      <w:r>
        <w:instrText xml:space="preserve"> HYPERLINK "https://www.culture.gouv.fr/content/download/277410/pdf_file/20201007_MC-CP-PLAN%20DE%20SOUTIEN%20CREATION%20ARTISTIQUE.pdf?inLanguage=fre-FR" \h </w:instrText>
      </w:r>
      <w:r>
        <w:fldChar w:fldCharType="separate"/>
      </w:r>
      <w:r>
        <w:rPr>
          <w:rStyle w:val="13"/>
          <w:color w:val="0563C1"/>
        </w:rPr>
        <w:t>[120,126,127]. UN SOUTIEN EXCEPTIONNEL EN FAVEUR DE LA CREATION ARTISTIQUE</w:t>
      </w:r>
      <w:r>
        <w:rPr>
          <w:rStyle w:val="13"/>
          <w:color w:val="0563C1"/>
        </w:rPr>
        <w:fldChar w:fldCharType="end"/>
      </w:r>
    </w:p>
    <w:p w14:paraId="42F5DB33">
      <w:pPr>
        <w:spacing w:after="200" w:line="400" w:lineRule="atLeast"/>
      </w:pPr>
      <w:r>
        <w:fldChar w:fldCharType="begin"/>
      </w:r>
      <w:r>
        <w:instrText xml:space="preserve"> HYPERLINK "https://commission.europa.eu/document/download/cc30c8a6-7a02-487d-b6a4-91733319571f_en?filename=C_2025_2137_1_EN_annexe_acte_autonome_nlw_part1_v2.pdf" \h </w:instrText>
      </w:r>
      <w:r>
        <w:fldChar w:fldCharType="separate"/>
      </w:r>
      <w:r>
        <w:rPr>
          <w:rStyle w:val="13"/>
          <w:color w:val="0563C1"/>
        </w:rPr>
        <w:t>[122,123,128,129]. Positive preliminary assessment of the satisfactory fulfilment of milestones and targets related to the fourth payment request submitted by France on 21 January 2025, transmitted to the Economic and Financial Committee by the European Commission</w:t>
      </w:r>
      <w:r>
        <w:rPr>
          <w:rStyle w:val="13"/>
          <w:color w:val="0563C1"/>
        </w:rPr>
        <w:fldChar w:fldCharType="end"/>
      </w:r>
    </w:p>
    <w:p w14:paraId="12635C51">
      <w:pPr>
        <w:spacing w:after="200" w:line="400" w:lineRule="atLeast"/>
      </w:pPr>
      <w:r>
        <w:fldChar w:fldCharType="begin"/>
      </w:r>
      <w:r>
        <w:instrText xml:space="preserve"> HYPERLINK "https://www.budget.gouv.fr/documentation/file-download/27857" \h </w:instrText>
      </w:r>
      <w:r>
        <w:fldChar w:fldCharType="separate"/>
      </w:r>
      <w:r>
        <w:rPr>
          <w:rStyle w:val="13"/>
          <w:color w:val="0563C1"/>
        </w:rPr>
        <w:t>[124,310]. Projet annuel de performances Annexe au projet de loi de finances pour 2025 PROGRAMME 131 Création 2025 C1 Données Internes</w:t>
      </w:r>
      <w:r>
        <w:rPr>
          <w:rStyle w:val="13"/>
          <w:color w:val="0563C1"/>
        </w:rPr>
        <w:fldChar w:fldCharType="end"/>
      </w:r>
    </w:p>
    <w:p w14:paraId="251E85D4">
      <w:pPr>
        <w:spacing w:after="400" w:line="400" w:lineRule="atLeast"/>
      </w:pPr>
      <w:r>
        <w:t>[[130]. 2020 Hallyu White Paper ](http://m.kofice.or.kr/z99_include/filedown1.asp?filename=[KOFICE] Hallyu White Paper_2020.pdf)</w:t>
      </w:r>
    </w:p>
    <w:p w14:paraId="19B7A97A">
      <w:pPr>
        <w:spacing w:after="200" w:line="400" w:lineRule="atLeast"/>
      </w:pPr>
      <w:r>
        <w:fldChar w:fldCharType="begin"/>
      </w:r>
      <w:r>
        <w:instrText xml:space="preserve"> HYPERLINK "https://www.arko.or.kr/eng/images/Vol.%202025%20-%20Eng%20(Based%20on%202024%20Data).pdf" \h </w:instrText>
      </w:r>
      <w:r>
        <w:fldChar w:fldCharType="separate"/>
      </w:r>
      <w:r>
        <w:rPr>
          <w:rStyle w:val="13"/>
          <w:color w:val="0563C1"/>
        </w:rPr>
        <w:t>[132,222,223,235,263]. Sustainable Management Report 2025</w:t>
      </w:r>
      <w:r>
        <w:rPr>
          <w:rStyle w:val="13"/>
          <w:color w:val="0563C1"/>
        </w:rPr>
        <w:fldChar w:fldCharType="end"/>
      </w:r>
    </w:p>
    <w:p w14:paraId="09D2A5B6">
      <w:pPr>
        <w:spacing w:after="200" w:line="400" w:lineRule="atLeast"/>
      </w:pPr>
      <w:r>
        <w:fldChar w:fldCharType="begin"/>
      </w:r>
      <w:r>
        <w:instrText xml:space="preserve"> HYPERLINK "https://files.metaso.cn/api/public-file/preview?fileName=8692383354830950400.pdf" \h </w:instrText>
      </w:r>
      <w:r>
        <w:fldChar w:fldCharType="separate"/>
      </w:r>
      <w:r>
        <w:rPr>
          <w:rStyle w:val="13"/>
          <w:color w:val="0563C1"/>
        </w:rPr>
        <w:t>[133]. AI Adoption by Small and Medium-Sized Enterprises</w:t>
      </w:r>
      <w:r>
        <w:rPr>
          <w:rStyle w:val="13"/>
          <w:color w:val="0563C1"/>
        </w:rPr>
        <w:fldChar w:fldCharType="end"/>
      </w:r>
    </w:p>
    <w:p w14:paraId="4B406898">
      <w:pPr>
        <w:spacing w:after="200" w:line="400" w:lineRule="atLeast"/>
      </w:pPr>
      <w:r>
        <w:fldChar w:fldCharType="begin"/>
      </w:r>
      <w:r>
        <w:instrText xml:space="preserve"> HYPERLINK "https://news.sina.cn/2022-02-08/detail-ikyamrmz9711835.d.html" \h </w:instrText>
      </w:r>
      <w:r>
        <w:fldChar w:fldCharType="separate"/>
      </w:r>
      <w:r>
        <w:rPr>
          <w:rStyle w:val="13"/>
          <w:color w:val="0563C1"/>
        </w:rPr>
        <w:t>[137,238,274,276,286]. 联合国教科文组织发布《重塑创意政策》报告 呼吁保护文创产业</w:t>
      </w:r>
      <w:r>
        <w:rPr>
          <w:rStyle w:val="13"/>
          <w:color w:val="0563C1"/>
        </w:rPr>
        <w:fldChar w:fldCharType="end"/>
      </w:r>
    </w:p>
    <w:p w14:paraId="1FD1D2B8">
      <w:pPr>
        <w:spacing w:after="200" w:line="400" w:lineRule="atLeast"/>
      </w:pPr>
      <w:r>
        <w:fldChar w:fldCharType="begin"/>
      </w:r>
      <w:r>
        <w:instrText xml:space="preserve"> HYPERLINK "https://beanactivecitizen.com/pdf/PENSER_1.pdf" \h </w:instrText>
      </w:r>
      <w:r>
        <w:fldChar w:fldCharType="separate"/>
      </w:r>
      <w:r>
        <w:rPr>
          <w:rStyle w:val="13"/>
          <w:color w:val="0563C1"/>
        </w:rPr>
        <w:t>[141]. RE|PENSER LES POLITIQUES EN FAVEUR DE LA CRÉATIVITÉ</w:t>
      </w:r>
      <w:r>
        <w:rPr>
          <w:rStyle w:val="13"/>
          <w:color w:val="0563C1"/>
        </w:rPr>
        <w:fldChar w:fldCharType="end"/>
      </w:r>
    </w:p>
    <w:p w14:paraId="65D0EFB2">
      <w:pPr>
        <w:spacing w:after="200" w:line="400" w:lineRule="atLeast"/>
      </w:pPr>
      <w:r>
        <w:fldChar w:fldCharType="begin"/>
      </w:r>
      <w:r>
        <w:instrText xml:space="preserve"> HYPERLINK "https://www.ilo.org/sites/default/files/wcmsp5/groups/public/@ed_dialogue/@sector/documents/publication/wcms_865323.pdf" \h </w:instrText>
      </w:r>
      <w:r>
        <w:fldChar w:fldCharType="separate"/>
      </w:r>
      <w:r>
        <w:rPr>
          <w:rStyle w:val="13"/>
          <w:color w:val="0563C1"/>
        </w:rPr>
        <w:t>[142]. The Future of Work in the Arts and Entertainment Sector</w:t>
      </w:r>
      <w:r>
        <w:rPr>
          <w:rStyle w:val="13"/>
          <w:color w:val="0563C1"/>
        </w:rPr>
        <w:fldChar w:fldCharType="end"/>
      </w:r>
    </w:p>
    <w:p w14:paraId="63709E0D">
      <w:pPr>
        <w:spacing w:after="200" w:line="400" w:lineRule="atLeast"/>
      </w:pPr>
      <w:r>
        <w:fldChar w:fldCharType="begin"/>
      </w:r>
      <w:r>
        <w:instrText xml:space="preserve"> HYPERLINK "https://www.sipotra.it/wp-content/uploads/2022/06/The-Culture-Fix-CREATIVE-PEOPLE-PLACES-AND-INDUSTRIES.pdf" \h </w:instrText>
      </w:r>
      <w:r>
        <w:fldChar w:fldCharType="separate"/>
      </w:r>
      <w:r>
        <w:rPr>
          <w:rStyle w:val="13"/>
          <w:color w:val="0563C1"/>
        </w:rPr>
        <w:t>[144]. The Culture Fix: CREATIVE PEOPLE, PLACES AND INDUSTRIES</w:t>
      </w:r>
      <w:r>
        <w:rPr>
          <w:rStyle w:val="13"/>
          <w:color w:val="0563C1"/>
        </w:rPr>
        <w:fldChar w:fldCharType="end"/>
      </w:r>
    </w:p>
    <w:p w14:paraId="7D2A4D93">
      <w:pPr>
        <w:spacing w:after="200" w:line="400" w:lineRule="atLeast"/>
      </w:pPr>
      <w:r>
        <w:fldChar w:fldCharType="begin"/>
      </w:r>
      <w:r>
        <w:instrText xml:space="preserve"> HYPERLINK "https://mk.gov.cz/doc/cms_library/strategie_kko-13008.pdf" \h </w:instrText>
      </w:r>
      <w:r>
        <w:fldChar w:fldCharType="separate"/>
      </w:r>
      <w:r>
        <w:rPr>
          <w:rStyle w:val="13"/>
          <w:color w:val="0563C1"/>
        </w:rPr>
        <w:t>[145,150]. Strategie rozvoje a podpory kulturních a kreativních odvětví</w:t>
      </w:r>
      <w:r>
        <w:rPr>
          <w:rStyle w:val="13"/>
          <w:color w:val="0563C1"/>
        </w:rPr>
        <w:fldChar w:fldCharType="end"/>
      </w:r>
    </w:p>
    <w:p w14:paraId="5F1C8262">
      <w:pPr>
        <w:spacing w:after="200" w:line="400" w:lineRule="atLeast"/>
      </w:pPr>
      <w:r>
        <w:fldChar w:fldCharType="begin"/>
      </w:r>
      <w:r>
        <w:instrText xml:space="preserve"> HYPERLINK "https://www.generationequal.scot/app/uploads/2022/03/NACWG-paper-Gender-inequality-in-creative-industries-FINAL-PAPER-5-August-21.pdf" \h </w:instrText>
      </w:r>
      <w:r>
        <w:fldChar w:fldCharType="separate"/>
      </w:r>
      <w:r>
        <w:rPr>
          <w:rStyle w:val="13"/>
          <w:color w:val="0563C1"/>
        </w:rPr>
        <w:t>[147]. GENDER INEQUALITY IN THE CREATIVE ARTS</w:t>
      </w:r>
      <w:r>
        <w:rPr>
          <w:rStyle w:val="13"/>
          <w:color w:val="0563C1"/>
        </w:rPr>
        <w:fldChar w:fldCharType="end"/>
      </w:r>
    </w:p>
    <w:p w14:paraId="6E59FC9F">
      <w:pPr>
        <w:spacing w:after="200" w:line="400" w:lineRule="atLeast"/>
      </w:pPr>
      <w:r>
        <w:fldChar w:fldCharType="begin"/>
      </w:r>
      <w:r>
        <w:instrText xml:space="preserve"> HYPERLINK "https://www.oecd-ilibrary.org/cultural-and-creative-jobs-and-skills-who-what-where-and-why-it-matters_1357bbe7-en.pdf" \h </w:instrText>
      </w:r>
      <w:r>
        <w:fldChar w:fldCharType="separate"/>
      </w:r>
      <w:r>
        <w:rPr>
          <w:rStyle w:val="13"/>
          <w:color w:val="0563C1"/>
        </w:rPr>
        <w:t>[148,204,288]. Cultural and creative jobs and skills: who, what, where, and why it matters</w:t>
      </w:r>
      <w:r>
        <w:rPr>
          <w:rStyle w:val="13"/>
          <w:color w:val="0563C1"/>
        </w:rPr>
        <w:fldChar w:fldCharType="end"/>
      </w:r>
    </w:p>
    <w:p w14:paraId="6EA543F5">
      <w:pPr>
        <w:spacing w:after="200" w:line="400" w:lineRule="atLeast"/>
      </w:pPr>
      <w:r>
        <w:fldChar w:fldCharType="begin"/>
      </w:r>
      <w:r>
        <w:instrText xml:space="preserve"> HYPERLINK "http://finance.sina.com.cn/hy/20120108/220911152171.shtml" \h </w:instrText>
      </w:r>
      <w:r>
        <w:fldChar w:fldCharType="separate"/>
      </w:r>
      <w:r>
        <w:rPr>
          <w:rStyle w:val="13"/>
          <w:color w:val="0563C1"/>
        </w:rPr>
        <w:t>[152]. 跨界融合催生文化产业的创新人才</w:t>
      </w:r>
      <w:r>
        <w:rPr>
          <w:rStyle w:val="13"/>
          <w:color w:val="0563C1"/>
        </w:rPr>
        <w:fldChar w:fldCharType="end"/>
      </w:r>
    </w:p>
    <w:p w14:paraId="09F5A34F">
      <w:pPr>
        <w:spacing w:after="200" w:line="400" w:lineRule="atLeast"/>
      </w:pPr>
      <w:r>
        <w:fldChar w:fldCharType="begin"/>
      </w:r>
      <w:r>
        <w:instrText xml:space="preserve"> HYPERLINK "http://whcy.cnhouji.com/html/2022/0706/4778.shtml" \h </w:instrText>
      </w:r>
      <w:r>
        <w:fldChar w:fldCharType="separate"/>
      </w:r>
      <w:r>
        <w:rPr>
          <w:rStyle w:val="13"/>
          <w:color w:val="0563C1"/>
        </w:rPr>
        <w:t>[154,167]. 思考艺术管理在新时代背景下的跨界融合路径</w:t>
      </w:r>
      <w:r>
        <w:rPr>
          <w:rStyle w:val="13"/>
          <w:color w:val="0563C1"/>
        </w:rPr>
        <w:fldChar w:fldCharType="end"/>
      </w:r>
    </w:p>
    <w:p w14:paraId="228BA7D6">
      <w:pPr>
        <w:spacing w:after="200" w:line="400" w:lineRule="atLeast"/>
      </w:pPr>
      <w:r>
        <w:fldChar w:fldCharType="begin"/>
      </w:r>
      <w:r>
        <w:instrText xml:space="preserve"> HYPERLINK "https://barnettcenter.osu.edu/sites/default/files/2019-08/professional_self-structuration.pdf" \h </w:instrText>
      </w:r>
      <w:r>
        <w:fldChar w:fldCharType="separate"/>
      </w:r>
      <w:r>
        <w:rPr>
          <w:rStyle w:val="13"/>
          <w:color w:val="0563C1"/>
        </w:rPr>
        <w:t>[156,248,294]. Professional Self-Structuration in the Arts: Sustaining Creative Careers in the 21st Century</w:t>
      </w:r>
      <w:r>
        <w:rPr>
          <w:rStyle w:val="13"/>
          <w:color w:val="0563C1"/>
        </w:rPr>
        <w:fldChar w:fldCharType="end"/>
      </w:r>
    </w:p>
    <w:p w14:paraId="72ACEC74">
      <w:pPr>
        <w:spacing w:after="200" w:line="400" w:lineRule="atLeast"/>
      </w:pPr>
      <w:r>
        <w:fldChar w:fldCharType="begin"/>
      </w:r>
      <w:r>
        <w:instrText xml:space="preserve"> HYPERLINK "https://digibug.ugr.es/bitstream/handle/10481/51878/29070235.pdf?sequence=4" \h </w:instrText>
      </w:r>
      <w:r>
        <w:fldChar w:fldCharType="separate"/>
      </w:r>
      <w:r>
        <w:rPr>
          <w:rStyle w:val="13"/>
          <w:color w:val="0563C1"/>
        </w:rPr>
        <w:t>[157]. MECANISMOS DE SUPERVIVENCIA EN EL SISTEMA DEL ARTE ACTUAL: DISEÑO E IMPLEMENTACIÓN DE ARTAPP COMO HERRAMIENTA DIGITAL PARA LA PROMOCIÓN Y LEGITIMACIÓN DEL ARTISTA SUMERGIDO</w:t>
      </w:r>
      <w:r>
        <w:rPr>
          <w:rStyle w:val="13"/>
          <w:color w:val="0563C1"/>
        </w:rPr>
        <w:fldChar w:fldCharType="end"/>
      </w:r>
    </w:p>
    <w:p w14:paraId="5AB91C5A">
      <w:pPr>
        <w:spacing w:after="200" w:line="400" w:lineRule="atLeast"/>
      </w:pPr>
      <w:r>
        <w:fldChar w:fldCharType="begin"/>
      </w:r>
      <w:r>
        <w:instrText xml:space="preserve"> HYPERLINK "https://eclass.hua.gr/modules/document/file.php/OIK364/Cultural%20sector/%28Routledge%20Research%20in%20Creative%20and%20Cultural%20Industries%20Management%29%20Constance%20DeVereaux%20-%20Arts%20and%20Cultural%20Management_%20Sense%20and%20Sensibilities%20in%20the%20State%20of%20the%20Field-Routledge%20%282018%29.pdf" \h </w:instrText>
      </w:r>
      <w:r>
        <w:fldChar w:fldCharType="separate"/>
      </w:r>
      <w:r>
        <w:rPr>
          <w:rStyle w:val="13"/>
          <w:color w:val="0563C1"/>
        </w:rPr>
        <w:t>[158,260]. Arts and Cultural Management: Sense and Sensibilities in the State of the Field</w:t>
      </w:r>
      <w:r>
        <w:rPr>
          <w:rStyle w:val="13"/>
          <w:color w:val="0563C1"/>
        </w:rPr>
        <w:fldChar w:fldCharType="end"/>
      </w:r>
    </w:p>
    <w:p w14:paraId="7B40405C">
      <w:pPr>
        <w:spacing w:after="200" w:line="400" w:lineRule="atLeast"/>
      </w:pPr>
      <w:r>
        <w:fldChar w:fldCharType="begin"/>
      </w:r>
      <w:r>
        <w:instrText xml:space="preserve"> HYPERLINK "https://www.artscouncil.org.uk/sites/default/files/download-file/Guide_for_Global_Talent_applicants_December_2020_0.pdf" \h </w:instrText>
      </w:r>
      <w:r>
        <w:fldChar w:fldCharType="separate"/>
      </w:r>
      <w:r>
        <w:rPr>
          <w:rStyle w:val="13"/>
          <w:color w:val="0563C1"/>
        </w:rPr>
        <w:t>[159]. Guide for Global Talent applicants</w:t>
      </w:r>
      <w:r>
        <w:rPr>
          <w:rStyle w:val="13"/>
          <w:color w:val="0563C1"/>
        </w:rPr>
        <w:fldChar w:fldCharType="end"/>
      </w:r>
    </w:p>
    <w:p w14:paraId="0995EFB2">
      <w:pPr>
        <w:spacing w:after="200" w:line="400" w:lineRule="atLeast"/>
      </w:pPr>
      <w:r>
        <w:fldChar w:fldCharType="begin"/>
      </w:r>
      <w:r>
        <w:instrText xml:space="preserve"> HYPERLINK "https://www.pedocs.de/volltexte/2024/28463/pdf/Robak_et_al_2023_Wissenschaftliche_berufliche_Weiterbildung.pdf" \h </w:instrText>
      </w:r>
      <w:r>
        <w:fldChar w:fldCharType="separate"/>
      </w:r>
      <w:r>
        <w:rPr>
          <w:rStyle w:val="13"/>
          <w:color w:val="0563C1"/>
        </w:rPr>
        <w:t>[160]. Wissenschaftliche berufliche Weiterbildung für Kunst und Kultur. Bildungssphäre für das künstlerisch-kulturelle Selbst: Entfalten. Platzieren. Gestalten</w:t>
      </w:r>
      <w:r>
        <w:rPr>
          <w:rStyle w:val="13"/>
          <w:color w:val="0563C1"/>
        </w:rPr>
        <w:fldChar w:fldCharType="end"/>
      </w:r>
    </w:p>
    <w:p w14:paraId="2EA8258D">
      <w:pPr>
        <w:spacing w:after="200" w:line="400" w:lineRule="atLeast"/>
      </w:pPr>
      <w:r>
        <w:fldChar w:fldCharType="begin"/>
      </w:r>
      <w:r>
        <w:instrText xml:space="preserve"> HYPERLINK "https://www.163.com/dy/article/J86GC36R05568N93.html" \h </w:instrText>
      </w:r>
      <w:r>
        <w:fldChar w:fldCharType="separate"/>
      </w:r>
      <w:r>
        <w:rPr>
          <w:rStyle w:val="13"/>
          <w:color w:val="0563C1"/>
        </w:rPr>
        <w:t>[161]. 艺术管理：跨界融合的新篇章</w:t>
      </w:r>
      <w:r>
        <w:rPr>
          <w:rStyle w:val="13"/>
          <w:color w:val="0563C1"/>
        </w:rPr>
        <w:fldChar w:fldCharType="end"/>
      </w:r>
    </w:p>
    <w:p w14:paraId="1F062C89">
      <w:pPr>
        <w:spacing w:after="200" w:line="400" w:lineRule="atLeast"/>
      </w:pPr>
      <w:r>
        <w:fldChar w:fldCharType="begin"/>
      </w:r>
      <w:r>
        <w:instrText xml:space="preserve"> HYPERLINK "https://www.encatc.org/media/368-encatc_ac_book.pdf" \h </w:instrText>
      </w:r>
      <w:r>
        <w:fldChar w:fldCharType="separate"/>
      </w:r>
      <w:r>
        <w:rPr>
          <w:rStyle w:val="13"/>
          <w:color w:val="0563C1"/>
        </w:rPr>
        <w:t>[162,165]. The Ecology of Culture: Community Engagement, Co-creation and Cross Fertilization</w:t>
      </w:r>
      <w:r>
        <w:rPr>
          <w:rStyle w:val="13"/>
          <w:color w:val="0563C1"/>
        </w:rPr>
        <w:fldChar w:fldCharType="end"/>
      </w:r>
    </w:p>
    <w:p w14:paraId="67B33943">
      <w:pPr>
        <w:spacing w:after="200" w:line="400" w:lineRule="atLeast"/>
      </w:pPr>
      <w:r>
        <w:fldChar w:fldCharType="begin"/>
      </w:r>
      <w:r>
        <w:instrText xml:space="preserve"> HYPERLINK "https://eamt.ee/wp-content/uploads/2022/09/kultuurikorraldus_04_eng_veeb.pdf" \h </w:instrText>
      </w:r>
      <w:r>
        <w:fldChar w:fldCharType="separate"/>
      </w:r>
      <w:r>
        <w:rPr>
          <w:rStyle w:val="13"/>
          <w:color w:val="0563C1"/>
        </w:rPr>
        <w:t>[163]. Managing the Arts 4</w:t>
      </w:r>
      <w:r>
        <w:rPr>
          <w:rStyle w:val="13"/>
          <w:color w:val="0563C1"/>
        </w:rPr>
        <w:fldChar w:fldCharType="end"/>
      </w:r>
    </w:p>
    <w:p w14:paraId="0F8E5CF5">
      <w:pPr>
        <w:spacing w:after="200" w:line="400" w:lineRule="atLeast"/>
      </w:pPr>
      <w:r>
        <w:fldChar w:fldCharType="begin"/>
      </w:r>
      <w:r>
        <w:instrText xml:space="preserve"> HYPERLINK "https://xxgk.sdmu.edu.cn/__local/9/47/18/93F13AE9FB64CD9DB9B698AF622_4C89E6A3_30CF49.pdf" \h </w:instrText>
      </w:r>
      <w:r>
        <w:fldChar w:fldCharType="separate"/>
      </w:r>
      <w:r>
        <w:rPr>
          <w:rStyle w:val="13"/>
          <w:color w:val="0563C1"/>
        </w:rPr>
        <w:t>[164,166]. 专业人才培养状况报告（本科专业）</w:t>
      </w:r>
      <w:r>
        <w:rPr>
          <w:rStyle w:val="13"/>
          <w:color w:val="0563C1"/>
        </w:rPr>
        <w:fldChar w:fldCharType="end"/>
      </w:r>
    </w:p>
    <w:p w14:paraId="5F2A133A">
      <w:pPr>
        <w:spacing w:after="200" w:line="400" w:lineRule="atLeast"/>
      </w:pPr>
      <w:r>
        <w:fldChar w:fldCharType="begin"/>
      </w:r>
      <w:r>
        <w:instrText xml:space="preserve"> HYPERLINK "https://eng.kofice.or.kr/z99_include/filedown1.asp?filename=%5BKOFICE%5D%202025%20Kore_A_Round_Culture_Project_List_EN.docx" \h </w:instrText>
      </w:r>
      <w:r>
        <w:fldChar w:fldCharType="separate"/>
      </w:r>
      <w:r>
        <w:rPr>
          <w:rStyle w:val="13"/>
          <w:color w:val="0563C1"/>
        </w:rPr>
        <w:t>[168,171,182,183]. Kore•A•Round Culture Project Guidelines for Open call</w:t>
      </w:r>
      <w:r>
        <w:rPr>
          <w:rStyle w:val="13"/>
          <w:color w:val="0563C1"/>
        </w:rPr>
        <w:fldChar w:fldCharType="end"/>
      </w:r>
    </w:p>
    <w:p w14:paraId="214BC962">
      <w:pPr>
        <w:spacing w:after="200" w:line="400" w:lineRule="atLeast"/>
      </w:pPr>
      <w:r>
        <w:fldChar w:fldCharType="begin"/>
      </w:r>
      <w:r>
        <w:instrText xml:space="preserve"> HYPERLINK "https://www.tour.go.kr/FileSystem/UploadTemp/SendNewsLetter/week_poliy(2021_12_01).pdf" \h </w:instrText>
      </w:r>
      <w:r>
        <w:fldChar w:fldCharType="separate"/>
      </w:r>
      <w:r>
        <w:rPr>
          <w:rStyle w:val="13"/>
          <w:color w:val="0563C1"/>
        </w:rPr>
        <w:t>[169,176,177]. 관광관련 정부정책</w:t>
      </w:r>
      <w:r>
        <w:rPr>
          <w:rStyle w:val="13"/>
          <w:color w:val="0563C1"/>
        </w:rPr>
        <w:fldChar w:fldCharType="end"/>
      </w:r>
    </w:p>
    <w:p w14:paraId="626E322D">
      <w:pPr>
        <w:spacing w:after="200" w:line="400" w:lineRule="atLeast"/>
      </w:pPr>
      <w:r>
        <w:fldChar w:fldCharType="begin"/>
      </w:r>
      <w:r>
        <w:instrText xml:space="preserve"> HYPERLINK "https://www.cha.go.kr/cmm/fms/BoardFileDown.do?atchFileId=FILE_000000000050559&amp;fileSn=0&amp;dwldHistYn=N&amp;bbsId=BBSMSTR_1045" \h </w:instrText>
      </w:r>
      <w:r>
        <w:fldChar w:fldCharType="separate"/>
      </w:r>
      <w:r>
        <w:rPr>
          <w:rStyle w:val="13"/>
          <w:color w:val="0563C1"/>
        </w:rPr>
        <w:t>[170,189]. 2022년도 예산 및 기금운용계획 사업설명자료(Ⅱ-1)</w:t>
      </w:r>
      <w:r>
        <w:rPr>
          <w:rStyle w:val="13"/>
          <w:color w:val="0563C1"/>
        </w:rPr>
        <w:fldChar w:fldCharType="end"/>
      </w:r>
    </w:p>
    <w:p w14:paraId="0F44F0F9">
      <w:pPr>
        <w:spacing w:after="200" w:line="400" w:lineRule="atLeast"/>
      </w:pPr>
      <w:r>
        <w:fldChar w:fldCharType="begin"/>
      </w:r>
      <w:r>
        <w:instrText xml:space="preserve"> HYPERLINK "https://www.busan.go.kr/comm/getFile?srvcId=BBSTY1&amp;upperNo=1682880&amp;fileTy=ATTACH&amp;fileNo=1" \h </w:instrText>
      </w:r>
      <w:r>
        <w:fldChar w:fldCharType="separate"/>
      </w:r>
      <w:r>
        <w:rPr>
          <w:rStyle w:val="13"/>
          <w:color w:val="0563C1"/>
        </w:rPr>
        <w:t>[172,174,184]. 2025년 주요 업무계획</w:t>
      </w:r>
      <w:r>
        <w:rPr>
          <w:rStyle w:val="13"/>
          <w:color w:val="0563C1"/>
        </w:rPr>
        <w:fldChar w:fldCharType="end"/>
      </w:r>
    </w:p>
    <w:p w14:paraId="6E717118">
      <w:pPr>
        <w:spacing w:after="200" w:line="400" w:lineRule="atLeast"/>
      </w:pPr>
      <w:r>
        <w:fldChar w:fldCharType="begin"/>
      </w:r>
      <w:r>
        <w:instrText xml:space="preserve"> HYPERLINK "https://e-archive.bscf.or.kr/27_policy/download.php?idx=1559&amp;file=1640949510_1645_f.pdf" \h </w:instrText>
      </w:r>
      <w:r>
        <w:fldChar w:fldCharType="separate"/>
      </w:r>
      <w:r>
        <w:rPr>
          <w:rStyle w:val="13"/>
          <w:color w:val="0563C1"/>
        </w:rPr>
        <w:t>[173]. 창작종합지원센터 운영 및 활용방안 연구 용역</w:t>
      </w:r>
      <w:r>
        <w:rPr>
          <w:rStyle w:val="13"/>
          <w:color w:val="0563C1"/>
        </w:rPr>
        <w:fldChar w:fldCharType="end"/>
      </w:r>
    </w:p>
    <w:p w14:paraId="2DEAFF03">
      <w:pPr>
        <w:spacing w:after="200" w:line="400" w:lineRule="atLeast"/>
      </w:pPr>
      <w:r>
        <w:fldChar w:fldCharType="begin"/>
      </w:r>
      <w:r>
        <w:instrText xml:space="preserve"> HYPERLINK "https://www.gimhae.go.kr/board/download.do?idx=2427532&amp;fnum=1&amp;gcode=1014" \h </w:instrText>
      </w:r>
      <w:r>
        <w:fldChar w:fldCharType="separate"/>
      </w:r>
      <w:r>
        <w:rPr>
          <w:rStyle w:val="13"/>
          <w:color w:val="0563C1"/>
        </w:rPr>
        <w:t>[175,185,186,192]. 2020~2024년 중기지방재정계획</w:t>
      </w:r>
      <w:r>
        <w:rPr>
          <w:rStyle w:val="13"/>
          <w:color w:val="0563C1"/>
        </w:rPr>
        <w:fldChar w:fldCharType="end"/>
      </w:r>
    </w:p>
    <w:p w14:paraId="65BF5A92">
      <w:pPr>
        <w:spacing w:after="200" w:line="400" w:lineRule="atLeast"/>
      </w:pPr>
      <w:r>
        <w:fldChar w:fldCharType="begin"/>
      </w:r>
      <w:r>
        <w:instrText xml:space="preserve"> HYPERLINK "https://welcon.kocca.kr/mobile/en/support/issue-focus/81" \h </w:instrText>
      </w:r>
      <w:r>
        <w:fldChar w:fldCharType="separate"/>
      </w:r>
      <w:r>
        <w:rPr>
          <w:rStyle w:val="13"/>
          <w:color w:val="0563C1"/>
        </w:rPr>
        <w:t>[178]. Budget for Ministry of Culture, Sports, and Tourism Increases by 2.4% for 2025</w:t>
      </w:r>
      <w:r>
        <w:rPr>
          <w:rStyle w:val="13"/>
          <w:color w:val="0563C1"/>
        </w:rPr>
        <w:fldChar w:fldCharType="end"/>
      </w:r>
    </w:p>
    <w:p w14:paraId="69D0BCE7">
      <w:pPr>
        <w:spacing w:after="200" w:line="400" w:lineRule="atLeast"/>
      </w:pPr>
      <w:r>
        <w:fldChar w:fldCharType="begin"/>
      </w:r>
      <w:r>
        <w:instrText xml:space="preserve"> HYPERLINK "http://newportal.goyang.go.kr/resources/mayor/pdf/rcd/3-2-9.pdf" \h </w:instrText>
      </w:r>
      <w:r>
        <w:fldChar w:fldCharType="separate"/>
      </w:r>
      <w:r>
        <w:rPr>
          <w:rStyle w:val="13"/>
          <w:color w:val="0563C1"/>
        </w:rPr>
        <w:t>[179,190]. 문화예술 창작지원 확대 및 시민예술아케이드 구축</w:t>
      </w:r>
      <w:r>
        <w:rPr>
          <w:rStyle w:val="13"/>
          <w:color w:val="0563C1"/>
        </w:rPr>
        <w:fldChar w:fldCharType="end"/>
      </w:r>
    </w:p>
    <w:p w14:paraId="56D9CAD7">
      <w:pPr>
        <w:spacing w:after="200" w:line="400" w:lineRule="atLeast"/>
      </w:pPr>
      <w:r>
        <w:fldChar w:fldCharType="begin"/>
      </w:r>
      <w:r>
        <w:instrText xml:space="preserve"> HYPERLINK "https://www.moef.go.kr/com/cmm/fms/FileDown.do?atchFileId=ATCH_000000000020681&amp;fileSn=1" \h </w:instrText>
      </w:r>
      <w:r>
        <w:fldChar w:fldCharType="separate"/>
      </w:r>
      <w:r>
        <w:rPr>
          <w:rStyle w:val="13"/>
          <w:color w:val="0563C1"/>
        </w:rPr>
        <w:t>[180,187]. 2022년도 기금현황</w:t>
      </w:r>
      <w:r>
        <w:rPr>
          <w:rStyle w:val="13"/>
          <w:color w:val="0563C1"/>
        </w:rPr>
        <w:fldChar w:fldCharType="end"/>
      </w:r>
    </w:p>
    <w:p w14:paraId="3FA977B6">
      <w:pPr>
        <w:spacing w:after="200" w:line="400" w:lineRule="atLeast"/>
      </w:pPr>
      <w:r>
        <w:fldChar w:fldCharType="begin"/>
      </w:r>
      <w:r>
        <w:instrText xml:space="preserve"> HYPERLINK "https://www.daejeon.go.kr/data/mayor/8th/pledge02.pdf" \h </w:instrText>
      </w:r>
      <w:r>
        <w:fldChar w:fldCharType="separate"/>
      </w:r>
      <w:r>
        <w:rPr>
          <w:rStyle w:val="13"/>
          <w:color w:val="0563C1"/>
        </w:rPr>
        <w:t>[181]. 대한민국 문화·예술·체육 허브(문화·예술·체육분야) / 22개 사업</w:t>
      </w:r>
      <w:r>
        <w:rPr>
          <w:rStyle w:val="13"/>
          <w:color w:val="0563C1"/>
        </w:rPr>
        <w:fldChar w:fldCharType="end"/>
      </w:r>
    </w:p>
    <w:p w14:paraId="08BDE9DA">
      <w:pPr>
        <w:spacing w:after="200" w:line="400" w:lineRule="atLeast"/>
      </w:pPr>
      <w:r>
        <w:fldChar w:fldCharType="begin"/>
      </w:r>
      <w:r>
        <w:instrText xml:space="preserve"> HYPERLINK "https://www.moef.go.kr/com/cmm/fms/FileDown.do?atchFileId=ATCH_000000000030127&amp;fileSn=1" \h </w:instrText>
      </w:r>
      <w:r>
        <w:fldChar w:fldCharType="separate"/>
      </w:r>
      <w:r>
        <w:rPr>
          <w:rStyle w:val="13"/>
          <w:color w:val="0563C1"/>
        </w:rPr>
        <w:t>[188]. 2025년도 기금현황</w:t>
      </w:r>
      <w:r>
        <w:rPr>
          <w:rStyle w:val="13"/>
          <w:color w:val="0563C1"/>
        </w:rPr>
        <w:fldChar w:fldCharType="end"/>
      </w:r>
    </w:p>
    <w:p w14:paraId="2BCC89B7">
      <w:pPr>
        <w:spacing w:after="200" w:line="400" w:lineRule="atLeast"/>
      </w:pPr>
      <w:r>
        <w:fldChar w:fldCharType="begin"/>
      </w:r>
      <w:r>
        <w:instrText xml:space="preserve"> HYPERLINK "https://www.gc.go.kr/download/main/sub01/jaejung/2020/jaejung_202001_4.pdf" \h </w:instrText>
      </w:r>
      <w:r>
        <w:fldChar w:fldCharType="separate"/>
      </w:r>
      <w:r>
        <w:rPr>
          <w:rStyle w:val="13"/>
          <w:color w:val="0563C1"/>
        </w:rPr>
        <w:t>[193]. 2020년도 예산의 성과계획서</w:t>
      </w:r>
      <w:r>
        <w:rPr>
          <w:rStyle w:val="13"/>
          <w:color w:val="0563C1"/>
        </w:rPr>
        <w:fldChar w:fldCharType="end"/>
      </w:r>
    </w:p>
    <w:p w14:paraId="64AFFE32">
      <w:pPr>
        <w:spacing w:after="200" w:line="400" w:lineRule="atLeast"/>
      </w:pPr>
      <w:r>
        <w:fldChar w:fldCharType="begin"/>
      </w:r>
      <w:r>
        <w:instrText xml:space="preserve"> HYPERLINK "https://www.nabo.go.kr/system/common/JSPservlet/download.jsp?fCode=33316661&amp;fName=8.%202020%ED%9A%8C%EA%B3%84%EC%97%B0%EB%8F%84%20%EA%B2%B0%EC%82%B0%20%EC%9C%84%EC%9B%90%ED%9A%8C%EB%B3%84%20%EB%B6%84%EC%84%9D(%EB%AC%B8%ED%99%94%EC%B2%B4%EC%9C%A1%EA%B4%80%EA%B4%91%EC%9C%84%EC%9B%90%ED%9A%8C).pdf&amp;fBid=19&amp;flag=bluenet" \h </w:instrText>
      </w:r>
      <w:r>
        <w:fldChar w:fldCharType="separate"/>
      </w:r>
      <w:r>
        <w:rPr>
          <w:rStyle w:val="13"/>
          <w:color w:val="0563C1"/>
        </w:rPr>
        <w:t>[194]. 2020회계연도 결산 위원회별 분석</w:t>
      </w:r>
      <w:r>
        <w:rPr>
          <w:rStyle w:val="13"/>
          <w:color w:val="0563C1"/>
        </w:rPr>
        <w:fldChar w:fldCharType="end"/>
      </w:r>
    </w:p>
    <w:p w14:paraId="5845CC9B">
      <w:pPr>
        <w:spacing w:after="200" w:line="400" w:lineRule="atLeast"/>
      </w:pPr>
      <w:r>
        <w:fldChar w:fldCharType="begin"/>
      </w:r>
      <w:r>
        <w:instrText xml:space="preserve"> HYPERLINK "https://unctad.org/system/files/official-document/ditctsce2024d2_ch01_en.pdf" \h </w:instrText>
      </w:r>
      <w:r>
        <w:fldChar w:fldCharType="separate"/>
      </w:r>
      <w:r>
        <w:rPr>
          <w:rStyle w:val="13"/>
          <w:color w:val="0563C1"/>
        </w:rPr>
        <w:t>[197,200]. Global trends in the creative economy</w:t>
      </w:r>
      <w:r>
        <w:rPr>
          <w:rStyle w:val="13"/>
          <w:color w:val="0563C1"/>
        </w:rPr>
        <w:fldChar w:fldCharType="end"/>
      </w:r>
    </w:p>
    <w:p w14:paraId="3C6385E5">
      <w:pPr>
        <w:spacing w:after="200" w:line="400" w:lineRule="atLeast"/>
      </w:pPr>
      <w:r>
        <w:fldChar w:fldCharType="begin"/>
      </w:r>
      <w:r>
        <w:instrText xml:space="preserve"> HYPERLINK "https://www.bundeswirtschaftsministerium.de/Redaktion/DE/Publikationen/Kultur-und-Kreativwirtschaft/Monitoringberichte/monitoringbericht-kultur-und-kreativwirtschaft-2024.pdf?__blob=publicationFile&amp;v=25" \h </w:instrText>
      </w:r>
      <w:r>
        <w:fldChar w:fldCharType="separate"/>
      </w:r>
      <w:r>
        <w:rPr>
          <w:rStyle w:val="13"/>
          <w:color w:val="0563C1"/>
        </w:rPr>
        <w:t>[202,240,278]. Monitoringbericht Kultur- und Kreativwirtschaft 2024</w:t>
      </w:r>
      <w:r>
        <w:rPr>
          <w:rStyle w:val="13"/>
          <w:color w:val="0563C1"/>
        </w:rPr>
        <w:fldChar w:fldCharType="end"/>
      </w:r>
    </w:p>
    <w:p w14:paraId="7FEB51B5">
      <w:pPr>
        <w:spacing w:after="200" w:line="400" w:lineRule="atLeast"/>
      </w:pPr>
      <w:r>
        <w:fldChar w:fldCharType="begin"/>
      </w:r>
      <w:r>
        <w:instrText xml:space="preserve"> HYPERLINK "https://www.dane.gov.co/files/operaciones/CSECC/inf-CSECC-XIReporte-dic2024.pdf" \h </w:instrText>
      </w:r>
      <w:r>
        <w:fldChar w:fldCharType="separate"/>
      </w:r>
      <w:r>
        <w:rPr>
          <w:rStyle w:val="13"/>
          <w:color w:val="0563C1"/>
        </w:rPr>
        <w:t>[203,205,239,242,277,281,287,289]. Undécimo reporte del Sector Cultural, Creativo y de Saberes</w:t>
      </w:r>
      <w:r>
        <w:rPr>
          <w:rStyle w:val="13"/>
          <w:color w:val="0563C1"/>
        </w:rPr>
        <w:fldChar w:fldCharType="end"/>
      </w:r>
    </w:p>
    <w:p w14:paraId="743ED4EE">
      <w:pPr>
        <w:spacing w:after="200" w:line="400" w:lineRule="atLeast"/>
      </w:pPr>
      <w:r>
        <w:fldChar w:fldCharType="begin"/>
      </w:r>
      <w:r>
        <w:instrText xml:space="preserve"> HYPERLINK "https://sussex.figshare.com/articles/thesis/Creative_arts_and_STEM_fusion_in_and_around_the_UK_creative_industries_a_multi-level_study/23485127/1/files/41193917.pdf" \h </w:instrText>
      </w:r>
      <w:r>
        <w:fldChar w:fldCharType="separate"/>
      </w:r>
      <w:r>
        <w:rPr>
          <w:rStyle w:val="13"/>
          <w:color w:val="0563C1"/>
        </w:rPr>
        <w:t>[207,209,210,212]. Creative Arts and STEM Fusion in and around the UK Creative Industries: A multi-level study</w:t>
      </w:r>
      <w:r>
        <w:rPr>
          <w:rStyle w:val="13"/>
          <w:color w:val="0563C1"/>
        </w:rPr>
        <w:fldChar w:fldCharType="end"/>
      </w:r>
    </w:p>
    <w:p w14:paraId="571F4807">
      <w:pPr>
        <w:spacing w:after="200" w:line="400" w:lineRule="atLeast"/>
      </w:pPr>
      <w:r>
        <w:fldChar w:fldCharType="begin"/>
      </w:r>
      <w:r>
        <w:instrText xml:space="preserve"> HYPERLINK "https://www.prognos.com/sites/default/files/2025-01/Themendossier_Nachwuchs-und-Fachkra%CC%88fte-der-KKW_Dezember2021.pdf" \h </w:instrText>
      </w:r>
      <w:r>
        <w:fldChar w:fldCharType="separate"/>
      </w:r>
      <w:r>
        <w:rPr>
          <w:rStyle w:val="13"/>
          <w:color w:val="0563C1"/>
        </w:rPr>
        <w:t>[208,211,213]. Nachwuchs und Fachkräfte in der KKW</w:t>
      </w:r>
      <w:r>
        <w:rPr>
          <w:rStyle w:val="13"/>
          <w:color w:val="0563C1"/>
        </w:rPr>
        <w:fldChar w:fldCharType="end"/>
      </w:r>
    </w:p>
    <w:p w14:paraId="6FB5B0AE">
      <w:pPr>
        <w:spacing w:after="200" w:line="400" w:lineRule="atLeast"/>
      </w:pPr>
      <w:r>
        <w:fldChar w:fldCharType="begin"/>
      </w:r>
      <w:r>
        <w:instrText xml:space="preserve"> HYPERLINK "https://www.nature.com/articles/s41599-025-05273-1.pdf" \h </w:instrText>
      </w:r>
      <w:r>
        <w:fldChar w:fldCharType="separate"/>
      </w:r>
      <w:r>
        <w:rPr>
          <w:rStyle w:val="13"/>
          <w:color w:val="0563C1"/>
        </w:rPr>
        <w:t>[214]. How prevalent is the cross-disciplinary career transition? Evidence from a multi-dimensional comparative analysis</w:t>
      </w:r>
      <w:r>
        <w:rPr>
          <w:rStyle w:val="13"/>
          <w:color w:val="0563C1"/>
        </w:rPr>
        <w:fldChar w:fldCharType="end"/>
      </w:r>
    </w:p>
    <w:p w14:paraId="1E8E5A0F">
      <w:pPr>
        <w:spacing w:after="200" w:line="400" w:lineRule="atLeast"/>
      </w:pPr>
      <w:r>
        <w:fldChar w:fldCharType="begin"/>
      </w:r>
      <w:r>
        <w:instrText xml:space="preserve"> HYPERLINK "https://media.nesta.org.uk/documents/the_fusion_effect_v6.pdf" \h </w:instrText>
      </w:r>
      <w:r>
        <w:fldChar w:fldCharType="separate"/>
      </w:r>
      <w:r>
        <w:rPr>
          <w:rStyle w:val="13"/>
          <w:color w:val="0563C1"/>
        </w:rPr>
        <w:t>[215]. THE FUSION EFFECT: THE ECONOMIC RETURNS TO COMBINING ARTS AND SCIENCE SKILLS</w:t>
      </w:r>
      <w:r>
        <w:rPr>
          <w:rStyle w:val="13"/>
          <w:color w:val="0563C1"/>
        </w:rPr>
        <w:fldChar w:fldCharType="end"/>
      </w:r>
    </w:p>
    <w:p w14:paraId="4700FCE0">
      <w:pPr>
        <w:spacing w:after="200" w:line="400" w:lineRule="atLeast"/>
      </w:pPr>
      <w:r>
        <w:fldChar w:fldCharType="begin"/>
      </w:r>
      <w:r>
        <w:instrText xml:space="preserve"> HYPERLINK "https://ubook.reader.qq.com/book-read/48645892/1" \h </w:instrText>
      </w:r>
      <w:r>
        <w:fldChar w:fldCharType="separate"/>
      </w:r>
      <w:r>
        <w:rPr>
          <w:rStyle w:val="13"/>
          <w:color w:val="0563C1"/>
        </w:rPr>
        <w:t>[216]. 融合度</w:t>
      </w:r>
      <w:r>
        <w:rPr>
          <w:rStyle w:val="13"/>
          <w:color w:val="0563C1"/>
        </w:rPr>
        <w:fldChar w:fldCharType="end"/>
      </w:r>
    </w:p>
    <w:p w14:paraId="1DBCFF4D">
      <w:pPr>
        <w:spacing w:after="200" w:line="400" w:lineRule="atLeast"/>
      </w:pPr>
      <w:r>
        <w:fldChar w:fldCharType="begin"/>
      </w:r>
      <w:r>
        <w:instrText xml:space="preserve"> HYPERLINK "https://m.zongheng.com/chapter/1314438/76101008_1" \h </w:instrText>
      </w:r>
      <w:r>
        <w:fldChar w:fldCharType="separate"/>
      </w:r>
      <w:r>
        <w:rPr>
          <w:rStyle w:val="13"/>
          <w:color w:val="0563C1"/>
        </w:rPr>
        <w:t>[217]. 融合度百分之百</w:t>
      </w:r>
      <w:r>
        <w:rPr>
          <w:rStyle w:val="13"/>
          <w:color w:val="0563C1"/>
        </w:rPr>
        <w:fldChar w:fldCharType="end"/>
      </w:r>
    </w:p>
    <w:p w14:paraId="2E587A6B">
      <w:pPr>
        <w:spacing w:after="200" w:line="400" w:lineRule="atLeast"/>
      </w:pPr>
      <w:r>
        <w:fldChar w:fldCharType="begin"/>
      </w:r>
      <w:r>
        <w:instrText xml:space="preserve"> HYPERLINK "https://book.qq.com/book-read/49810127/58" \h </w:instrText>
      </w:r>
      <w:r>
        <w:fldChar w:fldCharType="separate"/>
      </w:r>
      <w:r>
        <w:rPr>
          <w:rStyle w:val="13"/>
          <w:color w:val="0563C1"/>
        </w:rPr>
        <w:t>[218]. 模板融合度：79%</w:t>
      </w:r>
      <w:r>
        <w:rPr>
          <w:rStyle w:val="13"/>
          <w:color w:val="0563C1"/>
        </w:rPr>
        <w:fldChar w:fldCharType="end"/>
      </w:r>
    </w:p>
    <w:p w14:paraId="53408D54">
      <w:pPr>
        <w:spacing w:after="200" w:line="400" w:lineRule="atLeast"/>
      </w:pPr>
      <w:r>
        <w:fldChar w:fldCharType="begin"/>
      </w:r>
      <w:r>
        <w:instrText xml:space="preserve"> HYPERLINK "https://www.bunka.go.jp/tokei_hakusho_shuppan/tokeichosa/pdf/94059901_02.pdf" \h </w:instrText>
      </w:r>
      <w:r>
        <w:fldChar w:fldCharType="separate"/>
      </w:r>
      <w:r>
        <w:rPr>
          <w:rStyle w:val="13"/>
          <w:color w:val="0563C1"/>
        </w:rPr>
        <w:t>[219]. 令和5年度 文化庁と大学・研究機関等との共同研究事業 諸外国の文化政策等に関する調査・研究 報告書</w:t>
      </w:r>
      <w:r>
        <w:rPr>
          <w:rStyle w:val="13"/>
          <w:color w:val="0563C1"/>
        </w:rPr>
        <w:fldChar w:fldCharType="end"/>
      </w:r>
    </w:p>
    <w:p w14:paraId="478F11DF">
      <w:pPr>
        <w:spacing w:after="200" w:line="400" w:lineRule="atLeast"/>
      </w:pPr>
      <w:r>
        <w:fldChar w:fldCharType="begin"/>
      </w:r>
      <w:r>
        <w:instrText xml:space="preserve"> HYPERLINK "https://www.arko.or.kr/eng/images/ARTSCOUNCILKOREA_ANNUAL_REPORT(ENG)2022.pdf" \h </w:instrText>
      </w:r>
      <w:r>
        <w:fldChar w:fldCharType="separate"/>
      </w:r>
      <w:r>
        <w:rPr>
          <w:rStyle w:val="13"/>
          <w:color w:val="0563C1"/>
        </w:rPr>
        <w:t>[220,221,224,226,227,229,230,304,315,316]. Arts Council Korea Annual Report 2022</w:t>
      </w:r>
      <w:r>
        <w:rPr>
          <w:rStyle w:val="13"/>
          <w:color w:val="0563C1"/>
        </w:rPr>
        <w:fldChar w:fldCharType="end"/>
      </w:r>
    </w:p>
    <w:p w14:paraId="596A1CB0">
      <w:pPr>
        <w:spacing w:after="200" w:line="400" w:lineRule="atLeast"/>
      </w:pPr>
      <w:r>
        <w:fldChar w:fldCharType="begin"/>
      </w:r>
      <w:r>
        <w:instrText xml:space="preserve"> HYPERLINK "https://www.arko.or.kr/eng/images/2024%20Arts%20Council%20Korea%20%20-%20%20Sustainability%20Management%20Report(ENG).pdf" \h </w:instrText>
      </w:r>
      <w:r>
        <w:fldChar w:fldCharType="separate"/>
      </w:r>
      <w:r>
        <w:rPr>
          <w:rStyle w:val="13"/>
          <w:color w:val="0563C1"/>
        </w:rPr>
        <w:t>[225,228,262,303,305]. Arts Council Korea Sustainable Management Report 2024</w:t>
      </w:r>
      <w:r>
        <w:rPr>
          <w:rStyle w:val="13"/>
          <w:color w:val="0563C1"/>
        </w:rPr>
        <w:fldChar w:fldCharType="end"/>
      </w:r>
    </w:p>
    <w:p w14:paraId="488C9E32">
      <w:pPr>
        <w:spacing w:after="200" w:line="400" w:lineRule="atLeast"/>
      </w:pPr>
      <w:r>
        <w:fldChar w:fldCharType="begin"/>
      </w:r>
      <w:r>
        <w:instrText xml:space="preserve"> HYPERLINK "https://www.arko.or.kr/board/download/ff5142a8ac254493a52c6f4379c8e814" \h </w:instrText>
      </w:r>
      <w:r>
        <w:fldChar w:fldCharType="separate"/>
      </w:r>
      <w:r>
        <w:rPr>
          <w:rStyle w:val="13"/>
          <w:color w:val="0563C1"/>
        </w:rPr>
        <w:t>[233]. 청년예술인 참여예산 도입방안 - 2022년 청년예술가사업 내 국민참여예산제도 도입을 위한 조사연구</w:t>
      </w:r>
      <w:r>
        <w:rPr>
          <w:rStyle w:val="13"/>
          <w:color w:val="0563C1"/>
        </w:rPr>
        <w:fldChar w:fldCharType="end"/>
      </w:r>
    </w:p>
    <w:p w14:paraId="3FFA7B66">
      <w:pPr>
        <w:spacing w:after="200" w:line="400" w:lineRule="atLeast"/>
      </w:pPr>
      <w:r>
        <w:fldChar w:fldCharType="begin"/>
      </w:r>
      <w:r>
        <w:instrText xml:space="preserve"> HYPERLINK "https://m.korea.kr/multi/visualNewsView.do?newsId=148924470" \h </w:instrText>
      </w:r>
      <w:r>
        <w:fldChar w:fldCharType="separate"/>
      </w:r>
      <w:r>
        <w:rPr>
          <w:rStyle w:val="13"/>
          <w:color w:val="0563C1"/>
        </w:rPr>
        <w:t>[234]. 멀티미디어 콘텐츠 영역 순수예술 지원 늘리고, 청년·지역 문화반경 넓힌다</w:t>
      </w:r>
      <w:r>
        <w:rPr>
          <w:rStyle w:val="13"/>
          <w:color w:val="0563C1"/>
        </w:rPr>
        <w:fldChar w:fldCharType="end"/>
      </w:r>
    </w:p>
    <w:p w14:paraId="089EA737">
      <w:pPr>
        <w:spacing w:after="200" w:line="400" w:lineRule="atLeast"/>
      </w:pPr>
      <w:r>
        <w:fldChar w:fldCharType="begin"/>
      </w:r>
      <w:r>
        <w:instrText xml:space="preserve"> HYPERLINK "https://researchrepository.ilo.org/view/pdfCoverPage?instCode=41ILO_INST&amp;filePid=13113573870002676&amp;download=true" \h </w:instrText>
      </w:r>
      <w:r>
        <w:fldChar w:fldCharType="separate"/>
      </w:r>
      <w:r>
        <w:rPr>
          <w:rStyle w:val="13"/>
          <w:color w:val="0563C1"/>
        </w:rPr>
        <w:t>[236,292]. La protection sociale dans le secteur de la culture et de la création</w:t>
      </w:r>
      <w:r>
        <w:rPr>
          <w:rStyle w:val="13"/>
          <w:color w:val="0563C1"/>
        </w:rPr>
        <w:fldChar w:fldCharType="end"/>
      </w:r>
    </w:p>
    <w:p w14:paraId="4BD31159">
      <w:pPr>
        <w:spacing w:after="200" w:line="400" w:lineRule="atLeast"/>
      </w:pPr>
      <w:r>
        <w:fldChar w:fldCharType="begin"/>
      </w:r>
      <w:r>
        <w:instrText xml:space="preserve"> HYPERLINK "https://unctad.org/system/files/official-document/ditctsce2024d2_en.pdf" \h </w:instrText>
      </w:r>
      <w:r>
        <w:fldChar w:fldCharType="separate"/>
      </w:r>
      <w:r>
        <w:rPr>
          <w:rStyle w:val="13"/>
          <w:color w:val="0563C1"/>
        </w:rPr>
        <w:t>[241]. Creative Economy Outlook 2024</w:t>
      </w:r>
      <w:r>
        <w:rPr>
          <w:rStyle w:val="13"/>
          <w:color w:val="0563C1"/>
        </w:rPr>
        <w:fldChar w:fldCharType="end"/>
      </w:r>
    </w:p>
    <w:p w14:paraId="78224452">
      <w:pPr>
        <w:spacing w:after="200" w:line="400" w:lineRule="atLeast"/>
      </w:pPr>
      <w:r>
        <w:fldChar w:fldCharType="begin"/>
      </w:r>
      <w:r>
        <w:instrText xml:space="preserve"> HYPERLINK "https://planning.dc.gov/sites/default/files/dc/sites/op/publication/attachments/creative_capital_rpt_04302010.pdf" \h </w:instrText>
      </w:r>
      <w:r>
        <w:fldChar w:fldCharType="separate"/>
      </w:r>
      <w:r>
        <w:rPr>
          <w:rStyle w:val="13"/>
          <w:color w:val="0563C1"/>
        </w:rPr>
        <w:t>[243,279,280,283]. creative capital: THE CREATIVE DC ACTION AGENDA</w:t>
      </w:r>
      <w:r>
        <w:rPr>
          <w:rStyle w:val="13"/>
          <w:color w:val="0563C1"/>
        </w:rPr>
        <w:fldChar w:fldCharType="end"/>
      </w:r>
    </w:p>
    <w:p w14:paraId="2F950DBA">
      <w:pPr>
        <w:spacing w:after="200" w:line="400" w:lineRule="atLeast"/>
      </w:pPr>
      <w:r>
        <w:fldChar w:fldCharType="begin"/>
      </w:r>
      <w:r>
        <w:instrText xml:space="preserve"> HYPERLINK "https://www.kultur-kreativ-wirtschaft.de/KUK/Redaktion/DE/Publikationen/2012/monitoring-zu-ausgewaehlten-wirtschaftlichen-eckdaten-der-kultur-und-kreativwirtschaft-2011.pdf?__blob=publicationFile&amp;v=7" \h </w:instrText>
      </w:r>
      <w:r>
        <w:fldChar w:fldCharType="separate"/>
      </w:r>
      <w:r>
        <w:rPr>
          <w:rStyle w:val="13"/>
          <w:color w:val="0563C1"/>
        </w:rPr>
        <w:t>[244]. Monitoring zu ausgewählten wirtschaftlichen Eckdaten der Kultur- und Kreativwirtschaft 2011 Langfassung</w:t>
      </w:r>
      <w:r>
        <w:rPr>
          <w:rStyle w:val="13"/>
          <w:color w:val="0563C1"/>
        </w:rPr>
        <w:fldChar w:fldCharType="end"/>
      </w:r>
    </w:p>
    <w:p w14:paraId="1ACC519B">
      <w:pPr>
        <w:spacing w:after="200" w:line="400" w:lineRule="atLeast"/>
      </w:pPr>
      <w:r>
        <w:fldChar w:fldCharType="begin"/>
      </w:r>
      <w:r>
        <w:instrText xml:space="preserve"> HYPERLINK "https://www.nac.gov.sg/docs/default-source/skills-framework-documents/skills-framework-for-arts-(arts-education).pdf" \h </w:instrText>
      </w:r>
      <w:r>
        <w:fldChar w:fldCharType="separate"/>
      </w:r>
      <w:r>
        <w:rPr>
          <w:rStyle w:val="13"/>
          <w:color w:val="0563C1"/>
        </w:rPr>
        <w:t>[245,253,296]. Skills Framework for Arts: Arts Education</w:t>
      </w:r>
      <w:r>
        <w:rPr>
          <w:rStyle w:val="13"/>
          <w:color w:val="0563C1"/>
        </w:rPr>
        <w:fldChar w:fldCharType="end"/>
      </w:r>
    </w:p>
    <w:p w14:paraId="5ABA4F03">
      <w:pPr>
        <w:spacing w:after="200" w:line="400" w:lineRule="atLeast"/>
      </w:pPr>
      <w:r>
        <w:fldChar w:fldCharType="begin"/>
      </w:r>
      <w:r>
        <w:instrText xml:space="preserve"> HYPERLINK "http://www.tamagawa.ac.jp/student_guidebook/2017/pdf/01/courses.pdf" \h </w:instrText>
      </w:r>
      <w:r>
        <w:fldChar w:fldCharType="separate"/>
      </w:r>
      <w:r>
        <w:rPr>
          <w:rStyle w:val="13"/>
          <w:color w:val="0563C1"/>
        </w:rPr>
        <w:t>[246]. for entry in 2017 履修ガイド</w:t>
      </w:r>
      <w:r>
        <w:rPr>
          <w:rStyle w:val="13"/>
          <w:color w:val="0563C1"/>
        </w:rPr>
        <w:fldChar w:fldCharType="end"/>
      </w:r>
    </w:p>
    <w:p w14:paraId="488AE58B">
      <w:pPr>
        <w:spacing w:after="200" w:line="400" w:lineRule="atLeast"/>
      </w:pPr>
      <w:r>
        <w:fldChar w:fldCharType="begin"/>
      </w:r>
      <w:r>
        <w:instrText xml:space="preserve"> HYPERLINK "https://www.uv.es/raboixdo/references/2017/17006.pdf" \h </w:instrText>
      </w:r>
      <w:r>
        <w:fldChar w:fldCharType="separate"/>
      </w:r>
      <w:r>
        <w:rPr>
          <w:rStyle w:val="13"/>
          <w:color w:val="0563C1"/>
        </w:rPr>
        <w:t>[247]. ANÀLISI DE L'OCCUPACIÓ I PROSPECTIVA DE LES NECESSITATS FORMATIVES ALS SECTORS CULTURALS I CREATIUS A LA COMUNITAT VALENCIANA</w:t>
      </w:r>
      <w:r>
        <w:rPr>
          <w:rStyle w:val="13"/>
          <w:color w:val="0563C1"/>
        </w:rPr>
        <w:fldChar w:fldCharType="end"/>
      </w:r>
    </w:p>
    <w:p w14:paraId="2E67B8CA">
      <w:pPr>
        <w:spacing w:after="200" w:line="400" w:lineRule="atLeast"/>
      </w:pPr>
      <w:r>
        <w:fldChar w:fldCharType="begin"/>
      </w:r>
      <w:r>
        <w:instrText xml:space="preserve"> HYPERLINK "https://competenceculture.ca/wp-content/uploads/sites/2/2024/01/rapport-final_etude-de-besoins_2022-2023.pdf" \h </w:instrText>
      </w:r>
      <w:r>
        <w:fldChar w:fldCharType="separate"/>
      </w:r>
      <w:r>
        <w:rPr>
          <w:rStyle w:val="13"/>
          <w:color w:val="0563C1"/>
        </w:rPr>
        <w:t>[249]. Étude des besoins de formation continue auprès des artistes et des travailleur·euses du milieu des arts et de la culture de l'Estrie</w:t>
      </w:r>
      <w:r>
        <w:rPr>
          <w:rStyle w:val="13"/>
          <w:color w:val="0563C1"/>
        </w:rPr>
        <w:fldChar w:fldCharType="end"/>
      </w:r>
    </w:p>
    <w:p w14:paraId="365FB89B">
      <w:pPr>
        <w:spacing w:after="200" w:line="400" w:lineRule="atLeast"/>
      </w:pPr>
      <w:r>
        <w:fldChar w:fldCharType="begin"/>
      </w:r>
      <w:r>
        <w:instrText xml:space="preserve"> HYPERLINK "https://letras.unmsm.edu.pe/wp-content/uploads/2025/02/Plan-de-Estudios-EP-Arte-2018.pdf" \h </w:instrText>
      </w:r>
      <w:r>
        <w:fldChar w:fldCharType="separate"/>
      </w:r>
      <w:r>
        <w:rPr>
          <w:rStyle w:val="13"/>
          <w:color w:val="0563C1"/>
        </w:rPr>
        <w:t>[250,256]. PLAN CURRICULAR 2017</w:t>
      </w:r>
      <w:r>
        <w:rPr>
          <w:rStyle w:val="13"/>
          <w:color w:val="0563C1"/>
        </w:rPr>
        <w:fldChar w:fldCharType="end"/>
      </w:r>
    </w:p>
    <w:p w14:paraId="600129A6">
      <w:pPr>
        <w:spacing w:after="200" w:line="400" w:lineRule="atLeast"/>
      </w:pPr>
      <w:r>
        <w:fldChar w:fldCharType="begin"/>
      </w:r>
      <w:r>
        <w:instrText xml:space="preserve"> HYPERLINK "https://clik.nanet.go.kr/clikr-collection/policyinfo/233/1091/2012/CLIKC3993518024853615_attach_1.pdf" \h </w:instrText>
      </w:r>
      <w:r>
        <w:fldChar w:fldCharType="separate"/>
      </w:r>
      <w:r>
        <w:rPr>
          <w:rStyle w:val="13"/>
          <w:color w:val="0563C1"/>
        </w:rPr>
        <w:t>[251]. 예술강사 핵심역량 모델 구축 연구</w:t>
      </w:r>
      <w:r>
        <w:rPr>
          <w:rStyle w:val="13"/>
          <w:color w:val="0563C1"/>
        </w:rPr>
        <w:fldChar w:fldCharType="end"/>
      </w:r>
    </w:p>
    <w:p w14:paraId="6D54B2C9">
      <w:pPr>
        <w:spacing w:after="200" w:line="400" w:lineRule="atLeast"/>
      </w:pPr>
      <w:r>
        <w:fldChar w:fldCharType="begin"/>
      </w:r>
      <w:r>
        <w:instrText xml:space="preserve"> HYPERLINK "https://kpfu.ru/staff_files/F2040819558/Vypusk_76_chast_2__2022_god__1_.pdf" \h </w:instrText>
      </w:r>
      <w:r>
        <w:fldChar w:fldCharType="separate"/>
      </w:r>
      <w:r>
        <w:rPr>
          <w:rStyle w:val="13"/>
          <w:color w:val="0563C1"/>
        </w:rPr>
        <w:t>[252]. НАУЧНО-ТЕОРЕТИЧЕСКИЕ ПОДХОДЫ К ОПРЕДЕЛЕНИЮ КОММУНИКАТИВНЫХ УМЕНИЙ ПЕДАГОГОВ ДОО</w:t>
      </w:r>
      <w:r>
        <w:rPr>
          <w:rStyle w:val="13"/>
          <w:color w:val="0563C1"/>
        </w:rPr>
        <w:fldChar w:fldCharType="end"/>
      </w:r>
    </w:p>
    <w:p w14:paraId="2BDA04E5">
      <w:pPr>
        <w:spacing w:after="200" w:line="400" w:lineRule="atLeast"/>
      </w:pPr>
      <w:r>
        <w:fldChar w:fldCharType="begin"/>
      </w:r>
      <w:r>
        <w:instrText xml:space="preserve"> HYPERLINK "https://files.metaso.cn/api/public-file/preview?fileName=8691352322824105984.pdf" \h </w:instrText>
      </w:r>
      <w:r>
        <w:fldChar w:fldCharType="separate"/>
      </w:r>
      <w:r>
        <w:rPr>
          <w:rStyle w:val="13"/>
          <w:color w:val="0563C1"/>
        </w:rPr>
        <w:t>[254]. Charting the New Economy: Some Reflections on Macro-Micro Disconnect</w:t>
      </w:r>
      <w:r>
        <w:rPr>
          <w:rStyle w:val="13"/>
          <w:color w:val="0563C1"/>
        </w:rPr>
        <w:fldChar w:fldCharType="end"/>
      </w:r>
    </w:p>
    <w:p w14:paraId="1361C4AE">
      <w:pPr>
        <w:spacing w:after="200" w:line="400" w:lineRule="atLeast"/>
      </w:pPr>
      <w:r>
        <w:fldChar w:fldCharType="begin"/>
      </w:r>
      <w:r>
        <w:instrText xml:space="preserve"> HYPERLINK "https://www.ipa.go.jp/archive/jinzai/skill-standard/itss/qv6pgp000000buc8-att/000025750.pdf" \h </w:instrText>
      </w:r>
      <w:r>
        <w:fldChar w:fldCharType="separate"/>
      </w:r>
      <w:r>
        <w:rPr>
          <w:rStyle w:val="13"/>
          <w:color w:val="0563C1"/>
        </w:rPr>
        <w:t>[255]. ITスキル標準導入活用事例集 2010</w:t>
      </w:r>
      <w:r>
        <w:rPr>
          <w:rStyle w:val="13"/>
          <w:color w:val="0563C1"/>
        </w:rPr>
        <w:fldChar w:fldCharType="end"/>
      </w:r>
    </w:p>
    <w:p w14:paraId="16158478">
      <w:pPr>
        <w:spacing w:after="200" w:line="400" w:lineRule="atLeast"/>
      </w:pPr>
      <w:r>
        <w:fldChar w:fldCharType="begin"/>
      </w:r>
      <w:r>
        <w:instrText xml:space="preserve"> HYPERLINK "https://www.educationandemployers.org/wp-content/uploads/2014/06/creative_apprenticeships_taskforce_research.pdf" \h </w:instrText>
      </w:r>
      <w:r>
        <w:fldChar w:fldCharType="separate"/>
      </w:r>
      <w:r>
        <w:rPr>
          <w:rStyle w:val="13"/>
          <w:color w:val="0563C1"/>
        </w:rPr>
        <w:t>[257]. Creative Apprenticeships</w:t>
      </w:r>
      <w:r>
        <w:rPr>
          <w:rStyle w:val="13"/>
          <w:color w:val="0563C1"/>
        </w:rPr>
        <w:fldChar w:fldCharType="end"/>
      </w:r>
    </w:p>
    <w:p w14:paraId="146816DC">
      <w:pPr>
        <w:spacing w:after="200" w:line="400" w:lineRule="atLeast"/>
      </w:pPr>
      <w:r>
        <w:fldChar w:fldCharType="begin"/>
      </w:r>
      <w:r>
        <w:instrText xml:space="preserve"> HYPERLINK "https://cms.jvrafricagroup.co.za/assets/documents/products/samples/mcm/sample-report-_-maree-career-matrix-(mcm)-(old,-for-reference).pdf" \h </w:instrText>
      </w:r>
      <w:r>
        <w:fldChar w:fldCharType="separate"/>
      </w:r>
      <w:r>
        <w:rPr>
          <w:rStyle w:val="13"/>
          <w:color w:val="0563C1"/>
        </w:rPr>
        <w:t>[258]. MAREE CAREER MATRIX INDIVIDUAL PROFILE REPORT</w:t>
      </w:r>
      <w:r>
        <w:rPr>
          <w:rStyle w:val="13"/>
          <w:color w:val="0563C1"/>
        </w:rPr>
        <w:fldChar w:fldCharType="end"/>
      </w:r>
    </w:p>
    <w:p w14:paraId="54063B92">
      <w:pPr>
        <w:spacing w:after="200" w:line="400" w:lineRule="atLeast"/>
      </w:pPr>
      <w:r>
        <w:fldChar w:fldCharType="begin"/>
      </w:r>
      <w:r>
        <w:instrText xml:space="preserve"> HYPERLINK "https://baike.baidu.com/item/%E8%9E%8D%E5%90%88%E5%BA%A6/55954649" \h </w:instrText>
      </w:r>
      <w:r>
        <w:fldChar w:fldCharType="separate"/>
      </w:r>
      <w:r>
        <w:rPr>
          <w:rStyle w:val="13"/>
          <w:color w:val="0563C1"/>
        </w:rPr>
        <w:t>[259,298]. 融合度</w:t>
      </w:r>
      <w:r>
        <w:rPr>
          <w:rStyle w:val="13"/>
          <w:color w:val="0563C1"/>
        </w:rPr>
        <w:fldChar w:fldCharType="end"/>
      </w:r>
    </w:p>
    <w:p w14:paraId="19487F9F">
      <w:pPr>
        <w:spacing w:after="200" w:line="400" w:lineRule="atLeast"/>
      </w:pPr>
      <w:r>
        <w:fldChar w:fldCharType="begin"/>
      </w:r>
      <w:r>
        <w:instrText xml:space="preserve"> HYPERLINK "https://www.arko.or.kr/eng/images/%ED%95%9C%EA%B5%AD%EB%AC%B8%ED%99%94%EC%98%88%EC%88%A0%EC%9C%84%EC%9B%90%ED%9A%8C_%EC%97%B0%EC%B0%A8%EB%B3%B4%EA%B3%A0%EC%84%9C(%EA%B5%AD%EB%AC%B8)2022.pdf" \h </w:instrText>
      </w:r>
      <w:r>
        <w:fldChar w:fldCharType="separate"/>
      </w:r>
      <w:r>
        <w:rPr>
          <w:rStyle w:val="13"/>
          <w:color w:val="0563C1"/>
        </w:rPr>
        <w:t>[261]. Arts Council Korea Annual Report 2022</w:t>
      </w:r>
      <w:r>
        <w:rPr>
          <w:rStyle w:val="13"/>
          <w:color w:val="0563C1"/>
        </w:rPr>
        <w:fldChar w:fldCharType="end"/>
      </w:r>
    </w:p>
    <w:p w14:paraId="7CA0F703">
      <w:pPr>
        <w:spacing w:after="200" w:line="400" w:lineRule="atLeast"/>
      </w:pPr>
      <w:r>
        <w:fldChar w:fldCharType="begin"/>
      </w:r>
      <w:r>
        <w:instrText xml:space="preserve"> HYPERLINK "https://www.gjcf.or.kr/async/MultiFile/download.do?FS_KEYNO=FS_0000048744" \h </w:instrText>
      </w:r>
      <w:r>
        <w:fldChar w:fldCharType="separate"/>
      </w:r>
      <w:r>
        <w:rPr>
          <w:rStyle w:val="13"/>
          <w:color w:val="0563C1"/>
        </w:rPr>
        <w:t>[264,268]. 2023 광주광역시 청년 예술인 역량강화 및 창작환경 조성을 위한 5개년 기본계획 수립 연구</w:t>
      </w:r>
      <w:r>
        <w:rPr>
          <w:rStyle w:val="13"/>
          <w:color w:val="0563C1"/>
        </w:rPr>
        <w:fldChar w:fldCharType="end"/>
      </w:r>
    </w:p>
    <w:p w14:paraId="2D596DF8">
      <w:pPr>
        <w:spacing w:after="200" w:line="400" w:lineRule="atLeast"/>
      </w:pPr>
      <w:r>
        <w:fldChar w:fldCharType="begin"/>
      </w:r>
      <w:r>
        <w:instrText xml:space="preserve"> HYPERLINK "https://www.alio.go.kr/download/download.json?fileNo=2431053" \h </w:instrText>
      </w:r>
      <w:r>
        <w:fldChar w:fldCharType="separate"/>
      </w:r>
      <w:r>
        <w:rPr>
          <w:rStyle w:val="13"/>
          <w:color w:val="0563C1"/>
        </w:rPr>
        <w:t>[265]. 사후평가를 통한 문화예술지원 확대방안 연구</w:t>
      </w:r>
      <w:r>
        <w:rPr>
          <w:rStyle w:val="13"/>
          <w:color w:val="0563C1"/>
        </w:rPr>
        <w:fldChar w:fldCharType="end"/>
      </w:r>
    </w:p>
    <w:p w14:paraId="63B461B5">
      <w:pPr>
        <w:spacing w:after="200" w:line="400" w:lineRule="atLeast"/>
      </w:pPr>
      <w:r>
        <w:fldChar w:fldCharType="begin"/>
      </w:r>
      <w:r>
        <w:instrText xml:space="preserve"> HYPERLINK "https://www.arko.or.kr/board/download/01cfe66cb5ae4041965aca6f9ff91917" \h </w:instrText>
      </w:r>
      <w:r>
        <w:fldChar w:fldCharType="separate"/>
      </w:r>
      <w:r>
        <w:rPr>
          <w:rStyle w:val="13"/>
          <w:color w:val="0563C1"/>
        </w:rPr>
        <w:t>[266]. 2023년도 국제예술교류사업(통합심의) 지원심의 총평</w:t>
      </w:r>
      <w:r>
        <w:rPr>
          <w:rStyle w:val="13"/>
          <w:color w:val="0563C1"/>
        </w:rPr>
        <w:fldChar w:fldCharType="end"/>
      </w:r>
    </w:p>
    <w:p w14:paraId="0F506201">
      <w:pPr>
        <w:spacing w:after="200" w:line="400" w:lineRule="atLeast"/>
      </w:pPr>
      <w:r>
        <w:fldChar w:fldCharType="begin"/>
      </w:r>
      <w:r>
        <w:instrText xml:space="preserve"> HYPERLINK "https://files.metaso.cn/api/public-file/preview?fileName=8678558803325579264.pdf" \h </w:instrText>
      </w:r>
      <w:r>
        <w:fldChar w:fldCharType="separate"/>
      </w:r>
      <w:r>
        <w:rPr>
          <w:rStyle w:val="13"/>
          <w:color w:val="0563C1"/>
        </w:rPr>
        <w:t>[267]. 项目管理七杯茶</w:t>
      </w:r>
      <w:r>
        <w:rPr>
          <w:rStyle w:val="13"/>
          <w:color w:val="0563C1"/>
        </w:rPr>
        <w:fldChar w:fldCharType="end"/>
      </w:r>
    </w:p>
    <w:p w14:paraId="5D70A353">
      <w:pPr>
        <w:spacing w:after="200" w:line="400" w:lineRule="atLeast"/>
      </w:pPr>
      <w:r>
        <w:fldChar w:fldCharType="begin"/>
      </w:r>
      <w:r>
        <w:instrText xml:space="preserve"> HYPERLINK "https://files.metaso.cn/api/public-file/preview?fileName=8686211624904527872.pdf" \h </w:instrText>
      </w:r>
      <w:r>
        <w:fldChar w:fldCharType="separate"/>
      </w:r>
      <w:r>
        <w:rPr>
          <w:rStyle w:val="13"/>
          <w:color w:val="0563C1"/>
        </w:rPr>
        <w:t>[269,270,271]. 涨停量化指标</w:t>
      </w:r>
      <w:r>
        <w:rPr>
          <w:rStyle w:val="13"/>
          <w:color w:val="0563C1"/>
        </w:rPr>
        <w:fldChar w:fldCharType="end"/>
      </w:r>
    </w:p>
    <w:p w14:paraId="13552AF9">
      <w:pPr>
        <w:spacing w:after="200" w:line="400" w:lineRule="atLeast"/>
      </w:pPr>
      <w:r>
        <w:fldChar w:fldCharType="begin"/>
      </w:r>
      <w:r>
        <w:instrText xml:space="preserve"> HYPERLINK "https://dubaiculture.gov.ae/-/media/DC/About-Us/Creative-Dubai-2024-Impact-Report-English.pdf" \h </w:instrText>
      </w:r>
      <w:r>
        <w:fldChar w:fldCharType="separate"/>
      </w:r>
      <w:r>
        <w:rPr>
          <w:rStyle w:val="13"/>
          <w:color w:val="0563C1"/>
        </w:rPr>
        <w:t>[273]. Creative Dubai: Navigating Tomorrow's Creative Landscape 2024 Impact Report</w:t>
      </w:r>
      <w:r>
        <w:rPr>
          <w:rStyle w:val="13"/>
          <w:color w:val="0563C1"/>
        </w:rPr>
        <w:fldChar w:fldCharType="end"/>
      </w:r>
    </w:p>
    <w:p w14:paraId="6912C59F">
      <w:pPr>
        <w:spacing w:after="200" w:line="400" w:lineRule="atLeast"/>
      </w:pPr>
      <w:r>
        <w:fldChar w:fldCharType="begin"/>
      </w:r>
      <w:r>
        <w:instrText xml:space="preserve"> HYPERLINK "http://diversidadaudiovisual.org/wp-content/uploads/2016/04/ey-cultural-times-2015.pdf" \h </w:instrText>
      </w:r>
      <w:r>
        <w:fldChar w:fldCharType="separate"/>
      </w:r>
      <w:r>
        <w:rPr>
          <w:rStyle w:val="13"/>
          <w:color w:val="0563C1"/>
        </w:rPr>
        <w:t>[282]. Cultural times: The first global map of cultural and creative industries</w:t>
      </w:r>
      <w:r>
        <w:rPr>
          <w:rStyle w:val="13"/>
          <w:color w:val="0563C1"/>
        </w:rPr>
        <w:fldChar w:fldCharType="end"/>
      </w:r>
    </w:p>
    <w:p w14:paraId="7234EF1B">
      <w:pPr>
        <w:spacing w:after="200" w:line="400" w:lineRule="atLeast"/>
      </w:pPr>
      <w:r>
        <w:fldChar w:fldCharType="begin"/>
      </w:r>
      <w:r>
        <w:instrText xml:space="preserve"> HYPERLINK "https://www.unesco.org/sites/default/files/medias/fichiers/2025/04/Brno_Monitoring_Report_2024.pdf" \h </w:instrText>
      </w:r>
      <w:r>
        <w:fldChar w:fldCharType="separate"/>
      </w:r>
      <w:r>
        <w:rPr>
          <w:rStyle w:val="13"/>
          <w:color w:val="0563C1"/>
        </w:rPr>
        <w:t>[284]. UNESCO CREATIVE CITIES NETWORK Reporting Exercise 2024</w:t>
      </w:r>
      <w:r>
        <w:rPr>
          <w:rStyle w:val="13"/>
          <w:color w:val="0563C1"/>
        </w:rPr>
        <w:fldChar w:fldCharType="end"/>
      </w:r>
    </w:p>
    <w:p w14:paraId="67211D69">
      <w:pPr>
        <w:spacing w:after="200" w:line="400" w:lineRule="atLeast"/>
      </w:pPr>
      <w:r>
        <w:fldChar w:fldCharType="begin"/>
      </w:r>
      <w:r>
        <w:instrText xml:space="preserve"> HYPERLINK "https://dam-api.bfs.admin.ch/hub/api/dam/assets/14407508/master" \h </w:instrText>
      </w:r>
      <w:r>
        <w:fldChar w:fldCharType="separate"/>
      </w:r>
      <w:r>
        <w:rPr>
          <w:rStyle w:val="13"/>
          <w:color w:val="0563C1"/>
        </w:rPr>
        <w:t>[290]. Kulturschaffende: Einteilung nach Beruf und Sektor</w:t>
      </w:r>
      <w:r>
        <w:rPr>
          <w:rStyle w:val="13"/>
          <w:color w:val="0563C1"/>
        </w:rPr>
        <w:fldChar w:fldCharType="end"/>
      </w:r>
    </w:p>
    <w:p w14:paraId="0FF92AA8">
      <w:pPr>
        <w:spacing w:after="200" w:line="400" w:lineRule="atLeast"/>
      </w:pPr>
      <w:r>
        <w:fldChar w:fldCharType="begin"/>
      </w:r>
      <w:r>
        <w:instrText xml:space="preserve"> HYPERLINK "https://ejournals.eu/en/media/8727ec56-1757-4534-99fa-ed404a48f968/download" \h </w:instrText>
      </w:r>
      <w:r>
        <w:fldChar w:fldCharType="separate"/>
      </w:r>
      <w:r>
        <w:rPr>
          <w:rStyle w:val="13"/>
          <w:color w:val="0563C1"/>
        </w:rPr>
        <w:t>[291]. Zarządzanie w Kulturze</w:t>
      </w:r>
      <w:r>
        <w:rPr>
          <w:rStyle w:val="13"/>
          <w:color w:val="0563C1"/>
        </w:rPr>
        <w:fldChar w:fldCharType="end"/>
      </w:r>
    </w:p>
    <w:p w14:paraId="6CEFE663">
      <w:pPr>
        <w:spacing w:after="200" w:line="400" w:lineRule="atLeast"/>
      </w:pPr>
      <w:r>
        <w:fldChar w:fldCharType="begin"/>
      </w:r>
      <w:r>
        <w:instrText xml:space="preserve"> HYPERLINK "https://www.hrsd.gov.sa/sites/default/files/2025-02/Culture%20and%20Entertainment%20Sector%20Skills%20Intro%20Report_EN.pdf" \h </w:instrText>
      </w:r>
      <w:r>
        <w:fldChar w:fldCharType="separate"/>
      </w:r>
      <w:r>
        <w:rPr>
          <w:rStyle w:val="13"/>
          <w:color w:val="0563C1"/>
        </w:rPr>
        <w:t>[293,297]. Culture and Entertainment Sector Skills Framework: Sector Overview, Job Families and Pathways</w:t>
      </w:r>
      <w:r>
        <w:rPr>
          <w:rStyle w:val="13"/>
          <w:color w:val="0563C1"/>
        </w:rPr>
        <w:fldChar w:fldCharType="end"/>
      </w:r>
    </w:p>
    <w:p w14:paraId="2838415C">
      <w:pPr>
        <w:spacing w:after="200" w:line="400" w:lineRule="atLeast"/>
      </w:pPr>
      <w:r>
        <w:fldChar w:fldCharType="begin"/>
      </w:r>
      <w:r>
        <w:instrText xml:space="preserve"> HYPERLINK "https://fill-livrelecture.org/wp-content/uploads/2017/09/Referentiel_Metier_de_la_mediation_et_des_relations_avec_les_publics.pdf" \h </w:instrText>
      </w:r>
      <w:r>
        <w:fldChar w:fldCharType="separate"/>
      </w:r>
      <w:r>
        <w:rPr>
          <w:rStyle w:val="13"/>
          <w:color w:val="0563C1"/>
        </w:rPr>
        <w:t>[295]. Référentiel Métier Chargé·e / Responsable de la médiation et des relations avec les publics</w:t>
      </w:r>
      <w:r>
        <w:rPr>
          <w:rStyle w:val="13"/>
          <w:color w:val="0563C1"/>
        </w:rPr>
        <w:fldChar w:fldCharType="end"/>
      </w:r>
    </w:p>
    <w:p w14:paraId="035B9D4B">
      <w:pPr>
        <w:spacing w:after="200" w:line="400" w:lineRule="atLeast"/>
      </w:pPr>
      <w:r>
        <w:fldChar w:fldCharType="begin"/>
      </w:r>
      <w:r>
        <w:instrText xml:space="preserve"> HYPERLINK "https://link.springer.com/chapter/10.1057/9781137460929_10" \h </w:instrText>
      </w:r>
      <w:r>
        <w:fldChar w:fldCharType="separate"/>
      </w:r>
      <w:r>
        <w:rPr>
          <w:rStyle w:val="13"/>
          <w:color w:val="0563C1"/>
        </w:rPr>
        <w:t>[299]. Conclusion</w:t>
      </w:r>
      <w:r>
        <w:rPr>
          <w:rStyle w:val="13"/>
          <w:color w:val="0563C1"/>
        </w:rPr>
        <w:fldChar w:fldCharType="end"/>
      </w:r>
    </w:p>
    <w:p w14:paraId="6F8C1BA2">
      <w:pPr>
        <w:spacing w:after="200" w:line="400" w:lineRule="atLeast"/>
      </w:pPr>
      <w:r>
        <w:fldChar w:fldCharType="begin"/>
      </w:r>
      <w:r>
        <w:instrText xml:space="preserve"> HYPERLINK "http://www.zndxsk.com.cn/upfile/soft/2012030902/37-p0219-skfh30.pdf?_d_id=3a758c823e3f221b7309c9c84bea34" \h </w:instrText>
      </w:r>
      <w:r>
        <w:fldChar w:fldCharType="separate"/>
      </w:r>
      <w:r>
        <w:rPr>
          <w:rStyle w:val="13"/>
          <w:color w:val="0563C1"/>
        </w:rPr>
        <w:t>[300]. 当前艺术管理理论框架的缺陷及其重构</w:t>
      </w:r>
      <w:r>
        <w:rPr>
          <w:rStyle w:val="13"/>
          <w:color w:val="0563C1"/>
        </w:rPr>
        <w:fldChar w:fldCharType="end"/>
      </w:r>
    </w:p>
    <w:p w14:paraId="20577C01">
      <w:pPr>
        <w:spacing w:after="200" w:line="400" w:lineRule="atLeast"/>
      </w:pPr>
      <w:r>
        <w:fldChar w:fldCharType="begin"/>
      </w:r>
      <w:r>
        <w:instrText xml:space="preserve"> HYPERLINK "https://bdso.gouv.qc.ca/docs-ken/multimedia/PB01691_colloque_complet2002M10F00.pdf" \h </w:instrText>
      </w:r>
      <w:r>
        <w:fldChar w:fldCharType="separate"/>
      </w:r>
      <w:r>
        <w:rPr>
          <w:rStyle w:val="13"/>
          <w:color w:val="0563C1"/>
        </w:rPr>
        <w:t>[301]. Actes du Colloque international sur les statistiques culturelles Montréal, 21-23 octobre 2002</w:t>
      </w:r>
      <w:r>
        <w:rPr>
          <w:rStyle w:val="13"/>
          <w:color w:val="0563C1"/>
        </w:rPr>
        <w:fldChar w:fldCharType="end"/>
      </w:r>
    </w:p>
    <w:p w14:paraId="0FF5D4D5">
      <w:pPr>
        <w:spacing w:after="200" w:line="400" w:lineRule="atLeast"/>
      </w:pPr>
      <w:r>
        <w:fldChar w:fldCharType="begin"/>
      </w:r>
      <w:r>
        <w:instrText xml:space="preserve"> HYPERLINK "https://encatc.org/media/6107-congress_proceedings_2021_compressed.pdf" \h </w:instrText>
      </w:r>
      <w:r>
        <w:fldChar w:fldCharType="separate"/>
      </w:r>
      <w:r>
        <w:rPr>
          <w:rStyle w:val="13"/>
          <w:color w:val="0563C1"/>
        </w:rPr>
        <w:t>[302]. Artists in the spotlight! In search of new agendas for education and research in the cultural management and policy field</w:t>
      </w:r>
      <w:r>
        <w:rPr>
          <w:rStyle w:val="13"/>
          <w:color w:val="0563C1"/>
        </w:rPr>
        <w:fldChar w:fldCharType="end"/>
      </w:r>
    </w:p>
    <w:p w14:paraId="6C8E3AFF">
      <w:pPr>
        <w:spacing w:after="200" w:line="400" w:lineRule="atLeast"/>
      </w:pPr>
      <w:r>
        <w:fldChar w:fldCharType="begin"/>
      </w:r>
      <w:r>
        <w:instrText xml:space="preserve"> HYPERLINK "https://www.arko.or.kr/board/download/fbb52feea33149a39095f8db60d946ea" \h </w:instrText>
      </w:r>
      <w:r>
        <w:fldChar w:fldCharType="separate"/>
      </w:r>
      <w:r>
        <w:rPr>
          <w:rStyle w:val="13"/>
          <w:color w:val="0563C1"/>
        </w:rPr>
        <w:t>[306]. 문예진흥기금사업 성과지표 개발을 위한 성과요인 분석 연구</w:t>
      </w:r>
      <w:r>
        <w:rPr>
          <w:rStyle w:val="13"/>
          <w:color w:val="0563C1"/>
        </w:rPr>
        <w:fldChar w:fldCharType="end"/>
      </w:r>
    </w:p>
    <w:p w14:paraId="0B9A68CE">
      <w:pPr>
        <w:spacing w:after="400" w:line="400" w:lineRule="atLeast"/>
      </w:pPr>
      <w:r>
        <w:rPr>
          <w:i/>
        </w:rPr>
        <w:t>以下来源未被直接引用</w:t>
      </w:r>
    </w:p>
    <w:p w14:paraId="52B3D1B8">
      <w:pPr>
        <w:spacing w:after="200" w:line="400" w:lineRule="atLeast"/>
      </w:pPr>
      <w:r>
        <w:fldChar w:fldCharType="begin"/>
      </w:r>
      <w:r>
        <w:instrText xml:space="preserve"> HYPERLINK "http://www.cerclegrandparis.org/wa_files/_5BFINAL_20S_5D_20Insight_20Report_20-_20CEOCF.pdf" \h </w:instrText>
      </w:r>
      <w:r>
        <w:fldChar w:fldCharType="separate"/>
      </w:r>
      <w:r>
        <w:rPr>
          <w:rStyle w:val="13"/>
          <w:color w:val="0563C1"/>
        </w:rPr>
        <w:t>Creative Economy, Our Common Future: International Discussion on Creative Economy 2024 Report and Recommendation Document to WCCE</w:t>
      </w:r>
      <w:r>
        <w:rPr>
          <w:rStyle w:val="13"/>
          <w:color w:val="0563C1"/>
        </w:rPr>
        <w:fldChar w:fldCharType="end"/>
      </w:r>
    </w:p>
    <w:p w14:paraId="4D459772">
      <w:pPr>
        <w:spacing w:after="200" w:line="400" w:lineRule="atLeast"/>
      </w:pPr>
      <w:r>
        <w:fldChar w:fldCharType="begin"/>
      </w:r>
      <w:r>
        <w:instrText xml:space="preserve"> HYPERLINK "https://files.metaso.cn/api/public-file/preview?fileName=8692361803930894336.pdf" \h </w:instrText>
      </w:r>
      <w:r>
        <w:fldChar w:fldCharType="separate"/>
      </w:r>
      <w:r>
        <w:rPr>
          <w:rStyle w:val="13"/>
          <w:color w:val="0563C1"/>
        </w:rPr>
        <w:t>破界思维模型：突破边界实现创新</w:t>
      </w:r>
      <w:r>
        <w:rPr>
          <w:rStyle w:val="13"/>
          <w:color w:val="0563C1"/>
        </w:rPr>
        <w:fldChar w:fldCharType="end"/>
      </w:r>
    </w:p>
    <w:p w14:paraId="70444EE1">
      <w:pPr>
        <w:spacing w:after="200" w:line="400" w:lineRule="atLeast"/>
      </w:pPr>
      <w:r>
        <w:fldChar w:fldCharType="begin"/>
      </w:r>
      <w:r>
        <w:instrText xml:space="preserve"> HYPERLINK "https://files.metaso.cn/api/public-file/preview?fileName=8677605592285511680.pdf" \h </w:instrText>
      </w:r>
      <w:r>
        <w:fldChar w:fldCharType="separate"/>
      </w:r>
      <w:r>
        <w:rPr>
          <w:rStyle w:val="13"/>
          <w:color w:val="0563C1"/>
        </w:rPr>
        <w:t>公路行业 人工智能技术 发展路线图</w:t>
      </w:r>
      <w:r>
        <w:rPr>
          <w:rStyle w:val="13"/>
          <w:color w:val="0563C1"/>
        </w:rPr>
        <w:fldChar w:fldCharType="end"/>
      </w:r>
    </w:p>
    <w:p w14:paraId="7D73A151">
      <w:pPr>
        <w:spacing w:after="200" w:line="400" w:lineRule="atLeast"/>
      </w:pPr>
      <w:r>
        <w:fldChar w:fldCharType="begin"/>
      </w:r>
      <w:r>
        <w:instrText xml:space="preserve"> HYPERLINK "https://ddjy.hnust.edu.cn/ddjyllysj/article/pdf/202402008?file_name=55455A4859C3AA36B64D17968BD4DD4EC2FF9E887EAD513E25D346FECE9595CF199707CCDE643A0CEBC46AF3A2621E84623FCE5611751928C1ADA68C1B388851&amp;open_type=self" \h </w:instrText>
      </w:r>
      <w:r>
        <w:fldChar w:fldCharType="separate"/>
      </w:r>
      <w:r>
        <w:rPr>
          <w:rStyle w:val="13"/>
          <w:color w:val="0563C1"/>
        </w:rPr>
        <w:t>新文科背景下服务设计理论在动画专业教学中的应用与实践——以“三维动画制作流程”课程为例</w:t>
      </w:r>
      <w:r>
        <w:rPr>
          <w:rStyle w:val="13"/>
          <w:color w:val="0563C1"/>
        </w:rPr>
        <w:fldChar w:fldCharType="end"/>
      </w:r>
    </w:p>
    <w:p w14:paraId="197A4D62">
      <w:pPr>
        <w:spacing w:after="200" w:line="400" w:lineRule="atLeast"/>
      </w:pPr>
      <w:r>
        <w:fldChar w:fldCharType="begin"/>
      </w:r>
      <w:r>
        <w:instrText xml:space="preserve"> HYPERLINK "https://hewlett.org/wp-content/uploads/2016/08/Crossover_HowArtistsBuildCareers.pdf" \h </w:instrText>
      </w:r>
      <w:r>
        <w:fldChar w:fldCharType="separate"/>
      </w:r>
      <w:r>
        <w:rPr>
          <w:rStyle w:val="13"/>
          <w:color w:val="0563C1"/>
        </w:rPr>
        <w:t>Crossover: How Artists Build Careers across Commercial, Nonprofit and Community Work</w:t>
      </w:r>
      <w:r>
        <w:rPr>
          <w:rStyle w:val="13"/>
          <w:color w:val="0563C1"/>
        </w:rPr>
        <w:fldChar w:fldCharType="end"/>
      </w:r>
    </w:p>
    <w:p w14:paraId="4A2B2691">
      <w:pPr>
        <w:spacing w:after="200" w:line="400" w:lineRule="atLeast"/>
      </w:pPr>
      <w:r>
        <w:fldChar w:fldCharType="begin"/>
      </w:r>
      <w:r>
        <w:instrText xml:space="preserve"> HYPERLINK "https://microbook.oss-cn-beijing.aliyuncs.com/ab165fcaa53d655afd44026a40f3f320.pdf" \h </w:instrText>
      </w:r>
      <w:r>
        <w:fldChar w:fldCharType="separate"/>
      </w:r>
      <w:r>
        <w:rPr>
          <w:rStyle w:val="13"/>
          <w:color w:val="0563C1"/>
        </w:rPr>
        <w:t>激发创意无限：创造力赋能指南</w:t>
      </w:r>
      <w:r>
        <w:rPr>
          <w:rStyle w:val="13"/>
          <w:color w:val="0563C1"/>
        </w:rPr>
        <w:fldChar w:fldCharType="end"/>
      </w:r>
    </w:p>
    <w:p w14:paraId="781E6155">
      <w:pPr>
        <w:spacing w:after="200" w:line="400" w:lineRule="atLeast"/>
      </w:pPr>
      <w:r>
        <w:fldChar w:fldCharType="begin"/>
      </w:r>
      <w:r>
        <w:instrText xml:space="preserve"> HYPERLINK "https://www.xjsacf.com/tw/ImgXjsacf/[%E4%B8%BB%E9%A1%8C%E4%B8%89]%E4%BD%9B%E7%95%AB%E8%97%9D%E8%A1%93%E8%B7%A8%E7%95%8C%E5%89%B5%E6%96%B0%E5%8F%AF%E8%A1%8C%E6%80%A7%E6%8E%A2%E8%A8%8E-%E4%BB%A5%E5%A4%8F%E8%8D%8A%E5%B1%B1%E5%B1%85%E5%A3%AB%E7%82%BA%E4%BE%8B-%E6%A5%8A%E5%B2%B3.pdf" \h </w:instrText>
      </w:r>
      <w:r>
        <w:fldChar w:fldCharType="separate"/>
      </w:r>
      <w:r>
        <w:rPr>
          <w:rStyle w:val="13"/>
          <w:color w:val="0563C1"/>
        </w:rPr>
        <w:t>佛畫藝術跨界創新可行性探討－以夏荊山居士為例</w:t>
      </w:r>
      <w:r>
        <w:rPr>
          <w:rStyle w:val="13"/>
          <w:color w:val="0563C1"/>
        </w:rPr>
        <w:fldChar w:fldCharType="end"/>
      </w:r>
    </w:p>
    <w:p w14:paraId="7A4AA584">
      <w:pPr>
        <w:spacing w:after="200" w:line="400" w:lineRule="atLeast"/>
      </w:pPr>
      <w:r>
        <w:fldChar w:fldCharType="begin"/>
      </w:r>
      <w:r>
        <w:instrText xml:space="preserve"> HYPERLINK "https://www.kandejian.net/sys-nd/825.html" \h </w:instrText>
      </w:r>
      <w:r>
        <w:fldChar w:fldCharType="separate"/>
      </w:r>
      <w:r>
        <w:rPr>
          <w:rStyle w:val="13"/>
          <w:color w:val="0563C1"/>
        </w:rPr>
        <w:t>文化传媒行业跨界融合案例解析</w:t>
      </w:r>
      <w:r>
        <w:rPr>
          <w:rStyle w:val="13"/>
          <w:color w:val="0563C1"/>
        </w:rPr>
        <w:fldChar w:fldCharType="end"/>
      </w:r>
    </w:p>
    <w:p w14:paraId="27956F8F">
      <w:pPr>
        <w:spacing w:after="200" w:line="400" w:lineRule="atLeast"/>
      </w:pPr>
      <w:r>
        <w:fldChar w:fldCharType="begin"/>
      </w:r>
      <w:r>
        <w:instrText xml:space="preserve"> HYPERLINK "https://www.artsculturetrust.wa.gov.au/media/10989/arts-and-culture-trust-annual-report-2023-2024.pdf" \h </w:instrText>
      </w:r>
      <w:r>
        <w:fldChar w:fldCharType="separate"/>
      </w:r>
      <w:r>
        <w:rPr>
          <w:rStyle w:val="13"/>
          <w:color w:val="0563C1"/>
        </w:rPr>
        <w:t>ARTS AND CULTURE TRUST ANNUAL REPORT 2023-2024</w:t>
      </w:r>
      <w:r>
        <w:rPr>
          <w:rStyle w:val="13"/>
          <w:color w:val="0563C1"/>
        </w:rPr>
        <w:fldChar w:fldCharType="end"/>
      </w:r>
    </w:p>
    <w:p w14:paraId="6BF819A1">
      <w:pPr>
        <w:spacing w:after="200" w:line="400" w:lineRule="atLeast"/>
      </w:pPr>
      <w:r>
        <w:fldChar w:fldCharType="begin"/>
      </w:r>
      <w:r>
        <w:instrText xml:space="preserve"> HYPERLINK "https://iclotet.com/wp-content/uploads/2025/07/cat-sustainability-report-iclotet-catalan.pdf" \h </w:instrText>
      </w:r>
      <w:r>
        <w:fldChar w:fldCharType="separate"/>
      </w:r>
      <w:r>
        <w:rPr>
          <w:rStyle w:val="13"/>
          <w:color w:val="0563C1"/>
        </w:rPr>
        <w:t>INFORME DE SOSTENIBILITAT</w:t>
      </w:r>
      <w:r>
        <w:rPr>
          <w:rStyle w:val="13"/>
          <w:color w:val="0563C1"/>
        </w:rPr>
        <w:fldChar w:fldCharType="end"/>
      </w:r>
    </w:p>
    <w:p w14:paraId="10EDB485">
      <w:pPr>
        <w:spacing w:after="200" w:line="400" w:lineRule="atLeast"/>
      </w:pPr>
      <w:r>
        <w:fldChar w:fldCharType="begin"/>
      </w:r>
      <w:r>
        <w:instrText xml:space="preserve"> HYPERLINK "https://en.unesco.org/inclusivepolicylab/system/files/teams/discussion/comments/2022/2/Repensar%20las%20pol%C3%ADticas%20para%20la%20creatividad-%20plantear%20la%20cultura%20como%20un%20bien%20p%C3%BAblico%20global.pdf" \h </w:instrText>
      </w:r>
      <w:r>
        <w:fldChar w:fldCharType="separate"/>
      </w:r>
      <w:r>
        <w:rPr>
          <w:rStyle w:val="13"/>
          <w:color w:val="0563C1"/>
        </w:rPr>
        <w:t>RE|PENSAR LAS POLÍTICAS PARA LA CREATIVIDAD: Plantear la cultura como un bien público global</w:t>
      </w:r>
      <w:r>
        <w:rPr>
          <w:rStyle w:val="13"/>
          <w:color w:val="0563C1"/>
        </w:rPr>
        <w:fldChar w:fldCharType="end"/>
      </w:r>
    </w:p>
    <w:p w14:paraId="5DBDC6A2">
      <w:pPr>
        <w:spacing w:after="200" w:line="400" w:lineRule="atLeast"/>
      </w:pPr>
      <w:r>
        <w:fldChar w:fldCharType="begin"/>
      </w:r>
      <w:r>
        <w:instrText xml:space="preserve"> HYPERLINK "https://www.artscouncil.org.uk/media/22340/download?attachment" \h </w:instrText>
      </w:r>
      <w:r>
        <w:fldChar w:fldCharType="separate"/>
      </w:r>
      <w:r>
        <w:rPr>
          <w:rStyle w:val="13"/>
          <w:color w:val="0563C1"/>
        </w:rPr>
        <w:t>Let’s Create: Opera and Music Theatre Analysis</w:t>
      </w:r>
      <w:r>
        <w:rPr>
          <w:rStyle w:val="13"/>
          <w:color w:val="0563C1"/>
        </w:rPr>
        <w:fldChar w:fldCharType="end"/>
      </w:r>
    </w:p>
    <w:p w14:paraId="78C7EA0C">
      <w:pPr>
        <w:spacing w:after="200" w:line="400" w:lineRule="atLeast"/>
      </w:pPr>
      <w:r>
        <w:fldChar w:fldCharType="begin"/>
      </w:r>
      <w:r>
        <w:instrText xml:space="preserve"> HYPERLINK "https://www.artscouncil.org.uk/sites/default/files/download-file/Equality_Diversity_and_the_Creative_Case_A_Data_Report__201920_LP.pdf" \h </w:instrText>
      </w:r>
      <w:r>
        <w:fldChar w:fldCharType="separate"/>
      </w:r>
      <w:r>
        <w:rPr>
          <w:rStyle w:val="13"/>
          <w:color w:val="0563C1"/>
        </w:rPr>
        <w:t>Equality, Diversity and the Creative Case: A Data Report 2019-2020</w:t>
      </w:r>
      <w:r>
        <w:rPr>
          <w:rStyle w:val="13"/>
          <w:color w:val="0563C1"/>
        </w:rPr>
        <w:fldChar w:fldCharType="end"/>
      </w:r>
    </w:p>
    <w:p w14:paraId="39DF1845">
      <w:pPr>
        <w:spacing w:after="200" w:line="400" w:lineRule="atLeast"/>
      </w:pPr>
      <w:r>
        <w:fldChar w:fldCharType="begin"/>
      </w:r>
      <w:r>
        <w:instrText xml:space="preserve"> HYPERLINK "https://www.kgc-sachsen-anhalt.de/kffg_media/Rundbriefe/Rundbriefe+Archiv/2024/2024_August_KGC_Rundbrief.pdf" \h </w:instrText>
      </w:r>
      <w:r>
        <w:fldChar w:fldCharType="separate"/>
      </w:r>
      <w:r>
        <w:rPr>
          <w:rStyle w:val="13"/>
          <w:color w:val="0563C1"/>
        </w:rPr>
        <w:t>Rundbrief – August 2024</w:t>
      </w:r>
      <w:r>
        <w:rPr>
          <w:rStyle w:val="13"/>
          <w:color w:val="0563C1"/>
        </w:rPr>
        <w:fldChar w:fldCharType="end"/>
      </w:r>
    </w:p>
    <w:p w14:paraId="502C66D8">
      <w:pPr>
        <w:spacing w:after="200" w:line="400" w:lineRule="atLeast"/>
      </w:pPr>
      <w:r>
        <w:fldChar w:fldCharType="begin"/>
      </w:r>
      <w:r>
        <w:instrText xml:space="preserve"> HYPERLINK "http://clab.iat.sfu.ca/804/uploads/Site/RoutledgeCompanion.pdf" \h </w:instrText>
      </w:r>
      <w:r>
        <w:fldChar w:fldCharType="separate"/>
      </w:r>
      <w:r>
        <w:rPr>
          <w:rStyle w:val="13"/>
          <w:color w:val="0563C1"/>
        </w:rPr>
        <w:t>The Routledge Companion to Research in the Arts</w:t>
      </w:r>
      <w:r>
        <w:rPr>
          <w:rStyle w:val="13"/>
          <w:color w:val="0563C1"/>
        </w:rPr>
        <w:fldChar w:fldCharType="end"/>
      </w:r>
    </w:p>
    <w:p w14:paraId="1983DEF8">
      <w:pPr>
        <w:spacing w:after="200" w:line="400" w:lineRule="atLeast"/>
      </w:pPr>
      <w:r>
        <w:fldChar w:fldCharType="begin"/>
      </w:r>
      <w:r>
        <w:instrText xml:space="preserve"> HYPERLINK "https://ojs.s-p.sg/index.php/cai/article/download/11445/11240" \h </w:instrText>
      </w:r>
      <w:r>
        <w:fldChar w:fldCharType="separate"/>
      </w:r>
      <w:r>
        <w:rPr>
          <w:rStyle w:val="13"/>
          <w:color w:val="0563C1"/>
        </w:rPr>
        <w:t>Construction and Practice of the Artistic Talent Training System—Taking “Chuang Jiao Yan Sai Yan” as an Example</w:t>
      </w:r>
      <w:r>
        <w:rPr>
          <w:rStyle w:val="13"/>
          <w:color w:val="0563C1"/>
        </w:rPr>
        <w:fldChar w:fldCharType="end"/>
      </w:r>
    </w:p>
    <w:p w14:paraId="03BF7B5D">
      <w:pPr>
        <w:spacing w:after="200" w:line="400" w:lineRule="atLeast"/>
      </w:pPr>
      <w:r>
        <w:fldChar w:fldCharType="begin"/>
      </w:r>
      <w:r>
        <w:instrText xml:space="preserve"> HYPERLINK "https://www.mch.govt.nz/sites/default/files/2025-03/arts-and-creative-industry-profile-report-2024.pdf" \h </w:instrText>
      </w:r>
      <w:r>
        <w:fldChar w:fldCharType="separate"/>
      </w:r>
      <w:r>
        <w:rPr>
          <w:rStyle w:val="13"/>
          <w:color w:val="0563C1"/>
        </w:rPr>
        <w:t>Arts and Creative Sector Profile 2024</w:t>
      </w:r>
      <w:r>
        <w:rPr>
          <w:rStyle w:val="13"/>
          <w:color w:val="0563C1"/>
        </w:rPr>
        <w:fldChar w:fldCharType="end"/>
      </w:r>
    </w:p>
    <w:p w14:paraId="36683A94">
      <w:pPr>
        <w:spacing w:after="200" w:line="400" w:lineRule="atLeast"/>
      </w:pPr>
      <w:r>
        <w:fldChar w:fldCharType="begin"/>
      </w:r>
      <w:r>
        <w:instrText xml:space="preserve"> HYPERLINK "https://stat.gov.pl/files/gfx/portalinformacyjny/pl/defaultaktualnosci/5493/2/22/1/kultura_i_dziedzictwo_narodowe_w_2024_r.pdf" \h </w:instrText>
      </w:r>
      <w:r>
        <w:fldChar w:fldCharType="separate"/>
      </w:r>
      <w:r>
        <w:rPr>
          <w:rStyle w:val="13"/>
          <w:color w:val="0563C1"/>
        </w:rPr>
        <w:t>Kultura i dziedzictwo narodowe w 2024 r.</w:t>
      </w:r>
      <w:r>
        <w:rPr>
          <w:rStyle w:val="13"/>
          <w:color w:val="0563C1"/>
        </w:rPr>
        <w:fldChar w:fldCharType="end"/>
      </w:r>
    </w:p>
    <w:p w14:paraId="1130BA64">
      <w:pPr>
        <w:spacing w:after="200" w:line="400" w:lineRule="atLeast"/>
      </w:pPr>
      <w:r>
        <w:fldChar w:fldCharType="begin"/>
      </w:r>
      <w:r>
        <w:instrText xml:space="preserve"> HYPERLINK "https://ijsr.internationaljournallabs.com/index.php/ijsr/article/download/2562/1414" \h </w:instrText>
      </w:r>
      <w:r>
        <w:fldChar w:fldCharType="separate"/>
      </w:r>
      <w:r>
        <w:rPr>
          <w:rStyle w:val="13"/>
          <w:color w:val="0563C1"/>
        </w:rPr>
        <w:t>Job Search Efficacy of Arts Workers in the Digital Age: Analysis of Factors and Policy Recommendations</w:t>
      </w:r>
      <w:r>
        <w:rPr>
          <w:rStyle w:val="13"/>
          <w:color w:val="0563C1"/>
        </w:rPr>
        <w:fldChar w:fldCharType="end"/>
      </w:r>
    </w:p>
    <w:p w14:paraId="3B880DDC">
      <w:pPr>
        <w:spacing w:after="200" w:line="400" w:lineRule="atLeast"/>
      </w:pPr>
      <w:r>
        <w:fldChar w:fldCharType="begin"/>
      </w:r>
      <w:r>
        <w:instrText xml:space="preserve"> HYPERLINK "https://api.pageplace.de/preview/DT0400.9781000988956_A46926906/preview-9781000988956_A46926906.pdf" \h </w:instrText>
      </w:r>
      <w:r>
        <w:fldChar w:fldCharType="separate"/>
      </w:r>
      <w:r>
        <w:rPr>
          <w:rStyle w:val="13"/>
          <w:color w:val="0563C1"/>
        </w:rPr>
        <w:t>Professionalization in the Creative Sector: Policy, Collective Action, and Institutionalization</w:t>
      </w:r>
      <w:r>
        <w:rPr>
          <w:rStyle w:val="13"/>
          <w:color w:val="0563C1"/>
        </w:rPr>
        <w:fldChar w:fldCharType="end"/>
      </w:r>
    </w:p>
    <w:p w14:paraId="066594AE">
      <w:pPr>
        <w:spacing w:after="200" w:line="400" w:lineRule="atLeast"/>
      </w:pPr>
      <w:r>
        <w:fldChar w:fldCharType="begin"/>
      </w:r>
      <w:r>
        <w:instrText xml:space="preserve"> HYPERLINK "https://arko.or.kr/board/download/ec479c4c5c94405ea3272431d988c0ab" \h </w:instrText>
      </w:r>
      <w:r>
        <w:fldChar w:fldCharType="separate"/>
      </w:r>
      <w:r>
        <w:rPr>
          <w:rStyle w:val="13"/>
          <w:color w:val="0563C1"/>
        </w:rPr>
        <w:t>문화예술전문인력 양성 및 지원 패러다임 전환 방향 모색 연구</w:t>
      </w:r>
      <w:r>
        <w:rPr>
          <w:rStyle w:val="13"/>
          <w:color w:val="0563C1"/>
        </w:rPr>
        <w:fldChar w:fldCharType="end"/>
      </w:r>
    </w:p>
    <w:p w14:paraId="427323AA">
      <w:pPr>
        <w:spacing w:after="200" w:line="400" w:lineRule="atLeast"/>
      </w:pPr>
      <w:r>
        <w:fldChar w:fldCharType="begin"/>
      </w:r>
      <w:r>
        <w:instrText xml:space="preserve"> HYPERLINK "https://cnki.huanghuai.edu.cn/KCMS/detail/detail.aspx?filename=YSJY201507037&amp;dbcode=CJFR&amp;dbname=" \h </w:instrText>
      </w:r>
      <w:r>
        <w:fldChar w:fldCharType="separate"/>
      </w:r>
      <w:r>
        <w:rPr>
          <w:rStyle w:val="13"/>
          <w:color w:val="0563C1"/>
        </w:rPr>
        <w:t>创意、融合、跨界、国际化——艺术管理探寻创新人才培养新路径</w:t>
      </w:r>
      <w:r>
        <w:rPr>
          <w:rStyle w:val="13"/>
          <w:color w:val="0563C1"/>
        </w:rPr>
        <w:fldChar w:fldCharType="end"/>
      </w:r>
    </w:p>
    <w:p w14:paraId="20525601">
      <w:pPr>
        <w:spacing w:after="200" w:line="400" w:lineRule="atLeast"/>
      </w:pPr>
      <w:r>
        <w:fldChar w:fldCharType="begin"/>
      </w:r>
      <w:r>
        <w:instrText xml:space="preserve"> HYPERLINK "https://repository.lib.umassd.edu/view/pdfCoverPage?instCode=01MA_DM_INST&amp;filePid=13155718050001301&amp;download=true" \h </w:instrText>
      </w:r>
      <w:r>
        <w:fldChar w:fldCharType="separate"/>
      </w:r>
      <w:r>
        <w:rPr>
          <w:rStyle w:val="13"/>
          <w:color w:val="0563C1"/>
        </w:rPr>
        <w:t>Finding fusion: Integrating roles of artist/teacher/researcher/human being : a thesis in Art Education.</w:t>
      </w:r>
      <w:r>
        <w:rPr>
          <w:rStyle w:val="13"/>
          <w:color w:val="0563C1"/>
        </w:rPr>
        <w:fldChar w:fldCharType="end"/>
      </w:r>
    </w:p>
    <w:p w14:paraId="630F17A9">
      <w:pPr>
        <w:spacing w:after="200" w:line="400" w:lineRule="atLeast"/>
      </w:pPr>
      <w:r>
        <w:fldChar w:fldCharType="begin"/>
      </w:r>
      <w:r>
        <w:instrText xml:space="preserve"> HYPERLINK "https://api.pageplace.de/preview/DT0400.9781000587104_A42846206/preview-9781000587104_A42846206.pdf" \h </w:instrText>
      </w:r>
      <w:r>
        <w:fldChar w:fldCharType="separate"/>
      </w:r>
      <w:r>
        <w:rPr>
          <w:rStyle w:val="13"/>
          <w:color w:val="0563C1"/>
        </w:rPr>
        <w:t>Management and the Arts</w:t>
      </w:r>
      <w:r>
        <w:rPr>
          <w:rStyle w:val="13"/>
          <w:color w:val="0563C1"/>
        </w:rPr>
        <w:fldChar w:fldCharType="end"/>
      </w:r>
    </w:p>
    <w:p w14:paraId="02245FAE">
      <w:pPr>
        <w:spacing w:after="200" w:line="400" w:lineRule="atLeast"/>
      </w:pPr>
      <w:r>
        <w:fldChar w:fldCharType="begin"/>
      </w:r>
      <w:r>
        <w:instrText xml:space="preserve"> HYPERLINK "https://revuea5.uqam.ca/wp-content/uploads/sites/13/2016/10/RA5-vol-6-no-1-2016-V5-FinalMaxence.pdf#page=82" \h </w:instrText>
      </w:r>
      <w:r>
        <w:fldChar w:fldCharType="separate"/>
      </w:r>
      <w:r>
        <w:rPr>
          <w:rStyle w:val="13"/>
          <w:color w:val="0563C1"/>
        </w:rPr>
        <w:t>Revue A5 volume 6, numéro 1, hiver 2016</w:t>
      </w:r>
      <w:r>
        <w:rPr>
          <w:rStyle w:val="13"/>
          <w:color w:val="0563C1"/>
        </w:rPr>
        <w:fldChar w:fldCharType="end"/>
      </w:r>
    </w:p>
    <w:p w14:paraId="75EFB01B">
      <w:pPr>
        <w:spacing w:after="200" w:line="400" w:lineRule="atLeast"/>
      </w:pPr>
      <w:r>
        <w:fldChar w:fldCharType="begin"/>
      </w:r>
      <w:r>
        <w:instrText xml:space="preserve"> HYPERLINK "https://www.gp.go.kr/upload/attach_file/home/sub02/budget/2021/10.pdf" \h </w:instrText>
      </w:r>
      <w:r>
        <w:fldChar w:fldCharType="separate"/>
      </w:r>
      <w:r>
        <w:rPr>
          <w:rStyle w:val="13"/>
          <w:color w:val="0563C1"/>
        </w:rPr>
        <w:t>세출예산사업명세서</w:t>
      </w:r>
      <w:r>
        <w:rPr>
          <w:rStyle w:val="13"/>
          <w:color w:val="0563C1"/>
        </w:rPr>
        <w:fldChar w:fldCharType="end"/>
      </w:r>
    </w:p>
    <w:p w14:paraId="75B149B7">
      <w:pPr>
        <w:spacing w:after="200" w:line="400" w:lineRule="atLeast"/>
      </w:pPr>
      <w:r>
        <w:fldChar w:fldCharType="begin"/>
      </w:r>
      <w:r>
        <w:instrText xml:space="preserve"> HYPERLINK "https://files.metaso.cn/api/public-file/preview?fileName=8693789238405406720.pdf" \h </w:instrText>
      </w:r>
      <w:r>
        <w:fldChar w:fldCharType="separate"/>
      </w:r>
      <w:r>
        <w:rPr>
          <w:rStyle w:val="13"/>
          <w:color w:val="0563C1"/>
        </w:rPr>
        <w:t>住建领域多元解纷生态圈：创新引领，守护住建和谐新境界</w:t>
      </w:r>
      <w:r>
        <w:rPr>
          <w:rStyle w:val="13"/>
          <w:color w:val="0563C1"/>
        </w:rPr>
        <w:fldChar w:fldCharType="end"/>
      </w:r>
    </w:p>
    <w:p w14:paraId="5863EE09">
      <w:pPr>
        <w:spacing w:after="200" w:line="400" w:lineRule="atLeast"/>
      </w:pPr>
      <w:r>
        <w:fldChar w:fldCharType="begin"/>
      </w:r>
      <w:r>
        <w:instrText xml:space="preserve"> HYPERLINK "https://clik.nanet.go.kr/clikr-collection/policyinfo/2/8/2020/CLIKC505375797422330_attach_1.pdf" \h </w:instrText>
      </w:r>
      <w:r>
        <w:fldChar w:fldCharType="separate"/>
      </w:r>
      <w:r>
        <w:rPr>
          <w:rStyle w:val="13"/>
          <w:color w:val="0563C1"/>
        </w:rPr>
        <w:t>부산광역시 공공 공연장 실태파악 및 운영개선방안 연구</w:t>
      </w:r>
      <w:r>
        <w:rPr>
          <w:rStyle w:val="13"/>
          <w:color w:val="0563C1"/>
        </w:rPr>
        <w:fldChar w:fldCharType="end"/>
      </w:r>
    </w:p>
    <w:p w14:paraId="0D3DBD18">
      <w:pPr>
        <w:spacing w:after="200" w:line="400" w:lineRule="atLeast"/>
      </w:pPr>
      <w:r>
        <w:fldChar w:fldCharType="begin"/>
      </w:r>
      <w:r>
        <w:instrText xml:space="preserve"> HYPERLINK "https://www.fnnews.com/news/202506191901163759" \h </w:instrText>
      </w:r>
      <w:r>
        <w:fldChar w:fldCharType="separate"/>
      </w:r>
      <w:r>
        <w:rPr>
          <w:rStyle w:val="13"/>
          <w:color w:val="0563C1"/>
        </w:rPr>
        <w:t>문체부, 국정기획위에 업무보고</w:t>
      </w:r>
      <w:r>
        <w:rPr>
          <w:rStyle w:val="13"/>
          <w:color w:val="0563C1"/>
        </w:rPr>
        <w:fldChar w:fldCharType="end"/>
      </w:r>
    </w:p>
    <w:p w14:paraId="41976183">
      <w:pPr>
        <w:spacing w:after="200" w:line="400" w:lineRule="atLeast"/>
      </w:pPr>
      <w:r>
        <w:fldChar w:fldCharType="begin"/>
      </w:r>
      <w:r>
        <w:instrText xml:space="preserve"> HYPERLINK "https://on-the-move.org/news/traveling-korean-arts-2024-2025-call-international-partners" \h </w:instrText>
      </w:r>
      <w:r>
        <w:fldChar w:fldCharType="separate"/>
      </w:r>
      <w:r>
        <w:rPr>
          <w:rStyle w:val="13"/>
          <w:color w:val="0563C1"/>
        </w:rPr>
        <w:t>Traveling Korean Arts 2024-2025: Call for International Partners</w:t>
      </w:r>
      <w:r>
        <w:rPr>
          <w:rStyle w:val="13"/>
          <w:color w:val="0563C1"/>
        </w:rPr>
        <w:fldChar w:fldCharType="end"/>
      </w:r>
    </w:p>
    <w:p w14:paraId="53909D6E">
      <w:pPr>
        <w:spacing w:after="200" w:line="400" w:lineRule="atLeast"/>
      </w:pPr>
      <w:r>
        <w:fldChar w:fldCharType="begin"/>
      </w:r>
      <w:r>
        <w:instrText xml:space="preserve"> HYPERLINK "https://ec.europa.eu/programmes/erasmus-plus/project-result-content/c89b95b7-9e08-4b71-bd68-87b4b1ee49ce/IO2_ES.pdf" \h </w:instrText>
      </w:r>
      <w:r>
        <w:fldChar w:fldCharType="separate"/>
      </w:r>
      <w:r>
        <w:rPr>
          <w:rStyle w:val="13"/>
          <w:color w:val="0563C1"/>
        </w:rPr>
        <w:t>MEJORA DE LAS COMPETENCIAS CREATIVAS, CULTURALES Y DE INNOVACIÓN PARA ADULTOS</w:t>
      </w:r>
      <w:r>
        <w:rPr>
          <w:rStyle w:val="13"/>
          <w:color w:val="0563C1"/>
        </w:rPr>
        <w:fldChar w:fldCharType="end"/>
      </w:r>
    </w:p>
    <w:p w14:paraId="5865C828">
      <w:pPr>
        <w:spacing w:after="200" w:line="400" w:lineRule="atLeast"/>
      </w:pPr>
      <w:r>
        <w:fldChar w:fldCharType="begin"/>
      </w:r>
      <w:r>
        <w:instrText xml:space="preserve"> HYPERLINK "https://www.bib.irb.hr:8443/1160853/download/1160853.Zbornik_2020_-_konana_verzija.pdf#page=60" \h </w:instrText>
      </w:r>
      <w:r>
        <w:fldChar w:fldCharType="separate"/>
      </w:r>
      <w:r>
        <w:rPr>
          <w:rStyle w:val="13"/>
          <w:color w:val="0563C1"/>
        </w:rPr>
        <w:t>GLOBAL CHALLENGES &amp; REGIONAL SPECIFICITIES</w:t>
      </w:r>
      <w:r>
        <w:rPr>
          <w:rStyle w:val="13"/>
          <w:color w:val="0563C1"/>
        </w:rPr>
        <w:fldChar w:fldCharType="end"/>
      </w:r>
    </w:p>
    <w:p w14:paraId="79181418">
      <w:pPr>
        <w:spacing w:after="200" w:line="400" w:lineRule="atLeast"/>
      </w:pPr>
      <w:r>
        <w:fldChar w:fldCharType="begin"/>
      </w:r>
      <w:r>
        <w:instrText xml:space="preserve"> HYPERLINK "https://www.sohu.com/a/153862337_534369" \h </w:instrText>
      </w:r>
      <w:r>
        <w:fldChar w:fldCharType="separate"/>
      </w:r>
      <w:r>
        <w:rPr>
          <w:rStyle w:val="13"/>
          <w:color w:val="0563C1"/>
        </w:rPr>
        <w:t>文化及创意产业在2015年的最新统计数字</w:t>
      </w:r>
      <w:r>
        <w:rPr>
          <w:rStyle w:val="13"/>
          <w:color w:val="0563C1"/>
        </w:rPr>
        <w:fldChar w:fldCharType="end"/>
      </w:r>
    </w:p>
    <w:p w14:paraId="7DBF246A">
      <w:pPr>
        <w:spacing w:after="200" w:line="400" w:lineRule="atLeast"/>
      </w:pPr>
      <w:r>
        <w:fldChar w:fldCharType="begin"/>
      </w:r>
      <w:r>
        <w:instrText xml:space="preserve"> HYPERLINK "https://www.hongxiu.com/chapter/12467849404996703/33885780487660657" \h </w:instrText>
      </w:r>
      <w:r>
        <w:fldChar w:fldCharType="separate"/>
      </w:r>
      <w:r>
        <w:rPr>
          <w:rStyle w:val="13"/>
          <w:color w:val="0563C1"/>
        </w:rPr>
        <w:t>融合度到底是什么？</w:t>
      </w:r>
      <w:r>
        <w:rPr>
          <w:rStyle w:val="13"/>
          <w:color w:val="0563C1"/>
        </w:rPr>
        <w:fldChar w:fldCharType="end"/>
      </w:r>
    </w:p>
    <w:p w14:paraId="486A9761">
      <w:pPr>
        <w:spacing w:after="200" w:line="400" w:lineRule="atLeast"/>
      </w:pPr>
      <w:r>
        <w:fldChar w:fldCharType="begin"/>
      </w:r>
      <w:r>
        <w:instrText xml:space="preserve"> HYPERLINK "https://m.douban.com/music/review/6652910/" \h </w:instrText>
      </w:r>
      <w:r>
        <w:fldChar w:fldCharType="separate"/>
      </w:r>
      <w:r>
        <w:rPr>
          <w:rStyle w:val="13"/>
          <w:color w:val="0563C1"/>
        </w:rPr>
        <w:t>风格融合度极高</w:t>
      </w:r>
      <w:r>
        <w:rPr>
          <w:rStyle w:val="13"/>
          <w:color w:val="0563C1"/>
        </w:rPr>
        <w:fldChar w:fldCharType="end"/>
      </w:r>
    </w:p>
    <w:p w14:paraId="4CD6C2B2">
      <w:pPr>
        <w:spacing w:after="200" w:line="400" w:lineRule="atLeast"/>
      </w:pPr>
      <w:r>
        <w:fldChar w:fldCharType="begin"/>
      </w:r>
      <w:r>
        <w:instrText xml:space="preserve"> HYPERLINK "https://arko.or.kr/artcenter/board/view/503?bid=407&amp;cid=716033&amp;sf_category1=CWS440" \h </w:instrText>
      </w:r>
      <w:r>
        <w:fldChar w:fldCharType="separate"/>
      </w:r>
      <w:r>
        <w:rPr>
          <w:rStyle w:val="13"/>
          <w:color w:val="0563C1"/>
        </w:rPr>
        <w:t>공지사항</w:t>
      </w:r>
      <w:r>
        <w:rPr>
          <w:rStyle w:val="13"/>
          <w:color w:val="0563C1"/>
        </w:rPr>
        <w:fldChar w:fldCharType="end"/>
      </w:r>
    </w:p>
    <w:p w14:paraId="776E9F23">
      <w:pPr>
        <w:spacing w:after="200" w:line="400" w:lineRule="atLeast"/>
      </w:pPr>
      <w:r>
        <w:fldChar w:fldCharType="begin"/>
      </w:r>
      <w:r>
        <w:instrText xml:space="preserve"> HYPERLINK "https://www.arko.or.kr/content/5750" \h </w:instrText>
      </w:r>
      <w:r>
        <w:fldChar w:fldCharType="separate"/>
      </w:r>
      <w:r>
        <w:rPr>
          <w:rStyle w:val="13"/>
          <w:color w:val="0563C1"/>
        </w:rPr>
        <w:t>주요사업</w:t>
      </w:r>
      <w:r>
        <w:rPr>
          <w:rStyle w:val="13"/>
          <w:color w:val="0563C1"/>
        </w:rPr>
        <w:fldChar w:fldCharType="end"/>
      </w:r>
    </w:p>
    <w:p w14:paraId="5D3EE17D">
      <w:pPr>
        <w:spacing w:after="200" w:line="400" w:lineRule="atLeast"/>
      </w:pPr>
      <w:r>
        <w:fldChar w:fldCharType="begin"/>
      </w:r>
      <w:r>
        <w:instrText xml:space="preserve"> HYPERLINK "https://www.sohu.com/a/818798799_121124780" \h </w:instrText>
      </w:r>
      <w:r>
        <w:fldChar w:fldCharType="separate"/>
      </w:r>
      <w:r>
        <w:rPr>
          <w:rStyle w:val="13"/>
          <w:color w:val="0563C1"/>
        </w:rPr>
        <w:t>Subversive Film, 《An Exercise in Assembling》, 2023年至今</w:t>
      </w:r>
      <w:r>
        <w:rPr>
          <w:rStyle w:val="13"/>
          <w:color w:val="0563C1"/>
        </w:rPr>
        <w:fldChar w:fldCharType="end"/>
      </w:r>
    </w:p>
    <w:p w14:paraId="16877F3D">
      <w:pPr>
        <w:spacing w:after="200" w:line="400" w:lineRule="atLeast"/>
      </w:pPr>
      <w:r>
        <w:fldChar w:fldCharType="begin"/>
      </w:r>
      <w:r>
        <w:instrText xml:space="preserve"> HYPERLINK "http://www.hyzsyjy.com/report/478666.html" \h </w:instrText>
      </w:r>
      <w:r>
        <w:fldChar w:fldCharType="separate"/>
      </w:r>
      <w:r>
        <w:rPr>
          <w:rStyle w:val="13"/>
          <w:color w:val="0563C1"/>
        </w:rPr>
        <w:t>文化产业综述及数据来源说明</w:t>
      </w:r>
      <w:r>
        <w:rPr>
          <w:rStyle w:val="13"/>
          <w:color w:val="0563C1"/>
        </w:rPr>
        <w:fldChar w:fldCharType="end"/>
      </w:r>
    </w:p>
    <w:p w14:paraId="2F318EED">
      <w:pPr>
        <w:spacing w:after="200" w:line="400" w:lineRule="atLeast"/>
      </w:pPr>
      <w:r>
        <w:fldChar w:fldCharType="begin"/>
      </w:r>
      <w:r>
        <w:instrText xml:space="preserve"> HYPERLINK "https://education.ohio.gov/getattachment/Topics/Learning-in-Ohio/Fine-Arts/Fine-Arts-Model-Curriculum/Draft-2025-Model-Curriculum-Fine-Arts.pdf.aspx?lang=en-US" \h </w:instrText>
      </w:r>
      <w:r>
        <w:fldChar w:fldCharType="separate"/>
      </w:r>
      <w:r>
        <w:rPr>
          <w:rStyle w:val="13"/>
          <w:color w:val="0563C1"/>
        </w:rPr>
        <w:t>Fine Arts Model Curriculum</w:t>
      </w:r>
      <w:r>
        <w:rPr>
          <w:rStyle w:val="13"/>
          <w:color w:val="0563C1"/>
        </w:rPr>
        <w:fldChar w:fldCharType="end"/>
      </w:r>
    </w:p>
    <w:p w14:paraId="152C7FCE">
      <w:pPr>
        <w:spacing w:after="200" w:line="400" w:lineRule="atLeast"/>
      </w:pPr>
      <w:r>
        <w:fldChar w:fldCharType="begin"/>
      </w:r>
      <w:r>
        <w:instrText xml:space="preserve"> HYPERLINK "https://www.kawf.kr/files/report_2023_eng.pdf" \h </w:instrText>
      </w:r>
      <w:r>
        <w:fldChar w:fldCharType="separate"/>
      </w:r>
      <w:r>
        <w:rPr>
          <w:rStyle w:val="13"/>
          <w:color w:val="0563C1"/>
        </w:rPr>
        <w:t>Korean Artists Welfare Foundation 2023 Annual Report</w:t>
      </w:r>
      <w:r>
        <w:rPr>
          <w:rStyle w:val="13"/>
          <w:color w:val="0563C1"/>
        </w:rPr>
        <w:fldChar w:fldCharType="end"/>
      </w:r>
    </w:p>
    <w:p w14:paraId="082B7E1F">
      <w:pPr>
        <w:spacing w:after="200" w:line="400" w:lineRule="atLeast"/>
      </w:pPr>
      <w:r>
        <w:fldChar w:fldCharType="begin"/>
      </w:r>
      <w:r>
        <w:instrText xml:space="preserve"> HYPERLINK "https://www.e-kcj.org/ORCID/0000-0001-5299-2521" \h </w:instrText>
      </w:r>
      <w:r>
        <w:fldChar w:fldCharType="separate"/>
      </w:r>
      <w:r>
        <w:rPr>
          <w:rStyle w:val="13"/>
          <w:color w:val="0563C1"/>
        </w:rPr>
        <w:t>Results by year</w:t>
      </w:r>
      <w:r>
        <w:rPr>
          <w:rStyle w:val="13"/>
          <w:color w:val="0563C1"/>
        </w:rPr>
        <w:fldChar w:fldCharType="end"/>
      </w:r>
    </w:p>
    <w:p w14:paraId="55DD4323">
      <w:pPr>
        <w:spacing w:after="200" w:line="400" w:lineRule="atLeast"/>
      </w:pPr>
      <w:r>
        <w:fldChar w:fldCharType="begin"/>
      </w:r>
      <w:r>
        <w:instrText xml:space="preserve"> HYPERLINK "https://www.unesco.org/zh/articles/xindebaogaoxianshiwenhuahechuangyichanyeweiquanqiutigong2950wangegongzuogangwei" \h </w:instrText>
      </w:r>
      <w:r>
        <w:fldChar w:fldCharType="separate"/>
      </w:r>
      <w:r>
        <w:rPr>
          <w:rStyle w:val="13"/>
          <w:color w:val="0563C1"/>
        </w:rPr>
        <w:t>新的报告显示文化和创意产业为全球提供2950万个工作岗位 - UNESCO</w:t>
      </w:r>
      <w:r>
        <w:rPr>
          <w:rStyle w:val="13"/>
          <w:color w:val="0563C1"/>
        </w:rPr>
        <w:fldChar w:fldCharType="end"/>
      </w:r>
    </w:p>
    <w:p w14:paraId="5F708DF6">
      <w:pPr>
        <w:spacing w:after="200" w:line="400" w:lineRule="atLeast"/>
      </w:pPr>
      <w:r>
        <w:fldChar w:fldCharType="begin"/>
      </w:r>
      <w:r>
        <w:instrText xml:space="preserve"> HYPERLINK "http://documents1.worldbank.org/curated/en/099636203292320898/pdf/IDU0efb3c813055a904ac309b7c05e9afa0965df.pdf" \h </w:instrText>
      </w:r>
      <w:r>
        <w:fldChar w:fldCharType="separate"/>
      </w:r>
      <w:r>
        <w:rPr>
          <w:rStyle w:val="13"/>
          <w:color w:val="0563C1"/>
        </w:rPr>
        <w:t>Cities, culture, creativity: leveraging culture and creativity for sustainable urban development and inclusive growth</w:t>
      </w:r>
      <w:r>
        <w:rPr>
          <w:rStyle w:val="13"/>
          <w:color w:val="0563C1"/>
        </w:rPr>
        <w:fldChar w:fldCharType="end"/>
      </w:r>
    </w:p>
    <w:p w14:paraId="5D842D5D">
      <w:pPr>
        <w:spacing w:after="200" w:line="400" w:lineRule="atLeast"/>
      </w:pPr>
      <w:r>
        <w:fldChar w:fldCharType="begin"/>
      </w:r>
      <w:r>
        <w:instrText xml:space="preserve"> HYPERLINK "https://www.oecd.org/content/dam/oecd/en/publications/reports/2022/06/the-culture-fix_fda3a600/991bb520-en.pdf" \h </w:instrText>
      </w:r>
      <w:r>
        <w:fldChar w:fldCharType="separate"/>
      </w:r>
      <w:r>
        <w:rPr>
          <w:rStyle w:val="13"/>
          <w:color w:val="0563C1"/>
        </w:rPr>
        <w:t>The Culture Fix: Creative People, Places and Industries</w:t>
      </w:r>
      <w:r>
        <w:rPr>
          <w:rStyle w:val="13"/>
          <w:color w:val="0563C1"/>
        </w:rPr>
        <w:fldChar w:fldCharType="end"/>
      </w:r>
    </w:p>
    <w:p w14:paraId="393DDF13">
      <w:pPr>
        <w:spacing w:after="200" w:line="400" w:lineRule="atLeast"/>
      </w:pPr>
      <w:r>
        <w:fldChar w:fldCharType="begin"/>
      </w:r>
      <w:r>
        <w:instrText xml:space="preserve"> HYPERLINK "https://www.portugalexporta.pt/sites/default/files/2023-03/patrimonio-cultural-reino-unido.pdf" \h </w:instrText>
      </w:r>
      <w:r>
        <w:fldChar w:fldCharType="separate"/>
      </w:r>
      <w:r>
        <w:rPr>
          <w:rStyle w:val="13"/>
          <w:color w:val="0563C1"/>
        </w:rPr>
        <w:t>PATRIMÓNIO CULTURAL NO REINO UNIDO FICHA DE ENTRADA NO MERCADO</w:t>
      </w:r>
      <w:r>
        <w:rPr>
          <w:rStyle w:val="13"/>
          <w:color w:val="0563C1"/>
        </w:rPr>
        <w:fldChar w:fldCharType="end"/>
      </w:r>
    </w:p>
    <w:p w14:paraId="354FBAB8">
      <w:pPr>
        <w:spacing w:after="200" w:line="400" w:lineRule="atLeast"/>
      </w:pPr>
      <w:r>
        <w:fldChar w:fldCharType="begin"/>
      </w:r>
      <w:r>
        <w:instrText xml:space="preserve"> HYPERLINK "https://unctad.org/system/files/official-document/ditctncd2021d3_en.pdf" \h </w:instrText>
      </w:r>
      <w:r>
        <w:fldChar w:fldCharType="separate"/>
      </w:r>
      <w:r>
        <w:rPr>
          <w:rStyle w:val="13"/>
          <w:color w:val="0563C1"/>
        </w:rPr>
        <w:t>Creative Industry 4.0: Towards a New Globalized Creative Economy</w:t>
      </w:r>
      <w:r>
        <w:rPr>
          <w:rStyle w:val="13"/>
          <w:color w:val="0563C1"/>
        </w:rPr>
        <w:fldChar w:fldCharType="end"/>
      </w:r>
    </w:p>
    <w:p w14:paraId="0F236CF9">
      <w:pPr>
        <w:spacing w:after="200" w:line="400" w:lineRule="atLeast"/>
      </w:pPr>
      <w:r>
        <w:fldChar w:fldCharType="begin"/>
      </w:r>
      <w:r>
        <w:instrText xml:space="preserve"> HYPERLINK "https://www.cultura.gob.es/dam/jcr:df0a3a4b-5f02-4d10-b83e-96852d6b4e72/sintesis-de-indicadores-estadisticos-culturales-2024.pdf" \h </w:instrText>
      </w:r>
      <w:r>
        <w:fldChar w:fldCharType="separate"/>
      </w:r>
      <w:r>
        <w:rPr>
          <w:rStyle w:val="13"/>
          <w:color w:val="0563C1"/>
        </w:rPr>
        <w:t>Anuario de Estadísticas Culturales 2024 | Síntesis de indicadores estadísticos culturales</w:t>
      </w:r>
      <w:r>
        <w:rPr>
          <w:rStyle w:val="13"/>
          <w:color w:val="0563C1"/>
        </w:rPr>
        <w:fldChar w:fldCharType="end"/>
      </w:r>
    </w:p>
    <w:p w14:paraId="44F7D5E9">
      <w:pPr>
        <w:spacing w:after="200" w:line="400" w:lineRule="atLeast"/>
      </w:pPr>
      <w:r>
        <w:fldChar w:fldCharType="begin"/>
      </w:r>
      <w:r>
        <w:instrText xml:space="preserve"> HYPERLINK "https://agenciadenoticias.ibge.gov.br/media/com_mediaibge/arquivos/0eb25edc4b6a36cfae0b3fb74dabab58.pdf" \h </w:instrText>
      </w:r>
      <w:r>
        <w:fldChar w:fldCharType="separate"/>
      </w:r>
      <w:r>
        <w:rPr>
          <w:rStyle w:val="13"/>
          <w:color w:val="0563C1"/>
        </w:rPr>
        <w:t>Sistema de Informações e Indicadores Culturais 2007-2018</w:t>
      </w:r>
      <w:r>
        <w:rPr>
          <w:rStyle w:val="13"/>
          <w:color w:val="0563C1"/>
        </w:rPr>
        <w:fldChar w:fldCharType="end"/>
      </w:r>
    </w:p>
    <w:p w14:paraId="32B728EE">
      <w:pPr>
        <w:spacing w:after="200" w:line="400" w:lineRule="atLeast"/>
      </w:pPr>
      <w:r>
        <w:fldChar w:fldCharType="begin"/>
      </w:r>
      <w:r>
        <w:instrText xml:space="preserve"> HYPERLINK "https://repositorio.iaen.edu.ec/jspui/bitstream/24000/5016/2/TESIS%20DE%20MAESTRIA%20GESTION%20P%C3%9ABLICA%20%28FINAL%29%20-%20CUADRADO%20VICTOR.pdf" \h </w:instrText>
      </w:r>
      <w:r>
        <w:fldChar w:fldCharType="separate"/>
      </w:r>
      <w:r>
        <w:rPr>
          <w:rStyle w:val="13"/>
          <w:color w:val="0563C1"/>
        </w:rPr>
        <w:t>ESTRATEGIAS PARA EL ALCANCE DE LA PARTICIPACIÓN CIUDADANA: EN LA FORMULACIÓN DE POLÍTICAS PÚBLICAS CULTURALES DESDE LA SECRETARÍA DE CULTURA DEL DISTRITO METROPOLITANO DE QUITO</w:t>
      </w:r>
      <w:r>
        <w:rPr>
          <w:rStyle w:val="13"/>
          <w:color w:val="0563C1"/>
        </w:rPr>
        <w:fldChar w:fldCharType="end"/>
      </w:r>
    </w:p>
    <w:p w14:paraId="6298CB79">
      <w:pPr>
        <w:spacing w:after="200" w:line="400" w:lineRule="atLeast"/>
      </w:pPr>
      <w:r>
        <w:fldChar w:fldCharType="begin"/>
      </w:r>
      <w:r>
        <w:instrText xml:space="preserve"> HYPERLINK "https://www.rijksfinancien.nl/sites/default/files/extrainfo/Cultuur/Onderzoek+Sectorbeschrijvingen+Cultuur.pdf" \h </w:instrText>
      </w:r>
      <w:r>
        <w:fldChar w:fldCharType="separate"/>
      </w:r>
      <w:r>
        <w:rPr>
          <w:rStyle w:val="13"/>
          <w:color w:val="0563C1"/>
        </w:rPr>
        <w:t>Sectorbeschrijvingen cultuur</w:t>
      </w:r>
      <w:r>
        <w:rPr>
          <w:rStyle w:val="13"/>
          <w:color w:val="0563C1"/>
        </w:rPr>
        <w:fldChar w:fldCharType="end"/>
      </w:r>
    </w:p>
    <w:p w14:paraId="61215484">
      <w:pPr>
        <w:spacing w:after="200" w:line="400" w:lineRule="atLeast"/>
      </w:pPr>
      <w:r>
        <w:fldChar w:fldCharType="begin"/>
      </w:r>
      <w:r>
        <w:instrText xml:space="preserve"> HYPERLINK "https://m.lunwendata.com/show.php?id=159180" \h </w:instrText>
      </w:r>
      <w:r>
        <w:fldChar w:fldCharType="separate"/>
      </w:r>
      <w:r>
        <w:rPr>
          <w:rStyle w:val="13"/>
          <w:color w:val="0563C1"/>
        </w:rPr>
        <w:t>现有艺术管理理论框架及其重构</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A247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9975E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4055</Words>
  <Characters>4316</Characters>
  <TotalTime>0</TotalTime>
  <ScaleCrop>false</ScaleCrop>
  <LinksUpToDate>false</LinksUpToDate>
  <CharactersWithSpaces>4385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2026-01-17T18:10:16Z</dcterms:created>
  <dc:creator>86188</dc:creator>
  <cp:lastModifiedBy>dyx</cp:lastModifiedBy>
  <dcterms:modified xsi:type="dcterms:W3CDTF">2026-01-17T18:10:26Z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ab621a8d4024fb36ed7685be5ca4504","ProduceID":"Metasota_docx_69634a567486ff2c16e3c748_1_6436eecb-4eca-46c1-b23c-aaacc43493a5","ReservedCode2":"2ab621a8d4024fb36ed7685be5ca4504","PropagateID":"Metasota_docx_69634a567486ff2c16e3c748_1_6436eecb-4eca-46c1-b23c-aaacc43493a5","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AE51E04531174D34A9FD262459B98DC6_12</vt:lpwstr>
  </property>
</Properties>
</file>