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6A11FF">
      <w:pPr>
        <w:spacing w:after="210" w:line="360" w:lineRule="auto"/>
      </w:pPr>
      <w:r>
        <w:rPr>
          <w:rFonts w:ascii="inter" w:hAnsi="inter" w:eastAsia="inter" w:cs="inter"/>
          <w:color w:val="000000"/>
        </w:rPr>
        <w:t>本报告为提交相关部委及行业决策者的政策咨询文本，旨在为新时代“艺术人才多元化发展与生态构建”提供系统化、工具化、可操作的战略框架。根据联合国教科文组织(UNESCO)及世界银行等机构的研究，文化和创意产业在全球就业与经济增长中已成为具有战略意义的“新型基础产业”，对艺术人才结构与发展路径提出了全新要求。</w:t>
      </w:r>
      <w:bookmarkStart w:id="0" w:name="fnref1"/>
      <w:bookmarkEnd w:id="0"/>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bookmarkStart w:id="1" w:name="fnref2"/>
      <w:bookmarkEnd w:id="1"/>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72F805D3">
      <w:pPr>
        <w:spacing w:before="315" w:after="105" w:line="360" w:lineRule="auto"/>
        <w:ind w:left="-30"/>
        <w:jc w:val="left"/>
      </w:pPr>
      <w:bookmarkStart w:id="2" w:name="一_执行摘要"/>
      <w:r>
        <w:rPr>
          <w:rFonts w:ascii="inter" w:hAnsi="inter" w:eastAsia="inter" w:cs="inter"/>
          <w:b/>
          <w:color w:val="000000"/>
          <w:sz w:val="24"/>
        </w:rPr>
        <w:t>一、执行摘要</w:t>
      </w:r>
      <w:bookmarkEnd w:id="2"/>
    </w:p>
    <w:p w14:paraId="4D50D326">
      <w:pPr>
        <w:spacing w:after="210" w:line="360" w:lineRule="auto"/>
      </w:pPr>
      <w:r>
        <w:rPr>
          <w:rFonts w:ascii="inter" w:hAnsi="inter" w:eastAsia="inter" w:cs="inter"/>
          <w:color w:val="000000"/>
        </w:rPr>
        <w:t>据联合国教科文组织(UNESCO)《Investing in Creativity》分析，文化和创意产业目前在全球范围内提供近3,000万个就业岗位，占全球就业约6</w:t>
      </w:r>
      <w:bookmarkStart w:id="147" w:name="_GoBack"/>
      <w:bookmarkEnd w:id="147"/>
      <w:r>
        <w:rPr>
          <w:rFonts w:ascii="inter" w:hAnsi="inter" w:eastAsia="inter" w:cs="inter"/>
          <w:color w:val="000000"/>
        </w:rPr>
        <w:t>.2%，并对青年就业贡献显著，这在一定程度上说明艺术人才不再局限于传统文艺编制岗位，而是嵌入更广泛的创意经济生态。 世界银行与相关研究指出，文化和创意产业约贡献全球GDP的3.1%，呈现出与数字经济高度耦合、与服务业深度交叉的趋势，这通常意味着艺术人才发展需要向跨界融合、IP运营与数字赋能方向重构。</w:t>
      </w:r>
      <w:bookmarkStart w:id="3" w:name="fnref3"/>
      <w:bookmarkEnd w:id="3"/>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bookmarkStart w:id="4" w:name="fnref2_1"/>
      <w:bookmarkEnd w:id="4"/>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bookmarkStart w:id="5" w:name="fnref4"/>
      <w:bookmarkEnd w:id="5"/>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bookmarkStart w:id="6" w:name="fnref1_1"/>
      <w:bookmarkEnd w:id="6"/>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p>
    <w:p w14:paraId="0CCE3FBE">
      <w:pPr>
        <w:spacing w:after="210" w:line="360" w:lineRule="auto"/>
      </w:pPr>
      <w:r>
        <w:rPr>
          <w:rFonts w:ascii="inter" w:hAnsi="inter" w:eastAsia="inter" w:cs="inter"/>
          <w:color w:val="000000"/>
        </w:rPr>
        <w:t>综合国内外文献与政策实践，本报告提出“艺术人才多元化发展生态系统”四维框架：一是“人才类型—能力谱系”重构，二是“社会评价—市场回报”传导机制优化，三是“知识产权—消费升级”协同放大效应，四是“制度供给—国际经验”对标与本土化转译。 报告在“战略构建与政策建议”部分进一步提出“艺术人才价值转化漏斗”“跨界融合路径矩阵”“多层级支持政策工具箱”等操作性工具，建议各级主管部门在文化强国战略、数字经济国家战略、乡村振兴战略和人才强国战略统摄下，分阶段推进艺术人才生态系统化建设。</w:t>
      </w:r>
      <w:bookmarkStart w:id="7" w:name="fnref4_1"/>
      <w:bookmarkEnd w:id="7"/>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bookmarkStart w:id="8" w:name="fnref5"/>
      <w:bookmarkEnd w:id="8"/>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bookmarkStart w:id="9" w:name="fnref6"/>
      <w:bookmarkEnd w:id="9"/>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p>
    <w:p w14:paraId="2FEAD8C5">
      <w:pPr>
        <w:spacing w:before="315" w:after="105" w:line="360" w:lineRule="auto"/>
        <w:ind w:left="-30"/>
        <w:jc w:val="left"/>
      </w:pPr>
      <w:bookmarkStart w:id="10" w:name="二_问题提出与文献述评"/>
      <w:r>
        <w:rPr>
          <w:rFonts w:ascii="inter" w:hAnsi="inter" w:eastAsia="inter" w:cs="inter"/>
          <w:b/>
          <w:color w:val="000000"/>
          <w:sz w:val="24"/>
        </w:rPr>
        <w:t>二、问题提出与文献述评</w:t>
      </w:r>
      <w:bookmarkEnd w:id="10"/>
    </w:p>
    <w:p w14:paraId="3F7B1DFB">
      <w:pPr>
        <w:spacing w:before="315" w:after="105" w:line="360" w:lineRule="auto"/>
        <w:ind w:left="-30"/>
        <w:jc w:val="left"/>
      </w:pPr>
      <w:bookmarkStart w:id="11" w:name="一_问题背景_从_文艺系统内_到_创意经济生态内"/>
      <w:r>
        <w:rPr>
          <w:rFonts w:ascii="inter" w:hAnsi="inter" w:eastAsia="inter" w:cs="inter"/>
          <w:b/>
          <w:color w:val="000000"/>
          <w:sz w:val="24"/>
        </w:rPr>
        <w:t>(一) 问题背景：从“文艺系统内”到“创意经济生态内”</w:t>
      </w:r>
      <w:bookmarkEnd w:id="11"/>
    </w:p>
    <w:p w14:paraId="4AF10ECD">
      <w:pPr>
        <w:spacing w:after="210" w:line="360" w:lineRule="auto"/>
      </w:pPr>
      <w:r>
        <w:rPr>
          <w:rFonts w:ascii="inter" w:hAnsi="inter" w:eastAsia="inter" w:cs="inter"/>
          <w:color w:val="000000"/>
        </w:rPr>
        <w:t>据联合国贸易和发展会议(UNCTAD)《Creative Economy Outlook 2024》指出，文化和创意产业在部分国家就业增长率明显高于整体就业，成为新型增长极，艺术相关岗位已从传统文化事业单位扩展至数字内容、品牌营销、城市更新等多领域嵌入型岗位。 世界经济论坛与UNESCO联合评估认为，创意经济“在青年群体中具有更高的就业密度”，这在一定程度上意味着青年艺术生如果仍以“进团、进馆、进编制”为唯一目标，存在结构性错配风险。</w:t>
      </w:r>
      <w:bookmarkStart w:id="12" w:name="fnref7"/>
      <w:bookmarkEnd w:id="12"/>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bookmarkStart w:id="13" w:name="fnref8"/>
      <w:bookmarkEnd w:id="13"/>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bookmarkStart w:id="14" w:name="fnref3_1"/>
      <w:bookmarkEnd w:id="14"/>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bookmarkStart w:id="15" w:name="fnref4_2"/>
      <w:bookmarkEnd w:id="15"/>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p>
    <w:p w14:paraId="500BE806">
      <w:pPr>
        <w:spacing w:after="210" w:line="360" w:lineRule="auto"/>
      </w:pPr>
      <w:r>
        <w:rPr>
          <w:rFonts w:ascii="inter" w:hAnsi="inter" w:eastAsia="inter" w:cs="inter"/>
          <w:color w:val="000000"/>
        </w:rPr>
        <w:t>中国文化和旅游部相关政策与行业实践表明，随着数字文化产业、演艺新业态、沉浸式体验经济发展，艺术人才供给与岗位需求之间呈现“结构性过剩与结构性短缺并存”的复杂局面。 一方面，传统表演与纯创作岗位的刚性编制空间趋紧；另一方面，新媒体内容创作、文旅融合策划、文化IP运营等领域对具备复合能力的艺术人才需求在一定程度上持续增长。</w:t>
      </w:r>
      <w:bookmarkStart w:id="16" w:name="fnref9"/>
      <w:bookmarkEnd w:id="16"/>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bookmarkStart w:id="17" w:name="fnref6_1"/>
      <w:bookmarkEnd w:id="17"/>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p>
    <w:p w14:paraId="62EADE89">
      <w:pPr>
        <w:spacing w:before="315" w:after="105" w:line="360" w:lineRule="auto"/>
        <w:ind w:left="-30"/>
        <w:jc w:val="left"/>
      </w:pPr>
      <w:bookmarkStart w:id="18" w:name="二_核心概念与术语界定"/>
      <w:r>
        <w:rPr>
          <w:rFonts w:ascii="inter" w:hAnsi="inter" w:eastAsia="inter" w:cs="inter"/>
          <w:b/>
          <w:color w:val="000000"/>
          <w:sz w:val="24"/>
        </w:rPr>
        <w:t>(二) 核心概念与术语界定</w:t>
      </w:r>
      <w:bookmarkEnd w:id="18"/>
    </w:p>
    <w:p w14:paraId="21AB1E7A">
      <w:pPr>
        <w:numPr>
          <w:ilvl w:val="0"/>
          <w:numId w:val="1"/>
        </w:numPr>
        <w:spacing w:after="210" w:line="360" w:lineRule="auto"/>
      </w:pPr>
      <w:r>
        <w:rPr>
          <w:rFonts w:ascii="inter" w:hAnsi="inter" w:eastAsia="inter" w:cs="inter"/>
          <w:b/>
          <w:color w:val="000000"/>
          <w:sz w:val="21"/>
        </w:rPr>
        <w:t>艺术人才多元化发展生态</w:t>
      </w:r>
      <w:r>
        <w:rPr>
          <w:rFonts w:ascii="inter" w:hAnsi="inter" w:eastAsia="inter" w:cs="inter"/>
          <w:color w:val="000000"/>
          <w:sz w:val="21"/>
        </w:rPr>
        <w:br w:type="textWrapping"/>
      </w:r>
      <w:r>
        <w:rPr>
          <w:rFonts w:ascii="inter" w:hAnsi="inter" w:eastAsia="inter" w:cs="inter"/>
          <w:color w:val="000000"/>
          <w:sz w:val="21"/>
        </w:rPr>
        <w:t>本报告所称“艺术人才多元化发展生态”，指在国家文化战略、数字经济发展与社会价值观演进的综合背景下，艺术人才在教育培养、职业路径、地域分布、能力结构与价值实现方式等维度呈现出的多元流动与协同配置状态。 这一生态通常包含制度供给(法律、财政、税收)、市场需求(文化消费、数字平台)、中介服务(经纪、版权、投融资)与社会评价(奖项、学历、流量)等相互作用的子系统。</w:t>
      </w:r>
      <w:bookmarkStart w:id="19" w:name="fnref5_1"/>
      <w:bookmarkEnd w:id="19"/>
      <w:r>
        <w:fldChar w:fldCharType="begin"/>
      </w:r>
      <w:r>
        <w:instrText xml:space="preserve"> HYPERLINK \l "fn5" \h </w:instrText>
      </w:r>
      <w:r>
        <w:fldChar w:fldCharType="separate"/>
      </w:r>
      <w:r>
        <w:rPr>
          <w:rFonts w:ascii="inter" w:hAnsi="inter" w:eastAsia="inter" w:cs="inter"/>
          <w:color w:val="000000"/>
          <w:sz w:val="21"/>
          <w:u w:val="single"/>
          <w:vertAlign w:val="superscript"/>
        </w:rPr>
        <w:t>[5]</w:t>
      </w:r>
      <w:r>
        <w:rPr>
          <w:rFonts w:ascii="inter" w:hAnsi="inter" w:eastAsia="inter" w:cs="inter"/>
          <w:color w:val="000000"/>
          <w:sz w:val="21"/>
          <w:u w:val="single"/>
          <w:vertAlign w:val="superscript"/>
        </w:rPr>
        <w:fldChar w:fldCharType="end"/>
      </w:r>
      <w:bookmarkStart w:id="20" w:name="fnref4_3"/>
      <w:bookmarkEnd w:id="20"/>
      <w:r>
        <w:fldChar w:fldCharType="begin"/>
      </w:r>
      <w:r>
        <w:instrText xml:space="preserve"> HYPERLINK \l "fn4" \h </w:instrText>
      </w:r>
      <w:r>
        <w:fldChar w:fldCharType="separate"/>
      </w:r>
      <w:r>
        <w:rPr>
          <w:rFonts w:ascii="inter" w:hAnsi="inter" w:eastAsia="inter" w:cs="inter"/>
          <w:color w:val="000000"/>
          <w:sz w:val="21"/>
          <w:u w:val="single"/>
          <w:vertAlign w:val="superscript"/>
        </w:rPr>
        <w:t>[4]</w:t>
      </w:r>
      <w:r>
        <w:rPr>
          <w:rFonts w:ascii="inter" w:hAnsi="inter" w:eastAsia="inter" w:cs="inter"/>
          <w:color w:val="000000"/>
          <w:sz w:val="21"/>
          <w:u w:val="single"/>
          <w:vertAlign w:val="superscript"/>
        </w:rPr>
        <w:fldChar w:fldCharType="end"/>
      </w:r>
    </w:p>
    <w:p w14:paraId="405E8361">
      <w:pPr>
        <w:numPr>
          <w:ilvl w:val="0"/>
          <w:numId w:val="1"/>
        </w:numPr>
        <w:spacing w:after="210" w:line="360" w:lineRule="auto"/>
      </w:pPr>
      <w:r>
        <w:rPr>
          <w:rFonts w:ascii="inter" w:hAnsi="inter" w:eastAsia="inter" w:cs="inter"/>
          <w:color w:val="000000"/>
          <w:sz w:val="21"/>
        </w:rPr>
        <w:t>艺术人才价值转化漏斗</w:t>
      </w:r>
      <w:r>
        <w:rPr>
          <w:rFonts w:ascii="inter" w:hAnsi="inter" w:eastAsia="inter" w:cs="inter"/>
          <w:color w:val="000000"/>
          <w:sz w:val="21"/>
        </w:rPr>
        <w:br w:type="textWrapping"/>
      </w:r>
      <w:r>
        <w:rPr>
          <w:rFonts w:ascii="inter" w:hAnsi="inter" w:eastAsia="inter" w:cs="inter"/>
          <w:color w:val="000000"/>
          <w:sz w:val="21"/>
        </w:rPr>
        <w:t>“艺术人才价值转化漏斗”指从创作端到市场端的四阶段模型：创意生成(IDEATION)–知识产权固化(IP FIXATION)–市场触达(MARKET REACH)–价值变现(MONETIZATION)。 在此模型中，创意生成强调艺术家的原创能力与文化表达；知识产权固化强调通过版权登记、合约安排等将创意转化为可交易权利；市场触达涉及渠道建设、数字平台分发与品牌运营；价值变现则通过票房、授权、衍生品、电商转化等完成经济收益与社会影响的双重体现。</w:t>
      </w:r>
      <w:bookmarkStart w:id="21" w:name="fnref4_4"/>
      <w:bookmarkEnd w:id="21"/>
      <w:r>
        <w:fldChar w:fldCharType="begin"/>
      </w:r>
      <w:r>
        <w:instrText xml:space="preserve"> HYPERLINK \l "fn4" \h </w:instrText>
      </w:r>
      <w:r>
        <w:fldChar w:fldCharType="separate"/>
      </w:r>
      <w:r>
        <w:rPr>
          <w:rFonts w:ascii="inter" w:hAnsi="inter" w:eastAsia="inter" w:cs="inter"/>
          <w:color w:val="000000"/>
          <w:sz w:val="21"/>
          <w:u w:val="single"/>
          <w:vertAlign w:val="superscript"/>
        </w:rPr>
        <w:t>[4]</w:t>
      </w:r>
      <w:r>
        <w:rPr>
          <w:rFonts w:ascii="inter" w:hAnsi="inter" w:eastAsia="inter" w:cs="inter"/>
          <w:color w:val="000000"/>
          <w:sz w:val="21"/>
          <w:u w:val="single"/>
          <w:vertAlign w:val="superscript"/>
        </w:rPr>
        <w:fldChar w:fldCharType="end"/>
      </w:r>
      <w:bookmarkStart w:id="22" w:name="fnref5_2"/>
      <w:bookmarkEnd w:id="22"/>
      <w:r>
        <w:fldChar w:fldCharType="begin"/>
      </w:r>
      <w:r>
        <w:instrText xml:space="preserve"> HYPERLINK \l "fn5" \h </w:instrText>
      </w:r>
      <w:r>
        <w:fldChar w:fldCharType="separate"/>
      </w:r>
      <w:r>
        <w:rPr>
          <w:rFonts w:ascii="inter" w:hAnsi="inter" w:eastAsia="inter" w:cs="inter"/>
          <w:color w:val="000000"/>
          <w:sz w:val="21"/>
          <w:u w:val="single"/>
          <w:vertAlign w:val="superscript"/>
        </w:rPr>
        <w:t>[5]</w:t>
      </w:r>
      <w:r>
        <w:rPr>
          <w:rFonts w:ascii="inter" w:hAnsi="inter" w:eastAsia="inter" w:cs="inter"/>
          <w:color w:val="000000"/>
          <w:sz w:val="21"/>
          <w:u w:val="single"/>
          <w:vertAlign w:val="superscript"/>
        </w:rPr>
        <w:fldChar w:fldCharType="end"/>
      </w:r>
    </w:p>
    <w:p w14:paraId="3DA943BD">
      <w:pPr>
        <w:numPr>
          <w:ilvl w:val="0"/>
          <w:numId w:val="1"/>
        </w:numPr>
        <w:spacing w:after="210" w:line="360" w:lineRule="auto"/>
      </w:pPr>
      <w:r>
        <w:rPr>
          <w:rFonts w:ascii="inter" w:hAnsi="inter" w:eastAsia="inter" w:cs="inter"/>
          <w:color w:val="000000"/>
          <w:sz w:val="21"/>
        </w:rPr>
        <w:t>艺术人才跨界融合路径</w:t>
      </w:r>
      <w:r>
        <w:rPr>
          <w:rFonts w:ascii="inter" w:hAnsi="inter" w:eastAsia="inter" w:cs="inter"/>
          <w:color w:val="000000"/>
          <w:sz w:val="21"/>
        </w:rPr>
        <w:br w:type="textWrapping"/>
      </w:r>
      <w:r>
        <w:rPr>
          <w:rFonts w:ascii="inter" w:hAnsi="inter" w:eastAsia="inter" w:cs="inter"/>
          <w:color w:val="000000"/>
          <w:sz w:val="21"/>
        </w:rPr>
        <w:t>“艺术人才跨界融合路径”是指艺术专业背景人才与科技、文旅、教育、城市治理、社会创新等其他部门的跨领域耦合发展路径，通常通过岗位角色再设计、项目制合作和平台型组织形态得以实现。 国际研究表明，这类跨界路径有助于提升艺术人才的就业弹性和创新贡献，但也可能带来艺术本体性弱化等争议。</w:t>
      </w:r>
      <w:bookmarkStart w:id="23" w:name="fnref2_2"/>
      <w:bookmarkEnd w:id="23"/>
      <w:r>
        <w:fldChar w:fldCharType="begin"/>
      </w:r>
      <w:r>
        <w:instrText xml:space="preserve"> HYPERLINK \l "fn2" \h </w:instrText>
      </w:r>
      <w:r>
        <w:fldChar w:fldCharType="separate"/>
      </w:r>
      <w:r>
        <w:rPr>
          <w:rFonts w:ascii="inter" w:hAnsi="inter" w:eastAsia="inter" w:cs="inter"/>
          <w:color w:val="000000"/>
          <w:sz w:val="21"/>
          <w:u w:val="single"/>
          <w:vertAlign w:val="superscript"/>
        </w:rPr>
        <w:t>[2]</w:t>
      </w:r>
      <w:r>
        <w:rPr>
          <w:rFonts w:ascii="inter" w:hAnsi="inter" w:eastAsia="inter" w:cs="inter"/>
          <w:color w:val="000000"/>
          <w:sz w:val="21"/>
          <w:u w:val="single"/>
          <w:vertAlign w:val="superscript"/>
        </w:rPr>
        <w:fldChar w:fldCharType="end"/>
      </w:r>
      <w:bookmarkStart w:id="24" w:name="fnref10"/>
      <w:bookmarkEnd w:id="24"/>
      <w:r>
        <w:fldChar w:fldCharType="begin"/>
      </w:r>
      <w:r>
        <w:instrText xml:space="preserve"> HYPERLINK \l "fn10" \h </w:instrText>
      </w:r>
      <w:r>
        <w:fldChar w:fldCharType="separate"/>
      </w:r>
      <w:r>
        <w:rPr>
          <w:rFonts w:ascii="inter" w:hAnsi="inter" w:eastAsia="inter" w:cs="inter"/>
          <w:color w:val="000000"/>
          <w:sz w:val="21"/>
          <w:u w:val="single"/>
          <w:vertAlign w:val="superscript"/>
        </w:rPr>
        <w:t>[10]</w:t>
      </w:r>
      <w:r>
        <w:rPr>
          <w:rFonts w:ascii="inter" w:hAnsi="inter" w:eastAsia="inter" w:cs="inter"/>
          <w:color w:val="000000"/>
          <w:sz w:val="21"/>
          <w:u w:val="single"/>
          <w:vertAlign w:val="superscript"/>
        </w:rPr>
        <w:fldChar w:fldCharType="end"/>
      </w:r>
      <w:bookmarkStart w:id="25" w:name="fnref4_5"/>
      <w:bookmarkEnd w:id="25"/>
      <w:r>
        <w:fldChar w:fldCharType="begin"/>
      </w:r>
      <w:r>
        <w:instrText xml:space="preserve"> HYPERLINK \l "fn4" \h </w:instrText>
      </w:r>
      <w:r>
        <w:fldChar w:fldCharType="separate"/>
      </w:r>
      <w:r>
        <w:rPr>
          <w:rFonts w:ascii="inter" w:hAnsi="inter" w:eastAsia="inter" w:cs="inter"/>
          <w:color w:val="000000"/>
          <w:sz w:val="21"/>
          <w:u w:val="single"/>
          <w:vertAlign w:val="superscript"/>
        </w:rPr>
        <w:t>[4]</w:t>
      </w:r>
      <w:r>
        <w:rPr>
          <w:rFonts w:ascii="inter" w:hAnsi="inter" w:eastAsia="inter" w:cs="inter"/>
          <w:color w:val="000000"/>
          <w:sz w:val="21"/>
          <w:u w:val="single"/>
          <w:vertAlign w:val="superscript"/>
        </w:rPr>
        <w:fldChar w:fldCharType="end"/>
      </w:r>
    </w:p>
    <w:p w14:paraId="68B84CC5">
      <w:pPr>
        <w:spacing w:before="315" w:after="105" w:line="360" w:lineRule="auto"/>
        <w:ind w:left="-30"/>
        <w:jc w:val="left"/>
      </w:pPr>
      <w:bookmarkStart w:id="26" w:name="三_文献述评与研究空白"/>
      <w:r>
        <w:rPr>
          <w:rFonts w:ascii="inter" w:hAnsi="inter" w:eastAsia="inter" w:cs="inter"/>
          <w:b/>
          <w:color w:val="000000"/>
          <w:sz w:val="24"/>
        </w:rPr>
        <w:t>(三) 文献述评与研究空白</w:t>
      </w:r>
      <w:bookmarkEnd w:id="26"/>
    </w:p>
    <w:p w14:paraId="7527A4DC">
      <w:pPr>
        <w:spacing w:after="210" w:line="360" w:lineRule="auto"/>
      </w:pPr>
      <w:r>
        <w:rPr>
          <w:rFonts w:ascii="inter" w:hAnsi="inter" w:eastAsia="inter" w:cs="inter"/>
          <w:color w:val="000000"/>
        </w:rPr>
        <w:t>据UNESCO、WIPO和世界银行等机构的研究，现有关于创意经济与文化产业的报告多集中于宏观贡献测算、产业分类与贸易流量分析，对微观层面的艺术人才职业路径、能力结构和社会评价机制的系统刻画相对不足。 国内研究则更多聚焦“艺术教育改革”“文艺院团体制机制创新”等议题，对艺术人才在平台经济、IP经济和乡村振兴场景中的角色定位仍有进一步细化空间。</w:t>
      </w:r>
      <w:bookmarkStart w:id="27" w:name="fnref6_2"/>
      <w:bookmarkEnd w:id="27"/>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bookmarkStart w:id="28" w:name="fnref3_2"/>
      <w:bookmarkEnd w:id="28"/>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bookmarkStart w:id="29" w:name="fnref9_1"/>
      <w:bookmarkEnd w:id="29"/>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bookmarkStart w:id="30" w:name="fnref5_3"/>
      <w:bookmarkEnd w:id="30"/>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bookmarkStart w:id="31" w:name="fnref4_6"/>
      <w:bookmarkEnd w:id="31"/>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p>
    <w:p w14:paraId="3B3B7C28">
      <w:pPr>
        <w:spacing w:after="210" w:line="360" w:lineRule="auto"/>
      </w:pPr>
      <w:r>
        <w:rPr>
          <w:rFonts w:ascii="inter" w:hAnsi="inter" w:eastAsia="inter" w:cs="inter"/>
          <w:color w:val="000000"/>
        </w:rPr>
        <w:t>值得注意的是，现有关于“艺术+科技”“艺术+旅游”“艺术+乡村治理”等方向的研究，往往强调成功案例与模式创新，对不同类型艺术人才在不同区域和不同发展阶段的适用条件研究仍显不足。 本报告在一定程度上尝试通过“职业路径矩阵”“评价传导流程图”等工具化方式弥补上述空白，为政策制定提供更具操作性的分析框架。</w:t>
      </w:r>
      <w:bookmarkStart w:id="32" w:name="fnref4_7"/>
      <w:bookmarkEnd w:id="32"/>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p>
    <w:p w14:paraId="4381FAC2">
      <w:pPr>
        <w:spacing w:before="315" w:after="105" w:line="360" w:lineRule="auto"/>
        <w:ind w:left="-30"/>
        <w:jc w:val="left"/>
      </w:pPr>
      <w:bookmarkStart w:id="33" w:name="三_多维分析_艺术人才多元化发展逻辑"/>
      <w:r>
        <w:rPr>
          <w:rFonts w:ascii="inter" w:hAnsi="inter" w:eastAsia="inter" w:cs="inter"/>
          <w:b/>
          <w:color w:val="000000"/>
          <w:sz w:val="24"/>
        </w:rPr>
        <w:t>三、多维分析：艺术人才多元化发展逻辑</w:t>
      </w:r>
      <w:bookmarkEnd w:id="33"/>
    </w:p>
    <w:p w14:paraId="3549E0EE">
      <w:pPr>
        <w:spacing w:before="315" w:after="105" w:line="360" w:lineRule="auto"/>
        <w:ind w:left="-30"/>
        <w:jc w:val="left"/>
      </w:pPr>
      <w:bookmarkStart w:id="34" w:name="一_艺术生跨界融合路径的类型化分析"/>
      <w:r>
        <w:rPr>
          <w:rFonts w:ascii="inter" w:hAnsi="inter" w:eastAsia="inter" w:cs="inter"/>
          <w:b/>
          <w:color w:val="000000"/>
          <w:sz w:val="24"/>
        </w:rPr>
        <w:t>(一) 艺术生跨界融合路径的类型化分析</w:t>
      </w:r>
      <w:bookmarkEnd w:id="34"/>
    </w:p>
    <w:p w14:paraId="6E8162EF">
      <w:pPr>
        <w:spacing w:before="315" w:after="105" w:line="360" w:lineRule="auto"/>
        <w:ind w:left="-30"/>
        <w:jc w:val="left"/>
      </w:pPr>
      <w:bookmarkStart w:id="35" w:name="bm_1_艺术生多元化职业路径矩阵"/>
      <w:r>
        <w:rPr>
          <w:rFonts w:ascii="inter" w:hAnsi="inter" w:eastAsia="inter" w:cs="inter"/>
          <w:b/>
          <w:color w:val="000000"/>
          <w:sz w:val="24"/>
        </w:rPr>
        <w:t>1. 艺术生多元化职业路径矩阵</w:t>
      </w:r>
      <w:bookmarkEnd w:id="35"/>
    </w:p>
    <w:p w14:paraId="61748DFF">
      <w:pPr>
        <w:spacing w:after="210" w:line="360" w:lineRule="auto"/>
      </w:pPr>
      <w:r>
        <w:rPr>
          <w:rFonts w:ascii="inter" w:hAnsi="inter" w:eastAsia="inter" w:cs="inter"/>
          <w:color w:val="000000"/>
        </w:rPr>
        <w:t>根据UNESCO与世界银行关于文化和创意产业岗位结构的相关研究，可将艺术生多元化就业路径在“领域融合度”(艺术要素与他领域融合深度)与“技能需求复杂度”两个维度上进行分类。 在此基础上构建“表1：艺术生多元化职业路径矩阵”，以便主管部门按类型配置教育资源与政策工具。</w:t>
      </w:r>
      <w:bookmarkStart w:id="36" w:name="fnref10_1"/>
      <w:bookmarkEnd w:id="36"/>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bookmarkStart w:id="37" w:name="fnref3_3"/>
      <w:bookmarkEnd w:id="37"/>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bookmarkStart w:id="38" w:name="fnref4_8"/>
      <w:bookmarkEnd w:id="38"/>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p>
    <w:p w14:paraId="1E720340">
      <w:pPr>
        <w:spacing w:after="210" w:line="360" w:lineRule="auto"/>
      </w:pPr>
      <w:r>
        <w:rPr>
          <w:rFonts w:ascii="inter" w:hAnsi="inter" w:eastAsia="inter" w:cs="inter"/>
          <w:b/>
          <w:color w:val="000000"/>
        </w:rPr>
        <w:t>表1：艺术生多元化职业路径矩阵（按领域融合度与技能需求划分）</w:t>
      </w:r>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634"/>
        <w:gridCol w:w="1556"/>
        <w:gridCol w:w="2363"/>
        <w:gridCol w:w="2289"/>
        <w:gridCol w:w="1998"/>
      </w:tblGrid>
      <w:tr w14:paraId="7BC76C6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B545458">
            <w:pPr>
              <w:spacing w:after="0" w:line="360" w:lineRule="auto"/>
            </w:pPr>
            <w:r>
              <w:rPr>
                <w:rFonts w:ascii="inter" w:hAnsi="inter" w:eastAsia="inter" w:cs="inter"/>
                <w:color w:val="000000"/>
                <w:sz w:val="17"/>
              </w:rPr>
              <w:t>路径类型</w:t>
            </w:r>
          </w:p>
        </w:tc>
        <w:tc>
          <w:tcPr>
            <w:tcBorders>
              <w:top w:val="single" w:color="000000" w:sz="0" w:space="0"/>
              <w:bottom w:val="single" w:color="000000" w:sz="0" w:space="0"/>
              <w:right w:val="single" w:color="000000" w:sz="0" w:space="0"/>
            </w:tcBorders>
          </w:tcPr>
          <w:p w14:paraId="41B6E7EA">
            <w:pPr>
              <w:spacing w:after="0" w:line="360" w:lineRule="auto"/>
            </w:pPr>
            <w:r>
              <w:rPr>
                <w:rFonts w:ascii="inter" w:hAnsi="inter" w:eastAsia="inter" w:cs="inter"/>
                <w:color w:val="000000"/>
                <w:sz w:val="17"/>
              </w:rPr>
              <w:t>领域融合度(艺术×他领域)</w:t>
            </w:r>
          </w:p>
        </w:tc>
        <w:tc>
          <w:tcPr>
            <w:tcBorders>
              <w:top w:val="single" w:color="000000" w:sz="0" w:space="0"/>
              <w:bottom w:val="single" w:color="000000" w:sz="0" w:space="0"/>
              <w:right w:val="single" w:color="000000" w:sz="0" w:space="0"/>
            </w:tcBorders>
          </w:tcPr>
          <w:p w14:paraId="422CDB96">
            <w:pPr>
              <w:spacing w:after="0" w:line="360" w:lineRule="auto"/>
            </w:pPr>
            <w:r>
              <w:rPr>
                <w:rFonts w:ascii="inter" w:hAnsi="inter" w:eastAsia="inter" w:cs="inter"/>
                <w:color w:val="000000"/>
                <w:sz w:val="17"/>
              </w:rPr>
              <w:t>典型岗位举例</w:t>
            </w:r>
          </w:p>
        </w:tc>
        <w:tc>
          <w:tcPr>
            <w:tcBorders>
              <w:top w:val="single" w:color="000000" w:sz="0" w:space="0"/>
              <w:bottom w:val="single" w:color="000000" w:sz="0" w:space="0"/>
              <w:right w:val="single" w:color="000000" w:sz="0" w:space="0"/>
            </w:tcBorders>
          </w:tcPr>
          <w:p w14:paraId="6196A91E">
            <w:pPr>
              <w:spacing w:after="0" w:line="360" w:lineRule="auto"/>
            </w:pPr>
            <w:r>
              <w:rPr>
                <w:rFonts w:ascii="inter" w:hAnsi="inter" w:eastAsia="inter" w:cs="inter"/>
                <w:color w:val="000000"/>
                <w:sz w:val="17"/>
              </w:rPr>
              <w:t>核心能力要求</w:t>
            </w:r>
          </w:p>
        </w:tc>
        <w:tc>
          <w:tcPr>
            <w:tcBorders>
              <w:top w:val="single" w:color="000000" w:sz="0" w:space="0"/>
              <w:bottom w:val="single" w:color="000000" w:sz="0" w:space="0"/>
            </w:tcBorders>
          </w:tcPr>
          <w:p w14:paraId="2EC787F6">
            <w:pPr>
              <w:spacing w:after="0" w:line="360" w:lineRule="auto"/>
            </w:pPr>
            <w:r>
              <w:rPr>
                <w:rFonts w:ascii="inter" w:hAnsi="inter" w:eastAsia="inter" w:cs="inter"/>
                <w:color w:val="000000"/>
                <w:sz w:val="17"/>
              </w:rPr>
              <w:t>适用艺术人才特征</w:t>
            </w:r>
          </w:p>
        </w:tc>
      </w:tr>
      <w:tr w14:paraId="7F3AEFB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736D966">
            <w:pPr>
              <w:spacing w:after="0" w:line="360" w:lineRule="auto"/>
            </w:pPr>
            <w:r>
              <w:rPr>
                <w:rFonts w:ascii="inter" w:hAnsi="inter" w:eastAsia="inter" w:cs="inter"/>
                <w:color w:val="000000"/>
                <w:sz w:val="17"/>
              </w:rPr>
              <w:t>纯艺术创作与表演路径</w:t>
            </w:r>
          </w:p>
        </w:tc>
        <w:tc>
          <w:tcPr>
            <w:tcBorders>
              <w:top w:val="single" w:color="000000" w:sz="0" w:space="0"/>
              <w:bottom w:val="single" w:color="000000" w:sz="0" w:space="0"/>
              <w:right w:val="single" w:color="000000" w:sz="0" w:space="0"/>
            </w:tcBorders>
          </w:tcPr>
          <w:p w14:paraId="4BFA0050">
            <w:pPr>
              <w:spacing w:after="0" w:line="360" w:lineRule="auto"/>
            </w:pPr>
            <w:r>
              <w:rPr>
                <w:rFonts w:ascii="inter" w:hAnsi="inter" w:eastAsia="inter" w:cs="inter"/>
                <w:color w:val="000000"/>
                <w:sz w:val="17"/>
              </w:rPr>
              <w:t>低至中(以艺术本体为主)</w:t>
            </w:r>
            <w:r>
              <w:fldChar w:fldCharType="begin"/>
            </w:r>
            <w:r>
              <w:instrText xml:space="preserve"> HYPERLINK \l "fn3" \h </w:instrText>
            </w:r>
            <w:r>
              <w:fldChar w:fldCharType="separate"/>
            </w:r>
            <w:r>
              <w:rPr>
                <w:rFonts w:ascii="inter" w:hAnsi="inter" w:eastAsia="inter" w:cs="inter"/>
                <w:color w:val="000000"/>
                <w:sz w:val="17"/>
                <w:u w:val="single"/>
                <w:vertAlign w:val="superscript"/>
              </w:rPr>
              <w:t>[3]</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right w:val="single" w:color="000000" w:sz="0" w:space="0"/>
            </w:tcBorders>
          </w:tcPr>
          <w:p w14:paraId="75DFF1BE">
            <w:pPr>
              <w:spacing w:after="0" w:line="360" w:lineRule="auto"/>
            </w:pPr>
            <w:r>
              <w:rPr>
                <w:rFonts w:ascii="inter" w:hAnsi="inter" w:eastAsia="inter" w:cs="inter"/>
                <w:color w:val="000000"/>
                <w:sz w:val="17"/>
              </w:rPr>
              <w:t>职业演奏家、编剧、独立导演、画家、舞蹈家</w:t>
            </w:r>
          </w:p>
        </w:tc>
        <w:tc>
          <w:tcPr>
            <w:tcBorders>
              <w:top w:val="single" w:color="000000" w:sz="0" w:space="0"/>
              <w:bottom w:val="single" w:color="000000" w:sz="0" w:space="0"/>
              <w:right w:val="single" w:color="000000" w:sz="0" w:space="0"/>
            </w:tcBorders>
          </w:tcPr>
          <w:p w14:paraId="4080BAAD">
            <w:pPr>
              <w:spacing w:after="0" w:line="360" w:lineRule="auto"/>
            </w:pPr>
            <w:r>
              <w:rPr>
                <w:rFonts w:ascii="inter" w:hAnsi="inter" w:eastAsia="inter" w:cs="inter"/>
                <w:color w:val="000000"/>
                <w:sz w:val="17"/>
              </w:rPr>
              <w:t>高水平专业技艺、审美判断、作品生产与项目制协作</w:t>
            </w:r>
            <w:r>
              <w:fldChar w:fldCharType="begin"/>
            </w:r>
            <w:r>
              <w:instrText xml:space="preserve"> HYPERLINK \l "fn3" \h </w:instrText>
            </w:r>
            <w:r>
              <w:fldChar w:fldCharType="separate"/>
            </w:r>
            <w:r>
              <w:rPr>
                <w:rFonts w:ascii="inter" w:hAnsi="inter" w:eastAsia="inter" w:cs="inter"/>
                <w:color w:val="000000"/>
                <w:sz w:val="17"/>
                <w:u w:val="single"/>
                <w:vertAlign w:val="superscript"/>
              </w:rPr>
              <w:t>[3]</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tcBorders>
          </w:tcPr>
          <w:p w14:paraId="3FC10D99">
            <w:pPr>
              <w:spacing w:after="0" w:line="360" w:lineRule="auto"/>
            </w:pPr>
            <w:r>
              <w:rPr>
                <w:rFonts w:ascii="inter" w:hAnsi="inter" w:eastAsia="inter" w:cs="inter"/>
                <w:color w:val="000000"/>
                <w:sz w:val="17"/>
              </w:rPr>
              <w:t>专业水平突出、艺术本体认同度高</w:t>
            </w:r>
          </w:p>
        </w:tc>
      </w:tr>
      <w:tr w14:paraId="4737162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12F7B9CB">
            <w:pPr>
              <w:spacing w:after="0" w:line="360" w:lineRule="auto"/>
            </w:pPr>
            <w:r>
              <w:rPr>
                <w:rFonts w:ascii="inter" w:hAnsi="inter" w:eastAsia="inter" w:cs="inter"/>
                <w:color w:val="000000"/>
                <w:sz w:val="17"/>
              </w:rPr>
              <w:t>艺术+数字内容与平台经济路径</w:t>
            </w:r>
          </w:p>
        </w:tc>
        <w:tc>
          <w:tcPr>
            <w:tcBorders>
              <w:top w:val="single" w:color="000000" w:sz="0" w:space="0"/>
              <w:bottom w:val="single" w:color="000000" w:sz="0" w:space="0"/>
              <w:right w:val="single" w:color="000000" w:sz="0" w:space="0"/>
            </w:tcBorders>
          </w:tcPr>
          <w:p w14:paraId="790395D6">
            <w:pPr>
              <w:spacing w:after="0" w:line="360" w:lineRule="auto"/>
            </w:pPr>
            <w:r>
              <w:rPr>
                <w:rFonts w:ascii="inter" w:hAnsi="inter" w:eastAsia="inter" w:cs="inter"/>
                <w:color w:val="000000"/>
                <w:sz w:val="17"/>
              </w:rPr>
              <w:t>中至高(与数字媒体深度融合)</w:t>
            </w:r>
            <w:r>
              <w:fldChar w:fldCharType="begin"/>
            </w:r>
            <w:r>
              <w:instrText xml:space="preserve"> HYPERLINK \l "fn7" \h </w:instrText>
            </w:r>
            <w:r>
              <w:fldChar w:fldCharType="separate"/>
            </w:r>
            <w:r>
              <w:rPr>
                <w:rFonts w:ascii="inter" w:hAnsi="inter" w:eastAsia="inter" w:cs="inter"/>
                <w:color w:val="000000"/>
                <w:sz w:val="17"/>
                <w:u w:val="single"/>
                <w:vertAlign w:val="superscript"/>
              </w:rPr>
              <w:t>[7]</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right w:val="single" w:color="000000" w:sz="0" w:space="0"/>
            </w:tcBorders>
          </w:tcPr>
          <w:p w14:paraId="689E745E">
            <w:pPr>
              <w:spacing w:after="0" w:line="360" w:lineRule="auto"/>
            </w:pPr>
            <w:r>
              <w:rPr>
                <w:rFonts w:ascii="inter" w:hAnsi="inter" w:eastAsia="inter" w:cs="inter"/>
                <w:color w:val="000000"/>
                <w:sz w:val="17"/>
              </w:rPr>
              <w:t>短视频内容创作者、数字艺术策展、视觉内容运营</w:t>
            </w:r>
          </w:p>
        </w:tc>
        <w:tc>
          <w:tcPr>
            <w:tcBorders>
              <w:top w:val="single" w:color="000000" w:sz="0" w:space="0"/>
              <w:bottom w:val="single" w:color="000000" w:sz="0" w:space="0"/>
              <w:right w:val="single" w:color="000000" w:sz="0" w:space="0"/>
            </w:tcBorders>
          </w:tcPr>
          <w:p w14:paraId="274DDACD">
            <w:pPr>
              <w:spacing w:after="0" w:line="360" w:lineRule="auto"/>
            </w:pPr>
            <w:r>
              <w:rPr>
                <w:rFonts w:ascii="inter" w:hAnsi="inter" w:eastAsia="inter" w:cs="inter"/>
                <w:color w:val="000000"/>
                <w:sz w:val="17"/>
              </w:rPr>
              <w:t>数字工具运用、平台规则理解、基本数据分析能力</w:t>
            </w:r>
            <w:r>
              <w:fldChar w:fldCharType="begin"/>
            </w:r>
            <w:r>
              <w:instrText xml:space="preserve"> HYPERLINK \l "fn7" \h </w:instrText>
            </w:r>
            <w:r>
              <w:fldChar w:fldCharType="separate"/>
            </w:r>
            <w:r>
              <w:rPr>
                <w:rFonts w:ascii="inter" w:hAnsi="inter" w:eastAsia="inter" w:cs="inter"/>
                <w:color w:val="000000"/>
                <w:sz w:val="17"/>
                <w:u w:val="single"/>
                <w:vertAlign w:val="superscript"/>
              </w:rPr>
              <w:t>[7]</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tcBorders>
          </w:tcPr>
          <w:p w14:paraId="48E104C7">
            <w:pPr>
              <w:spacing w:after="0" w:line="360" w:lineRule="auto"/>
            </w:pPr>
            <w:r>
              <w:rPr>
                <w:rFonts w:ascii="inter" w:hAnsi="inter" w:eastAsia="inter" w:cs="inter"/>
                <w:color w:val="000000"/>
                <w:sz w:val="17"/>
              </w:rPr>
              <w:t>适应平台经济、表达风格多元</w:t>
            </w:r>
          </w:p>
        </w:tc>
      </w:tr>
      <w:tr w14:paraId="5DD57EC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0F4BA0DF">
            <w:pPr>
              <w:spacing w:after="0" w:line="360" w:lineRule="auto"/>
            </w:pPr>
            <w:r>
              <w:rPr>
                <w:rFonts w:ascii="inter" w:hAnsi="inter" w:eastAsia="inter" w:cs="inter"/>
                <w:color w:val="000000"/>
                <w:sz w:val="17"/>
              </w:rPr>
              <w:t>艺术+科技(Art-Tech)创新路径</w:t>
            </w:r>
          </w:p>
        </w:tc>
        <w:tc>
          <w:tcPr>
            <w:tcBorders>
              <w:top w:val="single" w:color="000000" w:sz="0" w:space="0"/>
              <w:bottom w:val="single" w:color="000000" w:sz="0" w:space="0"/>
              <w:right w:val="single" w:color="000000" w:sz="0" w:space="0"/>
            </w:tcBorders>
          </w:tcPr>
          <w:p w14:paraId="7E21717B">
            <w:pPr>
              <w:spacing w:after="0" w:line="360" w:lineRule="auto"/>
            </w:pPr>
            <w:r>
              <w:rPr>
                <w:rFonts w:ascii="inter" w:hAnsi="inter" w:eastAsia="inter" w:cs="inter"/>
                <w:color w:val="000000"/>
                <w:sz w:val="17"/>
              </w:rPr>
              <w:t>高(与科技深度协同)</w:t>
            </w:r>
            <w:r>
              <w:fldChar w:fldCharType="begin"/>
            </w:r>
            <w:r>
              <w:instrText xml:space="preserve"> HYPERLINK \l "fn4" \h </w:instrText>
            </w:r>
            <w:r>
              <w:fldChar w:fldCharType="separate"/>
            </w:r>
            <w:r>
              <w:rPr>
                <w:rFonts w:ascii="inter" w:hAnsi="inter" w:eastAsia="inter" w:cs="inter"/>
                <w:color w:val="000000"/>
                <w:sz w:val="17"/>
                <w:u w:val="single"/>
                <w:vertAlign w:val="superscript"/>
              </w:rPr>
              <w:t>[4]</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right w:val="single" w:color="000000" w:sz="0" w:space="0"/>
            </w:tcBorders>
          </w:tcPr>
          <w:p w14:paraId="3B95C083">
            <w:pPr>
              <w:spacing w:after="0" w:line="360" w:lineRule="auto"/>
            </w:pPr>
            <w:r>
              <w:rPr>
                <w:rFonts w:ascii="inter" w:hAnsi="inter" w:eastAsia="inter" w:cs="inter"/>
                <w:color w:val="000000"/>
                <w:sz w:val="17"/>
              </w:rPr>
              <w:t>交互艺术设计、沉浸式体验创意总监、游戏美术总监</w:t>
            </w:r>
          </w:p>
        </w:tc>
        <w:tc>
          <w:tcPr>
            <w:tcBorders>
              <w:top w:val="single" w:color="000000" w:sz="0" w:space="0"/>
              <w:bottom w:val="single" w:color="000000" w:sz="0" w:space="0"/>
              <w:right w:val="single" w:color="000000" w:sz="0" w:space="0"/>
            </w:tcBorders>
          </w:tcPr>
          <w:p w14:paraId="6AF6CED8">
            <w:pPr>
              <w:spacing w:after="0" w:line="360" w:lineRule="auto"/>
            </w:pPr>
            <w:r>
              <w:rPr>
                <w:rFonts w:ascii="inter" w:hAnsi="inter" w:eastAsia="inter" w:cs="inter"/>
                <w:color w:val="000000"/>
                <w:sz w:val="17"/>
              </w:rPr>
              <w:t>跨学科思维、人机交互理解、项目管理与技术沟通</w:t>
            </w:r>
            <w:r>
              <w:fldChar w:fldCharType="begin"/>
            </w:r>
            <w:r>
              <w:instrText xml:space="preserve"> HYPERLINK \l "fn4" \h </w:instrText>
            </w:r>
            <w:r>
              <w:fldChar w:fldCharType="separate"/>
            </w:r>
            <w:r>
              <w:rPr>
                <w:rFonts w:ascii="inter" w:hAnsi="inter" w:eastAsia="inter" w:cs="inter"/>
                <w:color w:val="000000"/>
                <w:sz w:val="17"/>
                <w:u w:val="single"/>
                <w:vertAlign w:val="superscript"/>
              </w:rPr>
              <w:t>[4]</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tcBorders>
          </w:tcPr>
          <w:p w14:paraId="2805C6CD">
            <w:pPr>
              <w:spacing w:after="0" w:line="360" w:lineRule="auto"/>
            </w:pPr>
            <w:r>
              <w:rPr>
                <w:rFonts w:ascii="inter" w:hAnsi="inter" w:eastAsia="inter" w:cs="inter"/>
                <w:color w:val="000000"/>
                <w:sz w:val="17"/>
              </w:rPr>
              <w:t>对技术感兴趣、具备学习新工具的意愿</w:t>
            </w:r>
          </w:p>
        </w:tc>
      </w:tr>
      <w:tr w14:paraId="3CBD8C5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11689A36">
            <w:pPr>
              <w:spacing w:after="0" w:line="360" w:lineRule="auto"/>
            </w:pPr>
            <w:r>
              <w:rPr>
                <w:rFonts w:ascii="inter" w:hAnsi="inter" w:eastAsia="inter" w:cs="inter"/>
                <w:color w:val="000000"/>
                <w:sz w:val="17"/>
              </w:rPr>
              <w:t>艺术+文旅与城市更新路径</w:t>
            </w:r>
          </w:p>
        </w:tc>
        <w:tc>
          <w:tcPr>
            <w:tcBorders>
              <w:top w:val="single" w:color="000000" w:sz="0" w:space="0"/>
              <w:bottom w:val="single" w:color="000000" w:sz="0" w:space="0"/>
              <w:right w:val="single" w:color="000000" w:sz="0" w:space="0"/>
            </w:tcBorders>
          </w:tcPr>
          <w:p w14:paraId="15D72A96">
            <w:pPr>
              <w:spacing w:after="0" w:line="360" w:lineRule="auto"/>
            </w:pPr>
            <w:r>
              <w:rPr>
                <w:rFonts w:ascii="inter" w:hAnsi="inter" w:eastAsia="inter" w:cs="inter"/>
                <w:color w:val="000000"/>
                <w:sz w:val="17"/>
              </w:rPr>
              <w:t>中至高(与文旅与空间治理融合)</w:t>
            </w:r>
            <w:r>
              <w:fldChar w:fldCharType="begin"/>
            </w:r>
            <w:r>
              <w:instrText xml:space="preserve"> HYPERLINK \l "fn4" \h </w:instrText>
            </w:r>
            <w:r>
              <w:fldChar w:fldCharType="separate"/>
            </w:r>
            <w:r>
              <w:rPr>
                <w:rFonts w:ascii="inter" w:hAnsi="inter" w:eastAsia="inter" w:cs="inter"/>
                <w:color w:val="000000"/>
                <w:sz w:val="17"/>
                <w:u w:val="single"/>
                <w:vertAlign w:val="superscript"/>
              </w:rPr>
              <w:t>[4]</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right w:val="single" w:color="000000" w:sz="0" w:space="0"/>
            </w:tcBorders>
          </w:tcPr>
          <w:p w14:paraId="7BA1C2EA">
            <w:pPr>
              <w:spacing w:after="0" w:line="360" w:lineRule="auto"/>
            </w:pPr>
            <w:r>
              <w:rPr>
                <w:rFonts w:ascii="inter" w:hAnsi="inter" w:eastAsia="inter" w:cs="inter"/>
                <w:color w:val="000000"/>
                <w:sz w:val="17"/>
              </w:rPr>
              <w:t>文旅演艺策划、城市IP设计、公共艺术与城市更新顾问</w:t>
            </w:r>
          </w:p>
        </w:tc>
        <w:tc>
          <w:tcPr>
            <w:tcBorders>
              <w:top w:val="single" w:color="000000" w:sz="0" w:space="0"/>
              <w:bottom w:val="single" w:color="000000" w:sz="0" w:space="0"/>
              <w:right w:val="single" w:color="000000" w:sz="0" w:space="0"/>
            </w:tcBorders>
          </w:tcPr>
          <w:p w14:paraId="009E15F5">
            <w:pPr>
              <w:spacing w:after="0" w:line="360" w:lineRule="auto"/>
            </w:pPr>
            <w:r>
              <w:rPr>
                <w:rFonts w:ascii="inter" w:hAnsi="inter" w:eastAsia="inter" w:cs="inter"/>
                <w:color w:val="000000"/>
                <w:sz w:val="17"/>
              </w:rPr>
              <w:t>场景化叙事、空间审美、跨部门协调沟通能力</w:t>
            </w:r>
            <w:r>
              <w:fldChar w:fldCharType="begin"/>
            </w:r>
            <w:r>
              <w:instrText xml:space="preserve"> HYPERLINK \l "fn4" \h </w:instrText>
            </w:r>
            <w:r>
              <w:fldChar w:fldCharType="separate"/>
            </w:r>
            <w:r>
              <w:rPr>
                <w:rFonts w:ascii="inter" w:hAnsi="inter" w:eastAsia="inter" w:cs="inter"/>
                <w:color w:val="000000"/>
                <w:sz w:val="17"/>
                <w:u w:val="single"/>
                <w:vertAlign w:val="superscript"/>
              </w:rPr>
              <w:t>[4]</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tcBorders>
          </w:tcPr>
          <w:p w14:paraId="19F40FD4">
            <w:pPr>
              <w:spacing w:after="0" w:line="360" w:lineRule="auto"/>
            </w:pPr>
            <w:r>
              <w:rPr>
                <w:rFonts w:ascii="inter" w:hAnsi="inter" w:eastAsia="inter" w:cs="inter"/>
                <w:color w:val="000000"/>
                <w:sz w:val="17"/>
              </w:rPr>
              <w:t>适合项目制协作、注重社会效益</w:t>
            </w:r>
          </w:p>
        </w:tc>
      </w:tr>
      <w:tr w14:paraId="5AEC88A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5E61050D">
            <w:pPr>
              <w:spacing w:after="0" w:line="360" w:lineRule="auto"/>
            </w:pPr>
            <w:r>
              <w:rPr>
                <w:rFonts w:ascii="inter" w:hAnsi="inter" w:eastAsia="inter" w:cs="inter"/>
                <w:color w:val="000000"/>
                <w:sz w:val="17"/>
              </w:rPr>
              <w:t>艺术+教育培训与社会服务路径</w:t>
            </w:r>
          </w:p>
        </w:tc>
        <w:tc>
          <w:tcPr>
            <w:tcBorders>
              <w:top w:val="single" w:color="000000" w:sz="0" w:space="0"/>
              <w:bottom w:val="single" w:color="000000" w:sz="0" w:space="0"/>
              <w:right w:val="single" w:color="000000" w:sz="0" w:space="0"/>
            </w:tcBorders>
          </w:tcPr>
          <w:p w14:paraId="0BE54146">
            <w:pPr>
              <w:spacing w:after="0" w:line="360" w:lineRule="auto"/>
            </w:pPr>
            <w:r>
              <w:rPr>
                <w:rFonts w:ascii="inter" w:hAnsi="inter" w:eastAsia="inter" w:cs="inter"/>
                <w:color w:val="000000"/>
                <w:sz w:val="17"/>
              </w:rPr>
              <w:t>中(与教育与社工融合)</w:t>
            </w:r>
            <w:r>
              <w:fldChar w:fldCharType="begin"/>
            </w:r>
            <w:r>
              <w:instrText xml:space="preserve"> HYPERLINK \l "fn10" \h </w:instrText>
            </w:r>
            <w:r>
              <w:fldChar w:fldCharType="separate"/>
            </w:r>
            <w:r>
              <w:rPr>
                <w:rFonts w:ascii="inter" w:hAnsi="inter" w:eastAsia="inter" w:cs="inter"/>
                <w:color w:val="000000"/>
                <w:sz w:val="17"/>
                <w:u w:val="single"/>
                <w:vertAlign w:val="superscript"/>
              </w:rPr>
              <w:t>[10]</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right w:val="single" w:color="000000" w:sz="0" w:space="0"/>
            </w:tcBorders>
          </w:tcPr>
          <w:p w14:paraId="4AF198CA">
            <w:pPr>
              <w:spacing w:after="0" w:line="360" w:lineRule="auto"/>
            </w:pPr>
            <w:r>
              <w:rPr>
                <w:rFonts w:ascii="inter" w:hAnsi="inter" w:eastAsia="inter" w:cs="inter"/>
                <w:color w:val="000000"/>
                <w:sz w:val="17"/>
              </w:rPr>
              <w:t>艺术教育培训师、社区艺术工作者、博物馆公共教育策划</w:t>
            </w:r>
          </w:p>
        </w:tc>
        <w:tc>
          <w:tcPr>
            <w:tcBorders>
              <w:top w:val="single" w:color="000000" w:sz="0" w:space="0"/>
              <w:bottom w:val="single" w:color="000000" w:sz="0" w:space="0"/>
              <w:right w:val="single" w:color="000000" w:sz="0" w:space="0"/>
            </w:tcBorders>
          </w:tcPr>
          <w:p w14:paraId="22D85F8E">
            <w:pPr>
              <w:spacing w:after="0" w:line="360" w:lineRule="auto"/>
            </w:pPr>
            <w:r>
              <w:rPr>
                <w:rFonts w:ascii="inter" w:hAnsi="inter" w:eastAsia="inter" w:cs="inter"/>
                <w:color w:val="000000"/>
                <w:sz w:val="17"/>
              </w:rPr>
              <w:t>教学设计、公共表达、社会沟通与组织能力</w:t>
            </w:r>
            <w:r>
              <w:fldChar w:fldCharType="begin"/>
            </w:r>
            <w:r>
              <w:instrText xml:space="preserve"> HYPERLINK \l "fn10" \h </w:instrText>
            </w:r>
            <w:r>
              <w:fldChar w:fldCharType="separate"/>
            </w:r>
            <w:r>
              <w:rPr>
                <w:rFonts w:ascii="inter" w:hAnsi="inter" w:eastAsia="inter" w:cs="inter"/>
                <w:color w:val="000000"/>
                <w:sz w:val="17"/>
                <w:u w:val="single"/>
                <w:vertAlign w:val="superscript"/>
              </w:rPr>
              <w:t>[10]</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tcBorders>
          </w:tcPr>
          <w:p w14:paraId="355ABA84">
            <w:pPr>
              <w:spacing w:after="0" w:line="360" w:lineRule="auto"/>
            </w:pPr>
            <w:r>
              <w:rPr>
                <w:rFonts w:ascii="inter" w:hAnsi="inter" w:eastAsia="inter" w:cs="inter"/>
                <w:color w:val="000000"/>
                <w:sz w:val="17"/>
              </w:rPr>
              <w:t>具备耐心与沟通力，愿意深耕社区与教育场景</w:t>
            </w:r>
          </w:p>
        </w:tc>
      </w:tr>
      <w:tr w14:paraId="3B45776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1E93449">
            <w:pPr>
              <w:spacing w:after="0" w:line="360" w:lineRule="auto"/>
            </w:pPr>
            <w:r>
              <w:rPr>
                <w:rFonts w:ascii="inter" w:hAnsi="inter" w:eastAsia="inter" w:cs="inter"/>
                <w:color w:val="000000"/>
                <w:sz w:val="17"/>
              </w:rPr>
              <w:t>艺术+品牌与创意产业管理路径</w:t>
            </w:r>
          </w:p>
        </w:tc>
        <w:tc>
          <w:tcPr>
            <w:tcBorders>
              <w:top w:val="single" w:color="000000" w:sz="0" w:space="0"/>
              <w:bottom w:val="single" w:color="000000" w:sz="0" w:space="0"/>
              <w:right w:val="single" w:color="000000" w:sz="0" w:space="0"/>
            </w:tcBorders>
          </w:tcPr>
          <w:p w14:paraId="41C5E31A">
            <w:pPr>
              <w:spacing w:after="0" w:line="360" w:lineRule="auto"/>
            </w:pPr>
            <w:r>
              <w:rPr>
                <w:rFonts w:ascii="inter" w:hAnsi="inter" w:eastAsia="inter" w:cs="inter"/>
                <w:color w:val="000000"/>
                <w:sz w:val="17"/>
              </w:rPr>
              <w:t>中至高(与商业品牌与管理融合)</w:t>
            </w:r>
            <w:r>
              <w:fldChar w:fldCharType="begin"/>
            </w:r>
            <w:r>
              <w:instrText xml:space="preserve"> HYPERLINK \l "fn4" \h </w:instrText>
            </w:r>
            <w:r>
              <w:fldChar w:fldCharType="separate"/>
            </w:r>
            <w:r>
              <w:rPr>
                <w:rFonts w:ascii="inter" w:hAnsi="inter" w:eastAsia="inter" w:cs="inter"/>
                <w:color w:val="000000"/>
                <w:sz w:val="17"/>
                <w:u w:val="single"/>
                <w:vertAlign w:val="superscript"/>
              </w:rPr>
              <w:t>[4]</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right w:val="single" w:color="000000" w:sz="0" w:space="0"/>
            </w:tcBorders>
          </w:tcPr>
          <w:p w14:paraId="02E2FAAA">
            <w:pPr>
              <w:spacing w:after="0" w:line="360" w:lineRule="auto"/>
            </w:pPr>
            <w:r>
              <w:rPr>
                <w:rFonts w:ascii="inter" w:hAnsi="inter" w:eastAsia="inter" w:cs="inter"/>
                <w:color w:val="000000"/>
                <w:sz w:val="17"/>
              </w:rPr>
              <w:t>品牌视觉总监、文化IP运营经理、创意产业项目经理</w:t>
            </w:r>
          </w:p>
        </w:tc>
        <w:tc>
          <w:tcPr>
            <w:tcBorders>
              <w:top w:val="single" w:color="000000" w:sz="0" w:space="0"/>
              <w:bottom w:val="single" w:color="000000" w:sz="0" w:space="0"/>
              <w:right w:val="single" w:color="000000" w:sz="0" w:space="0"/>
            </w:tcBorders>
          </w:tcPr>
          <w:p w14:paraId="1ED1623B">
            <w:pPr>
              <w:spacing w:after="0" w:line="360" w:lineRule="auto"/>
            </w:pPr>
            <w:r>
              <w:rPr>
                <w:rFonts w:ascii="inter" w:hAnsi="inter" w:eastAsia="inter" w:cs="inter"/>
                <w:color w:val="000000"/>
                <w:sz w:val="17"/>
              </w:rPr>
              <w:t>品牌策略、市场理解、版权与商业合同意识</w:t>
            </w:r>
            <w:r>
              <w:fldChar w:fldCharType="begin"/>
            </w:r>
            <w:r>
              <w:instrText xml:space="preserve"> HYPERLINK \l "fn5" \h </w:instrText>
            </w:r>
            <w:r>
              <w:fldChar w:fldCharType="separate"/>
            </w:r>
            <w:r>
              <w:rPr>
                <w:rFonts w:ascii="inter" w:hAnsi="inter" w:eastAsia="inter" w:cs="inter"/>
                <w:color w:val="000000"/>
                <w:sz w:val="17"/>
                <w:u w:val="single"/>
                <w:vertAlign w:val="superscript"/>
              </w:rPr>
              <w:t>[5]</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tcBorders>
          </w:tcPr>
          <w:p w14:paraId="193399A9">
            <w:pPr>
              <w:spacing w:after="0" w:line="360" w:lineRule="auto"/>
            </w:pPr>
            <w:r>
              <w:rPr>
                <w:rFonts w:ascii="inter" w:hAnsi="inter" w:eastAsia="inter" w:cs="inter"/>
                <w:color w:val="000000"/>
                <w:sz w:val="17"/>
              </w:rPr>
              <w:t>对商业敏感、愿意承担管理与协调责任</w:t>
            </w:r>
          </w:p>
        </w:tc>
      </w:tr>
    </w:tbl>
    <w:p w14:paraId="44F743EF"/>
    <w:p w14:paraId="7FF7DCED">
      <w:pPr>
        <w:spacing w:after="210" w:line="360" w:lineRule="auto"/>
      </w:pPr>
      <w:r>
        <w:rPr>
          <w:rFonts w:ascii="inter" w:hAnsi="inter" w:eastAsia="inter" w:cs="inter"/>
          <w:color w:val="000000"/>
        </w:rPr>
        <w:t>从上述矩阵可以看出，艺术生在不同路径上对数字素养、项目管理、跨学科沟通等“横向能力”的依赖程度通常呈上升趋势，这在一定程度上要求高校艺术教育和职业培训体系进行结构性调整。</w:t>
      </w:r>
      <w:bookmarkStart w:id="39" w:name="fnref10_4"/>
      <w:bookmarkEnd w:id="39"/>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bookmarkStart w:id="40" w:name="fnref4_14"/>
      <w:bookmarkEnd w:id="40"/>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p>
    <w:p w14:paraId="0E0775B2">
      <w:pPr>
        <w:spacing w:before="315" w:after="105" w:line="360" w:lineRule="auto"/>
        <w:ind w:left="-30"/>
        <w:jc w:val="left"/>
      </w:pPr>
      <w:bookmarkStart w:id="41" w:name="bm_2_各类路径的优势与潜在局限"/>
      <w:r>
        <w:rPr>
          <w:rFonts w:ascii="inter" w:hAnsi="inter" w:eastAsia="inter" w:cs="inter"/>
          <w:b/>
          <w:color w:val="000000"/>
          <w:sz w:val="24"/>
        </w:rPr>
        <w:t>2. 各类路径的优势与潜在局限</w:t>
      </w:r>
      <w:bookmarkEnd w:id="41"/>
    </w:p>
    <w:p w14:paraId="39742E1D">
      <w:pPr>
        <w:numPr>
          <w:ilvl w:val="0"/>
          <w:numId w:val="2"/>
        </w:numPr>
        <w:spacing w:after="210" w:line="360" w:lineRule="auto"/>
      </w:pPr>
      <w:r>
        <w:rPr>
          <w:rFonts w:ascii="inter" w:hAnsi="inter" w:eastAsia="inter" w:cs="inter"/>
          <w:color w:val="000000"/>
          <w:sz w:val="21"/>
        </w:rPr>
        <w:t>纯艺术创作与表演路径</w:t>
      </w:r>
      <w:r>
        <w:rPr>
          <w:rFonts w:ascii="inter" w:hAnsi="inter" w:eastAsia="inter" w:cs="inter"/>
          <w:color w:val="000000"/>
          <w:sz w:val="21"/>
        </w:rPr>
        <w:br w:type="textWrapping"/>
      </w:r>
      <w:r>
        <w:rPr>
          <w:rFonts w:ascii="inter" w:hAnsi="inter" w:eastAsia="inter" w:cs="inter"/>
          <w:color w:val="000000"/>
          <w:sz w:val="21"/>
        </w:rPr>
        <w:t>优势在于能够最大程度保持艺术本体性，对国家文化软实力和高水平精品创作具有关键作用。 然而，该路径通常受限于市场容量与公立机构编制空间，收入波动较大，更适用于专业水平拔尖、愿意承受较高职业不确定性的艺术人才。</w:t>
      </w:r>
      <w:bookmarkStart w:id="42" w:name="fnref11"/>
      <w:bookmarkEnd w:id="42"/>
      <w:r>
        <w:fldChar w:fldCharType="begin"/>
      </w:r>
      <w:r>
        <w:instrText xml:space="preserve"> HYPERLINK \l "fn11" \h </w:instrText>
      </w:r>
      <w:r>
        <w:fldChar w:fldCharType="separate"/>
      </w:r>
      <w:r>
        <w:rPr>
          <w:rFonts w:ascii="inter" w:hAnsi="inter" w:eastAsia="inter" w:cs="inter"/>
          <w:color w:val="000000"/>
          <w:sz w:val="21"/>
          <w:u w:val="single"/>
          <w:vertAlign w:val="superscript"/>
        </w:rPr>
        <w:t>[11]</w:t>
      </w:r>
      <w:r>
        <w:rPr>
          <w:rFonts w:ascii="inter" w:hAnsi="inter" w:eastAsia="inter" w:cs="inter"/>
          <w:color w:val="000000"/>
          <w:sz w:val="21"/>
          <w:u w:val="single"/>
          <w:vertAlign w:val="superscript"/>
        </w:rPr>
        <w:fldChar w:fldCharType="end"/>
      </w:r>
      <w:bookmarkStart w:id="43" w:name="fnref3_6"/>
      <w:bookmarkEnd w:id="43"/>
      <w:r>
        <w:fldChar w:fldCharType="begin"/>
      </w:r>
      <w:r>
        <w:instrText xml:space="preserve"> HYPERLINK \l "fn3" \h </w:instrText>
      </w:r>
      <w:r>
        <w:fldChar w:fldCharType="separate"/>
      </w:r>
      <w:r>
        <w:rPr>
          <w:rFonts w:ascii="inter" w:hAnsi="inter" w:eastAsia="inter" w:cs="inter"/>
          <w:color w:val="000000"/>
          <w:sz w:val="21"/>
          <w:u w:val="single"/>
          <w:vertAlign w:val="superscript"/>
        </w:rPr>
        <w:t>[3]</w:t>
      </w:r>
      <w:r>
        <w:rPr>
          <w:rFonts w:ascii="inter" w:hAnsi="inter" w:eastAsia="inter" w:cs="inter"/>
          <w:color w:val="000000"/>
          <w:sz w:val="21"/>
          <w:u w:val="single"/>
          <w:vertAlign w:val="superscript"/>
        </w:rPr>
        <w:fldChar w:fldCharType="end"/>
      </w:r>
    </w:p>
    <w:p w14:paraId="385C049D">
      <w:pPr>
        <w:numPr>
          <w:ilvl w:val="0"/>
          <w:numId w:val="2"/>
        </w:numPr>
        <w:spacing w:after="210" w:line="360" w:lineRule="auto"/>
      </w:pPr>
      <w:r>
        <w:rPr>
          <w:rFonts w:ascii="inter" w:hAnsi="inter" w:eastAsia="inter" w:cs="inter"/>
          <w:color w:val="000000"/>
          <w:sz w:val="21"/>
        </w:rPr>
        <w:t>艺术+数字内容与平台经济路径</w:t>
      </w:r>
      <w:r>
        <w:rPr>
          <w:rFonts w:ascii="inter" w:hAnsi="inter" w:eastAsia="inter" w:cs="inter"/>
          <w:color w:val="000000"/>
          <w:sz w:val="21"/>
        </w:rPr>
        <w:br w:type="textWrapping"/>
      </w:r>
      <w:r>
        <w:rPr>
          <w:rFonts w:ascii="inter" w:hAnsi="inter" w:eastAsia="inter" w:cs="inter"/>
          <w:color w:val="000000"/>
          <w:sz w:val="21"/>
        </w:rPr>
        <w:t>优势在于进入门槛相对多样，借助平台流量可以在一定程度上快速获得曝光与变现机会，对青年艺术人才具有较强吸引力。 然而，该路径亦存在算法规则不透明、流量依赖度高、内容同质化等潜在局限，更适用于对平台生态有较强适应性、愿意持续打磨内容运营能力的艺术人才。</w:t>
      </w:r>
      <w:bookmarkStart w:id="44" w:name="fnref8_1"/>
      <w:bookmarkEnd w:id="44"/>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bookmarkStart w:id="45" w:name="fnref7_3"/>
      <w:bookmarkEnd w:id="45"/>
      <w:r>
        <w:fldChar w:fldCharType="begin"/>
      </w:r>
      <w:r>
        <w:instrText xml:space="preserve"> HYPERLINK \l "fn7" \h </w:instrText>
      </w:r>
      <w:r>
        <w:fldChar w:fldCharType="separate"/>
      </w:r>
      <w:r>
        <w:rPr>
          <w:rFonts w:ascii="inter" w:hAnsi="inter" w:eastAsia="inter" w:cs="inter"/>
          <w:color w:val="000000"/>
          <w:sz w:val="21"/>
          <w:u w:val="single"/>
          <w:vertAlign w:val="superscript"/>
        </w:rPr>
        <w:t>[7]</w:t>
      </w:r>
      <w:r>
        <w:rPr>
          <w:rFonts w:ascii="inter" w:hAnsi="inter" w:eastAsia="inter" w:cs="inter"/>
          <w:color w:val="000000"/>
          <w:sz w:val="21"/>
          <w:u w:val="single"/>
          <w:vertAlign w:val="superscript"/>
        </w:rPr>
        <w:fldChar w:fldCharType="end"/>
      </w:r>
    </w:p>
    <w:p w14:paraId="6C7F9FF7">
      <w:pPr>
        <w:numPr>
          <w:ilvl w:val="0"/>
          <w:numId w:val="2"/>
        </w:numPr>
        <w:spacing w:after="210" w:line="360" w:lineRule="auto"/>
      </w:pPr>
      <w:r>
        <w:rPr>
          <w:rFonts w:ascii="inter" w:hAnsi="inter" w:eastAsia="inter" w:cs="inter"/>
          <w:color w:val="000000"/>
          <w:sz w:val="21"/>
        </w:rPr>
        <w:t>艺术+科技(Art-Tech)创新路径</w:t>
      </w:r>
      <w:r>
        <w:rPr>
          <w:rFonts w:ascii="inter" w:hAnsi="inter" w:eastAsia="inter" w:cs="inter"/>
          <w:color w:val="000000"/>
          <w:sz w:val="21"/>
        </w:rPr>
        <w:br w:type="textWrapping"/>
      </w:r>
      <w:r>
        <w:rPr>
          <w:rFonts w:ascii="inter" w:hAnsi="inter" w:eastAsia="inter" w:cs="inter"/>
          <w:color w:val="000000"/>
          <w:sz w:val="21"/>
        </w:rPr>
        <w:t>优势在于与数字经济、沉浸式体验、游戏产业等高成长赛道深度耦合，产业需求较为旺盛，项目体量和溢出影响通常较大。 然而，该路径亦存在技术迭代风险高、学习成本大、艺术本体性可能在一定程度上被技术逻辑边缘化等潜在局限，更适用于具备较强技术适应性与跨学科思维的艺术人才。</w:t>
      </w:r>
      <w:bookmarkStart w:id="46" w:name="fnref4_15"/>
      <w:bookmarkEnd w:id="46"/>
      <w:r>
        <w:fldChar w:fldCharType="begin"/>
      </w:r>
      <w:r>
        <w:instrText xml:space="preserve"> HYPERLINK \l "fn4" \h </w:instrText>
      </w:r>
      <w:r>
        <w:fldChar w:fldCharType="separate"/>
      </w:r>
      <w:r>
        <w:rPr>
          <w:rFonts w:ascii="inter" w:hAnsi="inter" w:eastAsia="inter" w:cs="inter"/>
          <w:color w:val="000000"/>
          <w:sz w:val="21"/>
          <w:u w:val="single"/>
          <w:vertAlign w:val="superscript"/>
        </w:rPr>
        <w:t>[4]</w:t>
      </w:r>
      <w:r>
        <w:rPr>
          <w:rFonts w:ascii="inter" w:hAnsi="inter" w:eastAsia="inter" w:cs="inter"/>
          <w:color w:val="000000"/>
          <w:sz w:val="21"/>
          <w:u w:val="single"/>
          <w:vertAlign w:val="superscript"/>
        </w:rPr>
        <w:fldChar w:fldCharType="end"/>
      </w:r>
    </w:p>
    <w:p w14:paraId="05932335">
      <w:pPr>
        <w:numPr>
          <w:ilvl w:val="0"/>
          <w:numId w:val="2"/>
        </w:numPr>
        <w:spacing w:after="210" w:line="360" w:lineRule="auto"/>
      </w:pPr>
      <w:r>
        <w:rPr>
          <w:rFonts w:ascii="inter" w:hAnsi="inter" w:eastAsia="inter" w:cs="inter"/>
          <w:color w:val="000000"/>
          <w:sz w:val="21"/>
        </w:rPr>
        <w:t>艺术+文旅与城市更新路径</w:t>
      </w:r>
      <w:r>
        <w:rPr>
          <w:rFonts w:ascii="inter" w:hAnsi="inter" w:eastAsia="inter" w:cs="inter"/>
          <w:color w:val="000000"/>
          <w:sz w:val="21"/>
        </w:rPr>
        <w:br w:type="textWrapping"/>
      </w:r>
      <w:r>
        <w:rPr>
          <w:rFonts w:ascii="inter" w:hAnsi="inter" w:eastAsia="inter" w:cs="inter"/>
          <w:color w:val="000000"/>
          <w:sz w:val="21"/>
        </w:rPr>
        <w:t>优势在于能够与地方文旅发展、城市更新和乡村振兴形成协同，对区域经济和公共空间品质提升具有综合效应。 然而，该路径通常受制于地方财政承受能力与项目周期性波动，更适合具有场景意识、愿意在区域长期深耕的艺术人才群体。</w:t>
      </w:r>
      <w:bookmarkStart w:id="47" w:name="fnref4_16"/>
      <w:bookmarkEnd w:id="47"/>
      <w:r>
        <w:fldChar w:fldCharType="begin"/>
      </w:r>
      <w:r>
        <w:instrText xml:space="preserve"> HYPERLINK \l "fn4" \h </w:instrText>
      </w:r>
      <w:r>
        <w:fldChar w:fldCharType="separate"/>
      </w:r>
      <w:r>
        <w:rPr>
          <w:rFonts w:ascii="inter" w:hAnsi="inter" w:eastAsia="inter" w:cs="inter"/>
          <w:color w:val="000000"/>
          <w:sz w:val="21"/>
          <w:u w:val="single"/>
          <w:vertAlign w:val="superscript"/>
        </w:rPr>
        <w:t>[4]</w:t>
      </w:r>
      <w:r>
        <w:rPr>
          <w:rFonts w:ascii="inter" w:hAnsi="inter" w:eastAsia="inter" w:cs="inter"/>
          <w:color w:val="000000"/>
          <w:sz w:val="21"/>
          <w:u w:val="single"/>
          <w:vertAlign w:val="superscript"/>
        </w:rPr>
        <w:fldChar w:fldCharType="end"/>
      </w:r>
    </w:p>
    <w:p w14:paraId="548C5BE0">
      <w:pPr>
        <w:numPr>
          <w:ilvl w:val="0"/>
          <w:numId w:val="2"/>
        </w:numPr>
        <w:spacing w:after="210" w:line="360" w:lineRule="auto"/>
      </w:pPr>
      <w:r>
        <w:rPr>
          <w:rFonts w:ascii="inter" w:hAnsi="inter" w:eastAsia="inter" w:cs="inter"/>
          <w:color w:val="000000"/>
          <w:sz w:val="21"/>
        </w:rPr>
        <w:t>艺术+教育与社会服务路径</w:t>
      </w:r>
      <w:r>
        <w:rPr>
          <w:rFonts w:ascii="inter" w:hAnsi="inter" w:eastAsia="inter" w:cs="inter"/>
          <w:color w:val="000000"/>
          <w:sz w:val="21"/>
        </w:rPr>
        <w:br w:type="textWrapping"/>
      </w:r>
      <w:r>
        <w:rPr>
          <w:rFonts w:ascii="inter" w:hAnsi="inter" w:eastAsia="inter" w:cs="inter"/>
          <w:color w:val="000000"/>
          <w:sz w:val="21"/>
        </w:rPr>
        <w:t>优势在于岗位相对稳定、社会认可度较高，并有利于文化参与度和公共文化服务质量的提升。 然而，该路径在收入上可能相对平稳但天花板有限，更适用于重视职业稳定性和社会价值实现的艺术人才。</w:t>
      </w:r>
      <w:bookmarkStart w:id="48" w:name="fnref10_5"/>
      <w:bookmarkEnd w:id="48"/>
      <w:r>
        <w:fldChar w:fldCharType="begin"/>
      </w:r>
      <w:r>
        <w:instrText xml:space="preserve"> HYPERLINK \l "fn10" \h </w:instrText>
      </w:r>
      <w:r>
        <w:fldChar w:fldCharType="separate"/>
      </w:r>
      <w:r>
        <w:rPr>
          <w:rFonts w:ascii="inter" w:hAnsi="inter" w:eastAsia="inter" w:cs="inter"/>
          <w:color w:val="000000"/>
          <w:sz w:val="21"/>
          <w:u w:val="single"/>
          <w:vertAlign w:val="superscript"/>
        </w:rPr>
        <w:t>[10]</w:t>
      </w:r>
      <w:r>
        <w:rPr>
          <w:rFonts w:ascii="inter" w:hAnsi="inter" w:eastAsia="inter" w:cs="inter"/>
          <w:color w:val="000000"/>
          <w:sz w:val="21"/>
          <w:u w:val="single"/>
          <w:vertAlign w:val="superscript"/>
        </w:rPr>
        <w:fldChar w:fldCharType="end"/>
      </w:r>
    </w:p>
    <w:p w14:paraId="3FECEE5F">
      <w:pPr>
        <w:spacing w:before="315" w:after="105" w:line="360" w:lineRule="auto"/>
        <w:ind w:left="-30"/>
        <w:jc w:val="left"/>
      </w:pPr>
      <w:bookmarkStart w:id="49" w:name="二_社会评价体系与艺术人才市场境遇的关联"/>
      <w:r>
        <w:rPr>
          <w:rFonts w:ascii="inter" w:hAnsi="inter" w:eastAsia="inter" w:cs="inter"/>
          <w:b/>
          <w:color w:val="000000"/>
          <w:sz w:val="24"/>
        </w:rPr>
        <w:t>(二) 社会评价体系与艺术人才市场境遇的关联</w:t>
      </w:r>
      <w:bookmarkEnd w:id="49"/>
    </w:p>
    <w:p w14:paraId="41E9FD4C">
      <w:pPr>
        <w:spacing w:before="315" w:after="105" w:line="360" w:lineRule="auto"/>
        <w:ind w:left="-30"/>
        <w:jc w:val="left"/>
      </w:pPr>
      <w:bookmarkStart w:id="50" w:name="bm_1_社会评价要素的结构性特征"/>
      <w:r>
        <w:rPr>
          <w:rFonts w:ascii="inter" w:hAnsi="inter" w:eastAsia="inter" w:cs="inter"/>
          <w:b/>
          <w:color w:val="000000"/>
          <w:sz w:val="24"/>
        </w:rPr>
        <w:t>1. 社会评价要素的结构性特征</w:t>
      </w:r>
      <w:bookmarkEnd w:id="50"/>
    </w:p>
    <w:p w14:paraId="172670E5">
      <w:pPr>
        <w:spacing w:after="210" w:line="360" w:lineRule="auto"/>
      </w:pPr>
      <w:r>
        <w:rPr>
          <w:rFonts w:ascii="inter" w:hAnsi="inter" w:eastAsia="inter" w:cs="inter"/>
          <w:color w:val="000000"/>
        </w:rPr>
        <w:t>在当前艺术人才发展环境中，社会评价体系通常围绕以下三类显性指标展开：</w:t>
      </w:r>
    </w:p>
    <w:p w14:paraId="62CFA7DD">
      <w:pPr>
        <w:numPr>
          <w:ilvl w:val="0"/>
          <w:numId w:val="3"/>
        </w:numPr>
        <w:spacing w:before="105" w:after="105" w:line="360" w:lineRule="auto"/>
      </w:pPr>
      <w:r>
        <w:rPr>
          <w:rFonts w:ascii="inter" w:hAnsi="inter" w:eastAsia="inter" w:cs="inter"/>
          <w:color w:val="000000"/>
          <w:sz w:val="21"/>
        </w:rPr>
        <w:t>学历与院校标签：含重点艺术院校、海外名校背景等，往往在行业进入环节产生“门槛效应”。</w:t>
      </w:r>
      <w:bookmarkStart w:id="51" w:name="fnref4_17"/>
      <w:bookmarkEnd w:id="51"/>
      <w:r>
        <w:fldChar w:fldCharType="begin"/>
      </w:r>
      <w:r>
        <w:instrText xml:space="preserve"> HYPERLINK \l "fn4" \h </w:instrText>
      </w:r>
      <w:r>
        <w:fldChar w:fldCharType="separate"/>
      </w:r>
      <w:r>
        <w:rPr>
          <w:rFonts w:ascii="inter" w:hAnsi="inter" w:eastAsia="inter" w:cs="inter"/>
          <w:color w:val="000000"/>
          <w:sz w:val="21"/>
          <w:u w:val="single"/>
          <w:vertAlign w:val="superscript"/>
        </w:rPr>
        <w:t>[4]</w:t>
      </w:r>
      <w:r>
        <w:rPr>
          <w:rFonts w:ascii="inter" w:hAnsi="inter" w:eastAsia="inter" w:cs="inter"/>
          <w:color w:val="000000"/>
          <w:sz w:val="21"/>
          <w:u w:val="single"/>
          <w:vertAlign w:val="superscript"/>
        </w:rPr>
        <w:fldChar w:fldCharType="end"/>
      </w:r>
    </w:p>
    <w:p w14:paraId="1CD70366">
      <w:pPr>
        <w:numPr>
          <w:ilvl w:val="0"/>
          <w:numId w:val="3"/>
        </w:numPr>
        <w:spacing w:before="105" w:after="105" w:line="360" w:lineRule="auto"/>
      </w:pPr>
      <w:r>
        <w:rPr>
          <w:rFonts w:ascii="inter" w:hAnsi="inter" w:eastAsia="inter" w:cs="inter"/>
          <w:color w:val="000000"/>
          <w:sz w:val="21"/>
        </w:rPr>
        <w:t>奖项与荣誉体系：包括各类文艺奖项、展演入选、评优称号等，对获取项目机会与公共资助具有关键影响。</w:t>
      </w:r>
      <w:bookmarkStart w:id="52" w:name="fnref11_1"/>
      <w:bookmarkEnd w:id="52"/>
      <w:r>
        <w:fldChar w:fldCharType="begin"/>
      </w:r>
      <w:r>
        <w:instrText xml:space="preserve"> HYPERLINK \l "fn11" \h </w:instrText>
      </w:r>
      <w:r>
        <w:fldChar w:fldCharType="separate"/>
      </w:r>
      <w:r>
        <w:rPr>
          <w:rFonts w:ascii="inter" w:hAnsi="inter" w:eastAsia="inter" w:cs="inter"/>
          <w:color w:val="000000"/>
          <w:sz w:val="21"/>
          <w:u w:val="single"/>
          <w:vertAlign w:val="superscript"/>
        </w:rPr>
        <w:t>[11]</w:t>
      </w:r>
      <w:r>
        <w:rPr>
          <w:rFonts w:ascii="inter" w:hAnsi="inter" w:eastAsia="inter" w:cs="inter"/>
          <w:color w:val="000000"/>
          <w:sz w:val="21"/>
          <w:u w:val="single"/>
          <w:vertAlign w:val="superscript"/>
        </w:rPr>
        <w:fldChar w:fldCharType="end"/>
      </w:r>
    </w:p>
    <w:p w14:paraId="0F86B5F2">
      <w:pPr>
        <w:numPr>
          <w:ilvl w:val="0"/>
          <w:numId w:val="3"/>
        </w:numPr>
        <w:spacing w:before="105" w:after="105" w:line="360" w:lineRule="auto"/>
      </w:pPr>
      <w:r>
        <w:rPr>
          <w:rFonts w:ascii="inter" w:hAnsi="inter" w:eastAsia="inter" w:cs="inter"/>
          <w:color w:val="000000"/>
          <w:sz w:val="21"/>
        </w:rPr>
        <w:t>流量与平台数据：在数字内容和演艺新业态领域，关注量、播放量和转化率等数据成为评价艺术人才“市场价值”的重要参考指标。</w:t>
      </w:r>
      <w:bookmarkStart w:id="53" w:name="fnref7_4"/>
      <w:bookmarkEnd w:id="53"/>
      <w:r>
        <w:fldChar w:fldCharType="begin"/>
      </w:r>
      <w:r>
        <w:instrText xml:space="preserve"> HYPERLINK \l "fn7" \h </w:instrText>
      </w:r>
      <w:r>
        <w:fldChar w:fldCharType="separate"/>
      </w:r>
      <w:r>
        <w:rPr>
          <w:rFonts w:ascii="inter" w:hAnsi="inter" w:eastAsia="inter" w:cs="inter"/>
          <w:color w:val="000000"/>
          <w:sz w:val="21"/>
          <w:u w:val="single"/>
          <w:vertAlign w:val="superscript"/>
        </w:rPr>
        <w:t>[7]</w:t>
      </w:r>
      <w:r>
        <w:rPr>
          <w:rFonts w:ascii="inter" w:hAnsi="inter" w:eastAsia="inter" w:cs="inter"/>
          <w:color w:val="000000"/>
          <w:sz w:val="21"/>
          <w:u w:val="single"/>
          <w:vertAlign w:val="superscript"/>
        </w:rPr>
        <w:fldChar w:fldCharType="end"/>
      </w:r>
      <w:bookmarkStart w:id="54" w:name="fnref8_2"/>
      <w:bookmarkEnd w:id="54"/>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p>
    <w:p w14:paraId="530446D6">
      <w:pPr>
        <w:spacing w:after="210" w:line="360" w:lineRule="auto"/>
      </w:pPr>
      <w:r>
        <w:rPr>
          <w:rFonts w:ascii="inter" w:hAnsi="inter" w:eastAsia="inter" w:cs="inter"/>
          <w:color w:val="000000"/>
        </w:rPr>
        <w:t>据世界经济论坛与UNESCO相关分析，疫情期间全球创意产业损失约1,000万个岗位，部分依赖线下奖项和传统评价机制的艺术人才收入受到显著冲击，而具备一定数字运营能力的艺术人才在一定程度上通过线上流量和数字发行维持了收入来源。 这一现象表明，社会评价体系已从单一的专业同行评价扩展为“学历—奖项—流量”多元并存、权重动态变化的复合结构。</w:t>
      </w:r>
      <w:bookmarkStart w:id="55" w:name="fnref8_3"/>
      <w:bookmarkEnd w:id="55"/>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bookmarkStart w:id="56" w:name="fnref7_5"/>
      <w:bookmarkEnd w:id="56"/>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bookmarkStart w:id="57" w:name="fnref4_18"/>
      <w:bookmarkEnd w:id="57"/>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p>
    <w:p w14:paraId="47D644D3">
      <w:pPr>
        <w:spacing w:before="315" w:after="105" w:line="360" w:lineRule="auto"/>
        <w:ind w:left="-30"/>
        <w:jc w:val="left"/>
      </w:pPr>
      <w:bookmarkStart w:id="58" w:name="bm_2_社会评价_收入水平传导机制流程图"/>
      <w:r>
        <w:rPr>
          <w:rFonts w:ascii="inter" w:hAnsi="inter" w:eastAsia="inter" w:cs="inter"/>
          <w:b/>
          <w:color w:val="000000"/>
          <w:sz w:val="24"/>
        </w:rPr>
        <w:t>2. 社会评价—收入水平传导机制流程图</w:t>
      </w:r>
      <w:bookmarkEnd w:id="58"/>
    </w:p>
    <w:p w14:paraId="5D051440">
      <w:pPr>
        <w:spacing w:after="210" w:line="360" w:lineRule="auto"/>
      </w:pPr>
      <w:r>
        <w:rPr>
          <w:rFonts w:ascii="inter" w:hAnsi="inter" w:eastAsia="inter" w:cs="inter"/>
          <w:color w:val="000000"/>
        </w:rPr>
        <w:t>为刻画社会评价体系对艺术人才收入水平的影响机制，本报告构建“图1：社会评价体系影响艺术人才收入水平的传导机制流程图”。该图以“显性评价指标”为起点，通过“机会获取—议价能力—持续性收益”三环节，反映评价体系如何在一定程度上塑造艺术人才的经济境遇。</w:t>
      </w:r>
      <w:bookmarkStart w:id="59" w:name="fnref5_5"/>
      <w:bookmarkEnd w:id="59"/>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bookmarkStart w:id="60" w:name="fnref4_19"/>
      <w:bookmarkEnd w:id="60"/>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p>
    <w:p w14:paraId="1E599355">
      <w:pPr>
        <w:spacing w:after="210" w:line="360" w:lineRule="auto"/>
      </w:pPr>
      <w:r>
        <w:rPr>
          <w:rFonts w:ascii="inter" w:hAnsi="inter" w:eastAsia="inter" w:cs="inter"/>
          <w:b/>
          <w:color w:val="000000"/>
        </w:rPr>
        <w:t>图1：社会评价体系影响艺术人才收入水平的传导机制流程图（文字示意）</w:t>
      </w:r>
    </w:p>
    <w:p w14:paraId="5C91ACEF">
      <w:pPr>
        <w:numPr>
          <w:ilvl w:val="0"/>
          <w:numId w:val="4"/>
        </w:numPr>
        <w:spacing w:before="105" w:after="105" w:line="360" w:lineRule="auto"/>
      </w:pPr>
      <w:r>
        <w:rPr>
          <w:rFonts w:ascii="inter" w:hAnsi="inter" w:eastAsia="inter" w:cs="inter"/>
          <w:color w:val="000000"/>
          <w:sz w:val="21"/>
        </w:rPr>
        <w:t>输入层：社会评价指标</w:t>
      </w:r>
    </w:p>
    <w:p w14:paraId="271DA55D">
      <w:pPr>
        <w:numPr>
          <w:ilvl w:val="0"/>
          <w:numId w:val="5"/>
        </w:numPr>
        <w:spacing w:before="105" w:after="105" w:line="360" w:lineRule="auto"/>
      </w:pPr>
      <w:r>
        <w:rPr>
          <w:rFonts w:ascii="inter" w:hAnsi="inter" w:eastAsia="inter" w:cs="inter"/>
          <w:color w:val="000000"/>
          <w:sz w:val="21"/>
        </w:rPr>
        <w:t>学历与院校声誉</w:t>
      </w:r>
    </w:p>
    <w:p w14:paraId="36A7740C">
      <w:pPr>
        <w:numPr>
          <w:ilvl w:val="0"/>
          <w:numId w:val="5"/>
        </w:numPr>
        <w:spacing w:before="105" w:after="105" w:line="360" w:lineRule="auto"/>
      </w:pPr>
      <w:r>
        <w:rPr>
          <w:rFonts w:ascii="inter" w:hAnsi="inter" w:eastAsia="inter" w:cs="inter"/>
          <w:color w:val="000000"/>
          <w:sz w:val="21"/>
        </w:rPr>
        <w:t>奖项与荣誉记录</w:t>
      </w:r>
    </w:p>
    <w:p w14:paraId="1113F2C1">
      <w:pPr>
        <w:numPr>
          <w:ilvl w:val="0"/>
          <w:numId w:val="5"/>
        </w:numPr>
        <w:spacing w:before="105" w:after="105" w:line="360" w:lineRule="auto"/>
      </w:pPr>
      <w:r>
        <w:rPr>
          <w:rFonts w:ascii="inter" w:hAnsi="inter" w:eastAsia="inter" w:cs="inter"/>
          <w:color w:val="000000"/>
          <w:sz w:val="21"/>
        </w:rPr>
        <w:t>流量与平台数据(粉丝数、播放量、转化率等)</w:t>
      </w:r>
      <w:bookmarkStart w:id="61" w:name="fnref7_6"/>
      <w:bookmarkEnd w:id="61"/>
      <w:r>
        <w:fldChar w:fldCharType="begin"/>
      </w:r>
      <w:r>
        <w:instrText xml:space="preserve"> HYPERLINK \l "fn7" \h </w:instrText>
      </w:r>
      <w:r>
        <w:fldChar w:fldCharType="separate"/>
      </w:r>
      <w:r>
        <w:rPr>
          <w:rFonts w:ascii="inter" w:hAnsi="inter" w:eastAsia="inter" w:cs="inter"/>
          <w:color w:val="000000"/>
          <w:sz w:val="21"/>
          <w:u w:val="single"/>
          <w:vertAlign w:val="superscript"/>
        </w:rPr>
        <w:t>[7]</w:t>
      </w:r>
      <w:r>
        <w:rPr>
          <w:rFonts w:ascii="inter" w:hAnsi="inter" w:eastAsia="inter" w:cs="inter"/>
          <w:color w:val="000000"/>
          <w:sz w:val="21"/>
          <w:u w:val="single"/>
          <w:vertAlign w:val="superscript"/>
        </w:rPr>
        <w:fldChar w:fldCharType="end"/>
      </w:r>
      <w:bookmarkStart w:id="62" w:name="fnref8_4"/>
      <w:bookmarkEnd w:id="62"/>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p>
    <w:p w14:paraId="4DC65BD0">
      <w:pPr>
        <w:numPr>
          <w:ilvl w:val="0"/>
          <w:numId w:val="6"/>
        </w:numPr>
        <w:spacing w:before="105" w:after="105" w:line="360" w:lineRule="auto"/>
      </w:pPr>
      <w:r>
        <w:rPr>
          <w:rFonts w:ascii="inter" w:hAnsi="inter" w:eastAsia="inter" w:cs="inter"/>
          <w:color w:val="000000"/>
          <w:sz w:val="21"/>
        </w:rPr>
        <w:t>机会分配层</w:t>
      </w:r>
    </w:p>
    <w:p w14:paraId="2162802B">
      <w:pPr>
        <w:numPr>
          <w:ilvl w:val="0"/>
          <w:numId w:val="7"/>
        </w:numPr>
        <w:spacing w:before="105" w:after="105" w:line="360" w:lineRule="auto"/>
      </w:pPr>
      <w:r>
        <w:rPr>
          <w:rFonts w:ascii="inter" w:hAnsi="inter" w:eastAsia="inter" w:cs="inter"/>
          <w:color w:val="000000"/>
          <w:sz w:val="21"/>
        </w:rPr>
        <w:t>招聘与项目遴选门槛(偏好“名校+获奖”简历)</w:t>
      </w:r>
    </w:p>
    <w:p w14:paraId="155D79AF">
      <w:pPr>
        <w:numPr>
          <w:ilvl w:val="0"/>
          <w:numId w:val="7"/>
        </w:numPr>
        <w:spacing w:before="105" w:after="105" w:line="360" w:lineRule="auto"/>
      </w:pPr>
      <w:r>
        <w:rPr>
          <w:rFonts w:ascii="inter" w:hAnsi="inter" w:eastAsia="inter" w:cs="inter"/>
          <w:color w:val="000000"/>
          <w:sz w:val="21"/>
        </w:rPr>
        <w:t>平台推荐与曝光机制(算法优先推送高流量账号)</w:t>
      </w:r>
      <w:bookmarkStart w:id="63" w:name="fnref8_5"/>
      <w:bookmarkEnd w:id="63"/>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p>
    <w:p w14:paraId="5F0891D5">
      <w:pPr>
        <w:numPr>
          <w:ilvl w:val="0"/>
          <w:numId w:val="7"/>
        </w:numPr>
        <w:spacing w:before="105" w:after="105" w:line="360" w:lineRule="auto"/>
      </w:pPr>
      <w:r>
        <w:rPr>
          <w:rFonts w:ascii="inter" w:hAnsi="inter" w:eastAsia="inter" w:cs="inter"/>
          <w:color w:val="000000"/>
          <w:sz w:val="21"/>
        </w:rPr>
        <w:t>公共资助与政策扶持项目评审(参考获奖与参展记录)</w:t>
      </w:r>
      <w:bookmarkStart w:id="64" w:name="fnref11_2"/>
      <w:bookmarkEnd w:id="64"/>
      <w:r>
        <w:fldChar w:fldCharType="begin"/>
      </w:r>
      <w:r>
        <w:instrText xml:space="preserve"> HYPERLINK \l "fn11" \h </w:instrText>
      </w:r>
      <w:r>
        <w:fldChar w:fldCharType="separate"/>
      </w:r>
      <w:r>
        <w:rPr>
          <w:rFonts w:ascii="inter" w:hAnsi="inter" w:eastAsia="inter" w:cs="inter"/>
          <w:color w:val="000000"/>
          <w:sz w:val="21"/>
          <w:u w:val="single"/>
          <w:vertAlign w:val="superscript"/>
        </w:rPr>
        <w:t>[11]</w:t>
      </w:r>
      <w:r>
        <w:rPr>
          <w:rFonts w:ascii="inter" w:hAnsi="inter" w:eastAsia="inter" w:cs="inter"/>
          <w:color w:val="000000"/>
          <w:sz w:val="21"/>
          <w:u w:val="single"/>
          <w:vertAlign w:val="superscript"/>
        </w:rPr>
        <w:fldChar w:fldCharType="end"/>
      </w:r>
    </w:p>
    <w:p w14:paraId="7B6D6EF9">
      <w:pPr>
        <w:numPr>
          <w:ilvl w:val="0"/>
          <w:numId w:val="8"/>
        </w:numPr>
        <w:spacing w:before="105" w:after="105" w:line="360" w:lineRule="auto"/>
      </w:pPr>
      <w:r>
        <w:rPr>
          <w:rFonts w:ascii="inter" w:hAnsi="inter" w:eastAsia="inter" w:cs="inter"/>
          <w:color w:val="000000"/>
          <w:sz w:val="21"/>
        </w:rPr>
        <w:t>议价能力层</w:t>
      </w:r>
    </w:p>
    <w:p w14:paraId="5AE3A577">
      <w:pPr>
        <w:numPr>
          <w:ilvl w:val="0"/>
          <w:numId w:val="9"/>
        </w:numPr>
        <w:spacing w:before="105" w:after="105" w:line="360" w:lineRule="auto"/>
      </w:pPr>
      <w:r>
        <w:rPr>
          <w:rFonts w:ascii="inter" w:hAnsi="inter" w:eastAsia="inter" w:cs="inter"/>
          <w:color w:val="000000"/>
          <w:sz w:val="21"/>
        </w:rPr>
        <w:t>合同谈判中的分成比例与保底条款</w:t>
      </w:r>
    </w:p>
    <w:p w14:paraId="4A26D48F">
      <w:pPr>
        <w:numPr>
          <w:ilvl w:val="0"/>
          <w:numId w:val="9"/>
        </w:numPr>
        <w:spacing w:before="105" w:after="105" w:line="360" w:lineRule="auto"/>
      </w:pPr>
      <w:r>
        <w:rPr>
          <w:rFonts w:ascii="inter" w:hAnsi="inter" w:eastAsia="inter" w:cs="inter"/>
          <w:color w:val="000000"/>
          <w:sz w:val="21"/>
        </w:rPr>
        <w:t>品牌合作与代言单价</w:t>
      </w:r>
    </w:p>
    <w:p w14:paraId="10F3D7C8">
      <w:pPr>
        <w:numPr>
          <w:ilvl w:val="0"/>
          <w:numId w:val="9"/>
        </w:numPr>
        <w:spacing w:before="105" w:after="105" w:line="360" w:lineRule="auto"/>
      </w:pPr>
      <w:r>
        <w:rPr>
          <w:rFonts w:ascii="inter" w:hAnsi="inter" w:eastAsia="inter" w:cs="inter"/>
          <w:color w:val="000000"/>
          <w:sz w:val="21"/>
        </w:rPr>
        <w:t>线下演出与展览出场费区间</w:t>
      </w:r>
      <w:bookmarkStart w:id="65" w:name="fnref11_3"/>
      <w:bookmarkEnd w:id="65"/>
      <w:r>
        <w:fldChar w:fldCharType="begin"/>
      </w:r>
      <w:r>
        <w:instrText xml:space="preserve"> HYPERLINK \l "fn11" \h </w:instrText>
      </w:r>
      <w:r>
        <w:fldChar w:fldCharType="separate"/>
      </w:r>
      <w:r>
        <w:rPr>
          <w:rFonts w:ascii="inter" w:hAnsi="inter" w:eastAsia="inter" w:cs="inter"/>
          <w:color w:val="000000"/>
          <w:sz w:val="21"/>
          <w:u w:val="single"/>
          <w:vertAlign w:val="superscript"/>
        </w:rPr>
        <w:t>[11]</w:t>
      </w:r>
      <w:r>
        <w:rPr>
          <w:rFonts w:ascii="inter" w:hAnsi="inter" w:eastAsia="inter" w:cs="inter"/>
          <w:color w:val="000000"/>
          <w:sz w:val="21"/>
          <w:u w:val="single"/>
          <w:vertAlign w:val="superscript"/>
        </w:rPr>
        <w:fldChar w:fldCharType="end"/>
      </w:r>
      <w:bookmarkStart w:id="66" w:name="fnref4_20"/>
      <w:bookmarkEnd w:id="66"/>
      <w:r>
        <w:fldChar w:fldCharType="begin"/>
      </w:r>
      <w:r>
        <w:instrText xml:space="preserve"> HYPERLINK \l "fn4" \h </w:instrText>
      </w:r>
      <w:r>
        <w:fldChar w:fldCharType="separate"/>
      </w:r>
      <w:r>
        <w:rPr>
          <w:rFonts w:ascii="inter" w:hAnsi="inter" w:eastAsia="inter" w:cs="inter"/>
          <w:color w:val="000000"/>
          <w:sz w:val="21"/>
          <w:u w:val="single"/>
          <w:vertAlign w:val="superscript"/>
        </w:rPr>
        <w:t>[4]</w:t>
      </w:r>
      <w:r>
        <w:rPr>
          <w:rFonts w:ascii="inter" w:hAnsi="inter" w:eastAsia="inter" w:cs="inter"/>
          <w:color w:val="000000"/>
          <w:sz w:val="21"/>
          <w:u w:val="single"/>
          <w:vertAlign w:val="superscript"/>
        </w:rPr>
        <w:fldChar w:fldCharType="end"/>
      </w:r>
    </w:p>
    <w:p w14:paraId="15798050">
      <w:pPr>
        <w:numPr>
          <w:ilvl w:val="0"/>
          <w:numId w:val="10"/>
        </w:numPr>
        <w:spacing w:before="105" w:after="105" w:line="360" w:lineRule="auto"/>
      </w:pPr>
      <w:r>
        <w:rPr>
          <w:rFonts w:ascii="inter" w:hAnsi="inter" w:eastAsia="inter" w:cs="inter"/>
          <w:color w:val="000000"/>
          <w:sz w:val="21"/>
        </w:rPr>
        <w:t>收入与发展结果层</w:t>
      </w:r>
    </w:p>
    <w:p w14:paraId="3C22A8CE">
      <w:pPr>
        <w:numPr>
          <w:ilvl w:val="0"/>
          <w:numId w:val="11"/>
        </w:numPr>
        <w:spacing w:before="105" w:after="105" w:line="360" w:lineRule="auto"/>
      </w:pPr>
      <w:r>
        <w:rPr>
          <w:rFonts w:ascii="inter" w:hAnsi="inter" w:eastAsia="inter" w:cs="inter"/>
          <w:color w:val="000000"/>
          <w:sz w:val="21"/>
        </w:rPr>
        <w:t>短期收入水平(演出费、稿酬、平台分成)</w:t>
      </w:r>
    </w:p>
    <w:p w14:paraId="242B03BC">
      <w:pPr>
        <w:numPr>
          <w:ilvl w:val="0"/>
          <w:numId w:val="11"/>
        </w:numPr>
        <w:spacing w:before="105" w:after="105" w:line="360" w:lineRule="auto"/>
      </w:pPr>
      <w:r>
        <w:rPr>
          <w:rFonts w:ascii="inter" w:hAnsi="inter" w:eastAsia="inter" w:cs="inter"/>
          <w:color w:val="000000"/>
          <w:sz w:val="21"/>
        </w:rPr>
        <w:t>中长期发展空间与可持续性(续约机会、IP累积价值)</w:t>
      </w:r>
      <w:bookmarkStart w:id="67" w:name="fnref7_7"/>
      <w:bookmarkEnd w:id="67"/>
      <w:r>
        <w:fldChar w:fldCharType="begin"/>
      </w:r>
      <w:r>
        <w:instrText xml:space="preserve"> HYPERLINK \l "fn7" \h </w:instrText>
      </w:r>
      <w:r>
        <w:fldChar w:fldCharType="separate"/>
      </w:r>
      <w:r>
        <w:rPr>
          <w:rFonts w:ascii="inter" w:hAnsi="inter" w:eastAsia="inter" w:cs="inter"/>
          <w:color w:val="000000"/>
          <w:sz w:val="21"/>
          <w:u w:val="single"/>
          <w:vertAlign w:val="superscript"/>
        </w:rPr>
        <w:t>[7]</w:t>
      </w:r>
      <w:r>
        <w:rPr>
          <w:rFonts w:ascii="inter" w:hAnsi="inter" w:eastAsia="inter" w:cs="inter"/>
          <w:color w:val="000000"/>
          <w:sz w:val="21"/>
          <w:u w:val="single"/>
          <w:vertAlign w:val="superscript"/>
        </w:rPr>
        <w:fldChar w:fldCharType="end"/>
      </w:r>
      <w:bookmarkStart w:id="68" w:name="fnref8_6"/>
      <w:bookmarkEnd w:id="68"/>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p>
    <w:p w14:paraId="28E03758">
      <w:pPr>
        <w:numPr>
          <w:ilvl w:val="0"/>
          <w:numId w:val="12"/>
        </w:numPr>
        <w:spacing w:before="105" w:after="105" w:line="360" w:lineRule="auto"/>
      </w:pPr>
      <w:r>
        <w:rPr>
          <w:rFonts w:ascii="inter" w:hAnsi="inter" w:eastAsia="inter" w:cs="inter"/>
          <w:color w:val="000000"/>
          <w:sz w:val="21"/>
        </w:rPr>
        <w:t>反馈机制</w:t>
      </w:r>
    </w:p>
    <w:p w14:paraId="1AC10369">
      <w:pPr>
        <w:numPr>
          <w:ilvl w:val="0"/>
          <w:numId w:val="13"/>
        </w:numPr>
        <w:spacing w:before="105" w:after="105" w:line="360" w:lineRule="auto"/>
      </w:pPr>
      <w:r>
        <w:rPr>
          <w:rFonts w:ascii="inter" w:hAnsi="inter" w:eastAsia="inter" w:cs="inter"/>
          <w:color w:val="000000"/>
          <w:sz w:val="21"/>
        </w:rPr>
        <w:t>高收入艺术人才通过再投资教育与宣传进一步巩固社会评价优势</w:t>
      </w:r>
    </w:p>
    <w:p w14:paraId="42CB967C">
      <w:pPr>
        <w:numPr>
          <w:ilvl w:val="0"/>
          <w:numId w:val="13"/>
        </w:numPr>
        <w:spacing w:before="105" w:after="105" w:line="360" w:lineRule="auto"/>
      </w:pPr>
      <w:r>
        <w:rPr>
          <w:rFonts w:ascii="inter" w:hAnsi="inter" w:eastAsia="inter" w:cs="inter"/>
          <w:color w:val="000000"/>
          <w:sz w:val="21"/>
        </w:rPr>
        <w:t>新入行艺术人才在一定程度上面临“起点差距”，需通过平台创新、差异化内容等方式突破既有评价结构</w:t>
      </w:r>
      <w:bookmarkStart w:id="69" w:name="fnref4_21"/>
      <w:bookmarkEnd w:id="69"/>
      <w:r>
        <w:fldChar w:fldCharType="begin"/>
      </w:r>
      <w:r>
        <w:instrText xml:space="preserve"> HYPERLINK \l "fn4" \h </w:instrText>
      </w:r>
      <w:r>
        <w:fldChar w:fldCharType="separate"/>
      </w:r>
      <w:r>
        <w:rPr>
          <w:rFonts w:ascii="inter" w:hAnsi="inter" w:eastAsia="inter" w:cs="inter"/>
          <w:color w:val="000000"/>
          <w:sz w:val="21"/>
          <w:u w:val="single"/>
          <w:vertAlign w:val="superscript"/>
        </w:rPr>
        <w:t>[4]</w:t>
      </w:r>
      <w:r>
        <w:rPr>
          <w:rFonts w:ascii="inter" w:hAnsi="inter" w:eastAsia="inter" w:cs="inter"/>
          <w:color w:val="000000"/>
          <w:sz w:val="21"/>
          <w:u w:val="single"/>
          <w:vertAlign w:val="superscript"/>
        </w:rPr>
        <w:fldChar w:fldCharType="end"/>
      </w:r>
    </w:p>
    <w:p w14:paraId="169E7D96">
      <w:pPr>
        <w:spacing w:after="210" w:line="360" w:lineRule="auto"/>
      </w:pPr>
      <w:r>
        <w:rPr>
          <w:rFonts w:ascii="inter" w:hAnsi="inter" w:eastAsia="inter" w:cs="inter"/>
          <w:color w:val="000000"/>
        </w:rPr>
        <w:t>值得注意的是，该传导机制并非线性和单向，艺术人才的实际收入和发展还受到地域差异、行业周期、公共政策等多因素共同影响。 因此，在优化社会评价体系时，建议考虑通过更多元的评价维度(如社会贡献度、实验性与创新性)来在一定程度上缓解“学历-奖项-流量”单一维度固化带来的结构性不平衡。</w:t>
      </w:r>
      <w:bookmarkStart w:id="70" w:name="fnref11_4"/>
      <w:bookmarkEnd w:id="70"/>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bookmarkStart w:id="71" w:name="fnref4_22"/>
      <w:bookmarkEnd w:id="71"/>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p>
    <w:p w14:paraId="7C26AEE7">
      <w:pPr>
        <w:spacing w:before="315" w:after="105" w:line="360" w:lineRule="auto"/>
        <w:ind w:left="-30"/>
        <w:jc w:val="left"/>
      </w:pPr>
      <w:bookmarkStart w:id="72" w:name="三_知识产权保护与文化消费升级的利好效应"/>
      <w:r>
        <w:rPr>
          <w:rFonts w:ascii="inter" w:hAnsi="inter" w:eastAsia="inter" w:cs="inter"/>
          <w:b/>
          <w:color w:val="000000"/>
          <w:sz w:val="24"/>
        </w:rPr>
        <w:t>(三) 知识产权保护与文化消费升级的利好效应</w:t>
      </w:r>
      <w:bookmarkEnd w:id="72"/>
    </w:p>
    <w:p w14:paraId="1A9BD00B">
      <w:pPr>
        <w:spacing w:before="315" w:after="105" w:line="360" w:lineRule="auto"/>
        <w:ind w:left="-30"/>
        <w:jc w:val="left"/>
      </w:pPr>
      <w:bookmarkStart w:id="73" w:name="bm_1_知识产权保护的外部性与放大效应"/>
      <w:r>
        <w:rPr>
          <w:rFonts w:ascii="inter" w:hAnsi="inter" w:eastAsia="inter" w:cs="inter"/>
          <w:b/>
          <w:color w:val="000000"/>
          <w:sz w:val="24"/>
        </w:rPr>
        <w:t>1. 知识产权保护的外部性与放大效应</w:t>
      </w:r>
      <w:bookmarkEnd w:id="73"/>
    </w:p>
    <w:p w14:paraId="70B365B5">
      <w:pPr>
        <w:spacing w:after="210" w:line="360" w:lineRule="auto"/>
      </w:pPr>
      <w:r>
        <w:rPr>
          <w:rFonts w:ascii="inter" w:hAnsi="inter" w:eastAsia="inter" w:cs="inter"/>
          <w:color w:val="000000"/>
        </w:rPr>
        <w:t>世界知识产权组织(WIPO)的相关研究显示，创意产业中版权密集型部门对GDP和就业具有显著贡献，视觉艺术、出版、音乐和视听产业等板块在创意产业增加值中占有较高比重。 在艺术人才层面，版权保护的增强可以在一定程度上提升创作者的谈判能力，支持原创内容通过授权、二次开发和衍生品等方式实现多元变现。</w:t>
      </w:r>
      <w:bookmarkStart w:id="74" w:name="fnref5_6"/>
      <w:bookmarkEnd w:id="74"/>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p>
    <w:p w14:paraId="09DD2664">
      <w:pPr>
        <w:spacing w:after="210" w:line="360" w:lineRule="auto"/>
      </w:pPr>
      <w:r>
        <w:rPr>
          <w:rFonts w:ascii="inter" w:hAnsi="inter" w:eastAsia="inter" w:cs="inter"/>
          <w:color w:val="000000"/>
        </w:rPr>
        <w:t>从国际经验看，法国通过较完善的作者权制度与邻接权体系，为艺术家提供了包括私用复制报酬、二次使用报酬等在内的多元收入来源，这在通常意义上为艺术人才提供了比单次劳务报酬更稳定的中长期收益基础。 在此背景下，加强中国艺术人才的版权意识和IP运营能力，有望与我国正在推进的版权强国、文化强国建设形成良性互动。</w:t>
      </w:r>
      <w:bookmarkStart w:id="75" w:name="fnref6_3"/>
      <w:bookmarkEnd w:id="75"/>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bookmarkStart w:id="76" w:name="fnref5_7"/>
      <w:bookmarkEnd w:id="76"/>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bookmarkStart w:id="77" w:name="fnref11_5"/>
      <w:bookmarkEnd w:id="77"/>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p>
    <w:p w14:paraId="4280E14A">
      <w:pPr>
        <w:spacing w:before="315" w:after="105" w:line="360" w:lineRule="auto"/>
        <w:ind w:left="-30"/>
        <w:jc w:val="left"/>
      </w:pPr>
      <w:bookmarkStart w:id="78" w:name="bm_2_文化消费升级对艺术人才的需求拉动"/>
      <w:r>
        <w:rPr>
          <w:rFonts w:ascii="inter" w:hAnsi="inter" w:eastAsia="inter" w:cs="inter"/>
          <w:b/>
          <w:color w:val="000000"/>
          <w:sz w:val="24"/>
        </w:rPr>
        <w:t>2. 文化消费升级对艺术人才的需求拉动</w:t>
      </w:r>
      <w:bookmarkEnd w:id="78"/>
    </w:p>
    <w:p w14:paraId="6D91841B">
      <w:pPr>
        <w:spacing w:after="210" w:line="360" w:lineRule="auto"/>
      </w:pPr>
      <w:r>
        <w:rPr>
          <w:rFonts w:ascii="inter" w:hAnsi="inter" w:eastAsia="inter" w:cs="inter"/>
          <w:color w:val="000000"/>
        </w:rPr>
        <w:t>根据UNESCO及世界银行等机构的估计，文化与创意产业在全球GDP中占比约3.1%，且在部分国家呈现高于整体经济的增长率，文化消费结构在向体验式、参与式和数字化方向升级。 这一趋势在一定程度上为艺术人才在演艺新空间、沉浸式展览、文化旅游、数字内容订阅等领域打开新的需求空间，形成从“作品—场景—社区”的多层次消费链条。</w:t>
      </w:r>
      <w:bookmarkStart w:id="79" w:name="fnref2_3"/>
      <w:bookmarkEnd w:id="79"/>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bookmarkStart w:id="80" w:name="fnref7_8"/>
      <w:bookmarkEnd w:id="80"/>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bookmarkStart w:id="81" w:name="fnref4_23"/>
      <w:bookmarkEnd w:id="81"/>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p>
    <w:p w14:paraId="564125AA">
      <w:pPr>
        <w:spacing w:after="210" w:line="360" w:lineRule="auto"/>
      </w:pPr>
      <w:r>
        <w:rPr>
          <w:rFonts w:ascii="inter" w:hAnsi="inter" w:eastAsia="inter" w:cs="inter"/>
          <w:color w:val="000000"/>
        </w:rPr>
        <w:t>在政策层面，文化消费升级的利好更多体现在宏观市场扩容与整体需求增长，对微观个体艺术人才能否充分分享红利仍受制于平台分配机制、议价能力和组织形态等因素。 因此，在强调文化消费升级积极趋势的同时，仍建议通过行业自律与公共政策引导，在一定程度上提升艺术人才在价值链中的收益占比与抗风险能力。</w:t>
      </w:r>
      <w:bookmarkStart w:id="82" w:name="fnref6_4"/>
      <w:bookmarkEnd w:id="82"/>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bookmarkStart w:id="83" w:name="fnref5_8"/>
      <w:bookmarkEnd w:id="83"/>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bookmarkStart w:id="84" w:name="fnref4_24"/>
      <w:bookmarkEnd w:id="84"/>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p>
    <w:p w14:paraId="3830A866">
      <w:pPr>
        <w:spacing w:before="315" w:after="105" w:line="360" w:lineRule="auto"/>
        <w:ind w:left="-30"/>
        <w:jc w:val="left"/>
      </w:pPr>
      <w:bookmarkStart w:id="85" w:name="四_国际比较与案例研究"/>
      <w:r>
        <w:rPr>
          <w:rFonts w:ascii="inter" w:hAnsi="inter" w:eastAsia="inter" w:cs="inter"/>
          <w:b/>
          <w:color w:val="000000"/>
          <w:sz w:val="24"/>
        </w:rPr>
        <w:t>四、国际比较与案例研究</w:t>
      </w:r>
      <w:bookmarkEnd w:id="85"/>
    </w:p>
    <w:p w14:paraId="1446CA29">
      <w:pPr>
        <w:spacing w:before="315" w:after="105" w:line="360" w:lineRule="auto"/>
        <w:ind w:left="-30"/>
        <w:jc w:val="left"/>
      </w:pPr>
      <w:bookmarkStart w:id="86" w:name="一_法国_以作者权制度与社会保障为支撑的艺术人才政策"/>
      <w:r>
        <w:rPr>
          <w:rFonts w:ascii="inter" w:hAnsi="inter" w:eastAsia="inter" w:cs="inter"/>
          <w:b/>
          <w:color w:val="000000"/>
          <w:sz w:val="24"/>
        </w:rPr>
        <w:t>(一) 法国：以作者权制度与社会保障为支撑的艺术人才政策</w:t>
      </w:r>
      <w:bookmarkEnd w:id="86"/>
    </w:p>
    <w:p w14:paraId="483A4055">
      <w:pPr>
        <w:spacing w:after="210" w:line="360" w:lineRule="auto"/>
      </w:pPr>
      <w:r>
        <w:rPr>
          <w:rFonts w:ascii="inter" w:hAnsi="inter" w:eastAsia="inter" w:cs="inter"/>
          <w:color w:val="000000"/>
        </w:rPr>
        <w:t>据《法国文化政策概览》报告，法国文化政策在艺术人才支持方面形成了以作者权保护、税收优惠和失业保险制度为支柱的综合支持体系。 其核心做法包括：</w:t>
      </w:r>
      <w:bookmarkStart w:id="87" w:name="fnref11_6"/>
      <w:bookmarkEnd w:id="87"/>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p>
    <w:p w14:paraId="5B4CDF13">
      <w:pPr>
        <w:numPr>
          <w:ilvl w:val="0"/>
          <w:numId w:val="14"/>
        </w:numPr>
        <w:spacing w:before="105" w:after="105" w:line="360" w:lineRule="auto"/>
      </w:pPr>
      <w:r>
        <w:rPr>
          <w:rFonts w:ascii="inter" w:hAnsi="inter" w:eastAsia="inter" w:cs="inter"/>
          <w:color w:val="000000"/>
          <w:sz w:val="21"/>
        </w:rPr>
        <w:t>法律层面：构建完善的作者权与邻接权体系，通过对私人复制等行为征收费用，形成对艺术家的间接补偿机制。</w:t>
      </w:r>
      <w:bookmarkStart w:id="88" w:name="fnref11_7"/>
      <w:bookmarkEnd w:id="88"/>
      <w:r>
        <w:fldChar w:fldCharType="begin"/>
      </w:r>
      <w:r>
        <w:instrText xml:space="preserve"> HYPERLINK \l "fn11" \h </w:instrText>
      </w:r>
      <w:r>
        <w:fldChar w:fldCharType="separate"/>
      </w:r>
      <w:r>
        <w:rPr>
          <w:rFonts w:ascii="inter" w:hAnsi="inter" w:eastAsia="inter" w:cs="inter"/>
          <w:color w:val="000000"/>
          <w:sz w:val="21"/>
          <w:u w:val="single"/>
          <w:vertAlign w:val="superscript"/>
        </w:rPr>
        <w:t>[11]</w:t>
      </w:r>
      <w:r>
        <w:rPr>
          <w:rFonts w:ascii="inter" w:hAnsi="inter" w:eastAsia="inter" w:cs="inter"/>
          <w:color w:val="000000"/>
          <w:sz w:val="21"/>
          <w:u w:val="single"/>
          <w:vertAlign w:val="superscript"/>
        </w:rPr>
        <w:fldChar w:fldCharType="end"/>
      </w:r>
    </w:p>
    <w:p w14:paraId="40CF0D16">
      <w:pPr>
        <w:numPr>
          <w:ilvl w:val="0"/>
          <w:numId w:val="14"/>
        </w:numPr>
        <w:spacing w:before="105" w:after="105" w:line="360" w:lineRule="auto"/>
      </w:pPr>
      <w:r>
        <w:rPr>
          <w:rFonts w:ascii="inter" w:hAnsi="inter" w:eastAsia="inter" w:cs="inter"/>
          <w:color w:val="000000"/>
          <w:sz w:val="21"/>
        </w:rPr>
        <w:t>税收与社会保障：对艺术家实施特定税收优惠(如部分情况下的增值税减免)并为间歇性演艺工作者提供专门失业保险安排，以应对艺术劳动的非连续性。</w:t>
      </w:r>
      <w:bookmarkStart w:id="89" w:name="fnref11_8"/>
      <w:bookmarkEnd w:id="89"/>
      <w:r>
        <w:fldChar w:fldCharType="begin"/>
      </w:r>
      <w:r>
        <w:instrText xml:space="preserve"> HYPERLINK \l "fn11" \h </w:instrText>
      </w:r>
      <w:r>
        <w:fldChar w:fldCharType="separate"/>
      </w:r>
      <w:r>
        <w:rPr>
          <w:rFonts w:ascii="inter" w:hAnsi="inter" w:eastAsia="inter" w:cs="inter"/>
          <w:color w:val="000000"/>
          <w:sz w:val="21"/>
          <w:u w:val="single"/>
          <w:vertAlign w:val="superscript"/>
        </w:rPr>
        <w:t>[11]</w:t>
      </w:r>
      <w:r>
        <w:rPr>
          <w:rFonts w:ascii="inter" w:hAnsi="inter" w:eastAsia="inter" w:cs="inter"/>
          <w:color w:val="000000"/>
          <w:sz w:val="21"/>
          <w:u w:val="single"/>
          <w:vertAlign w:val="superscript"/>
        </w:rPr>
        <w:fldChar w:fldCharType="end"/>
      </w:r>
    </w:p>
    <w:p w14:paraId="3D8BC04C">
      <w:pPr>
        <w:spacing w:after="210" w:line="360" w:lineRule="auto"/>
      </w:pPr>
      <w:r>
        <w:rPr>
          <w:rFonts w:ascii="inter" w:hAnsi="inter" w:eastAsia="inter" w:cs="inter"/>
          <w:color w:val="000000"/>
        </w:rPr>
        <w:t>优势在于能够在一定程度上缓解艺术工作“项目制+间歇性”的结构性不稳定，为艺术人才提供基本生活保障和创作安全感。 然而，该模式亦需要较高的财政承受能力和较完备的税收征管与社会保障体系支撑，更适用于已形成较成熟文化产业体系和较强公共财政能力的国家情境。</w:t>
      </w:r>
      <w:bookmarkStart w:id="90" w:name="fnref11_9"/>
      <w:bookmarkEnd w:id="90"/>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p>
    <w:p w14:paraId="7418E4C4">
      <w:pPr>
        <w:spacing w:before="315" w:after="105" w:line="360" w:lineRule="auto"/>
        <w:ind w:left="-30"/>
        <w:jc w:val="left"/>
      </w:pPr>
      <w:bookmarkStart w:id="91" w:name="二_韩国_以_艺术家权利保障法_与专项基金为抓手"/>
      <w:r>
        <w:rPr>
          <w:rFonts w:ascii="inter" w:hAnsi="inter" w:eastAsia="inter" w:cs="inter"/>
          <w:b/>
          <w:color w:val="000000"/>
          <w:sz w:val="24"/>
        </w:rPr>
        <w:t>(二) 韩国：以“艺术家权利保障法”与专项基金为抓手</w:t>
      </w:r>
      <w:bookmarkEnd w:id="91"/>
    </w:p>
    <w:p w14:paraId="4C12F788">
      <w:pPr>
        <w:spacing w:after="210" w:line="360" w:lineRule="auto"/>
      </w:pPr>
      <w:r>
        <w:rPr>
          <w:rFonts w:ascii="inter" w:hAnsi="inter" w:eastAsia="inter" w:cs="inter"/>
          <w:color w:val="000000"/>
        </w:rPr>
        <w:t>据韩国艺术家福利基金会(Korean Artists Welfare Foundation)公开资料，韩国通过《保障艺术家权利法》等立法，明确艺术家职业地位、劳动权利与性别平等要求，并设立专门机构为艺术家提供福利与金融支持。 具体措施包括：</w:t>
      </w:r>
      <w:bookmarkStart w:id="92" w:name="fnref12"/>
      <w:bookmarkEnd w:id="92"/>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p>
    <w:p w14:paraId="0D8DDE1A">
      <w:pPr>
        <w:numPr>
          <w:ilvl w:val="0"/>
          <w:numId w:val="15"/>
        </w:numPr>
        <w:spacing w:before="105" w:after="105" w:line="360" w:lineRule="auto"/>
      </w:pPr>
      <w:r>
        <w:rPr>
          <w:rFonts w:ascii="inter" w:hAnsi="inter" w:eastAsia="inter" w:cs="inter"/>
          <w:color w:val="000000"/>
          <w:sz w:val="21"/>
        </w:rPr>
        <w:t>权利保障：通过立法明确艺术家在创作自由、劳动条件、性骚扰防治等方面的权利保障框架。</w:t>
      </w:r>
      <w:bookmarkStart w:id="93" w:name="fnref12_1"/>
      <w:bookmarkEnd w:id="93"/>
      <w:r>
        <w:fldChar w:fldCharType="begin"/>
      </w:r>
      <w:r>
        <w:instrText xml:space="preserve"> HYPERLINK \l "fn12" \h </w:instrText>
      </w:r>
      <w:r>
        <w:fldChar w:fldCharType="separate"/>
      </w:r>
      <w:r>
        <w:rPr>
          <w:rFonts w:ascii="inter" w:hAnsi="inter" w:eastAsia="inter" w:cs="inter"/>
          <w:color w:val="000000"/>
          <w:sz w:val="21"/>
          <w:u w:val="single"/>
          <w:vertAlign w:val="superscript"/>
        </w:rPr>
        <w:t>[12]</w:t>
      </w:r>
      <w:r>
        <w:rPr>
          <w:rFonts w:ascii="inter" w:hAnsi="inter" w:eastAsia="inter" w:cs="inter"/>
          <w:color w:val="000000"/>
          <w:sz w:val="21"/>
          <w:u w:val="single"/>
          <w:vertAlign w:val="superscript"/>
        </w:rPr>
        <w:fldChar w:fldCharType="end"/>
      </w:r>
    </w:p>
    <w:p w14:paraId="76FFBEA1">
      <w:pPr>
        <w:numPr>
          <w:ilvl w:val="0"/>
          <w:numId w:val="15"/>
        </w:numPr>
        <w:spacing w:before="105" w:after="105" w:line="360" w:lineRule="auto"/>
      </w:pPr>
      <w:r>
        <w:rPr>
          <w:rFonts w:ascii="inter" w:hAnsi="inter" w:eastAsia="inter" w:cs="inter"/>
          <w:color w:val="000000"/>
          <w:sz w:val="21"/>
        </w:rPr>
        <w:t>金融与生活稳定支持：通过低利率贷款、生活稳定基金等形式，为艺术家在收入不稳定时期提供缓冲机制，并逐步将艺术相关学生和青年创作者纳入支持范围。</w:t>
      </w:r>
      <w:bookmarkStart w:id="94" w:name="fnref12_2"/>
      <w:bookmarkEnd w:id="94"/>
      <w:r>
        <w:fldChar w:fldCharType="begin"/>
      </w:r>
      <w:r>
        <w:instrText xml:space="preserve"> HYPERLINK \l "fn12" \h </w:instrText>
      </w:r>
      <w:r>
        <w:fldChar w:fldCharType="separate"/>
      </w:r>
      <w:r>
        <w:rPr>
          <w:rFonts w:ascii="inter" w:hAnsi="inter" w:eastAsia="inter" w:cs="inter"/>
          <w:color w:val="000000"/>
          <w:sz w:val="21"/>
          <w:u w:val="single"/>
          <w:vertAlign w:val="superscript"/>
        </w:rPr>
        <w:t>[12]</w:t>
      </w:r>
      <w:r>
        <w:rPr>
          <w:rFonts w:ascii="inter" w:hAnsi="inter" w:eastAsia="inter" w:cs="inter"/>
          <w:color w:val="000000"/>
          <w:sz w:val="21"/>
          <w:u w:val="single"/>
          <w:vertAlign w:val="superscript"/>
        </w:rPr>
        <w:fldChar w:fldCharType="end"/>
      </w:r>
    </w:p>
    <w:p w14:paraId="4B3A5CDB">
      <w:pPr>
        <w:spacing w:after="210" w:line="360" w:lineRule="auto"/>
      </w:pPr>
      <w:r>
        <w:rPr>
          <w:rFonts w:ascii="inter" w:hAnsi="inter" w:eastAsia="inter" w:cs="inter"/>
          <w:color w:val="000000"/>
        </w:rPr>
        <w:t>优势在于以法律形式将艺术人才视为“劳动者”而非纯粹“天赋型个体”，在一定程度上提升了其社会保障和职业尊严。 然而，该路径对制度执行、项目评估与资金管理提出较高要求，更适用于具有较强行政执行力和完善社会保障体系的国家，对其他国家在制度移植时需要谨慎评估本土行政与财政承载能力。</w:t>
      </w:r>
      <w:bookmarkStart w:id="95" w:name="fnref12_3"/>
      <w:bookmarkEnd w:id="95"/>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p>
    <w:p w14:paraId="6C2320E2">
      <w:pPr>
        <w:spacing w:before="315" w:after="105" w:line="360" w:lineRule="auto"/>
        <w:ind w:left="-30"/>
        <w:jc w:val="left"/>
      </w:pPr>
      <w:bookmarkStart w:id="96" w:name="三_国内政策环境的若干切面"/>
      <w:r>
        <w:rPr>
          <w:rFonts w:ascii="inter" w:hAnsi="inter" w:eastAsia="inter" w:cs="inter"/>
          <w:b/>
          <w:color w:val="000000"/>
          <w:sz w:val="24"/>
        </w:rPr>
        <w:t>(三) 国内政策环境的若干切面</w:t>
      </w:r>
      <w:bookmarkEnd w:id="96"/>
    </w:p>
    <w:p w14:paraId="3E6B8416">
      <w:pPr>
        <w:spacing w:after="210" w:line="360" w:lineRule="auto"/>
      </w:pPr>
      <w:r>
        <w:rPr>
          <w:rFonts w:ascii="inter" w:hAnsi="inter" w:eastAsia="inter" w:cs="inter"/>
          <w:color w:val="000000"/>
        </w:rPr>
        <w:t>中国文化和旅游部近年来在规范演艺市场、提升从业者素质与优化人才发展环境方面出台了多项制度性安排，例如针对演艺经纪人员的资质管理与教育培训制度。 相关规定在一定程度上通过强化职业伦理、规范收入分配与整顿市场秩序，为艺术人才营造更加健康的行业环境。</w:t>
      </w:r>
      <w:bookmarkStart w:id="97" w:name="fnref9_2"/>
      <w:bookmarkEnd w:id="97"/>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bookmarkStart w:id="98" w:name="fnref6_5"/>
      <w:bookmarkEnd w:id="98"/>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p>
    <w:p w14:paraId="0E531D21">
      <w:pPr>
        <w:spacing w:after="210" w:line="360" w:lineRule="auto"/>
      </w:pPr>
      <w:r>
        <w:rPr>
          <w:rFonts w:ascii="inter" w:hAnsi="inter" w:eastAsia="inter" w:cs="inter"/>
          <w:color w:val="000000"/>
        </w:rPr>
        <w:t>这类政策的优势在于有助于矫正娱乐产业中的不良倾向，为艺术人才提供相对公平、有序的竞争环境。 然而，在艺术人才多元化发展的广义生态构建方面，现有政策仍更多聚焦于特定行业环节(如演艺经纪)，对跨界融合路径、IP运营能力培养与区域均衡支持等方面仍有进一步系统化政策空间。</w:t>
      </w:r>
      <w:bookmarkStart w:id="99" w:name="fnref9_3"/>
      <w:bookmarkEnd w:id="99"/>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bookmarkStart w:id="100" w:name="fnref6_6"/>
      <w:bookmarkEnd w:id="100"/>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p>
    <w:p w14:paraId="737CA8D5">
      <w:pPr>
        <w:spacing w:before="315" w:after="105" w:line="360" w:lineRule="auto"/>
        <w:ind w:left="-30"/>
        <w:jc w:val="left"/>
      </w:pPr>
      <w:bookmarkStart w:id="101" w:name="五_战略构建与政策建议"/>
      <w:r>
        <w:rPr>
          <w:rFonts w:ascii="inter" w:hAnsi="inter" w:eastAsia="inter" w:cs="inter"/>
          <w:b/>
          <w:color w:val="000000"/>
          <w:sz w:val="24"/>
        </w:rPr>
        <w:t>五、战略构建与政策建议</w:t>
      </w:r>
      <w:bookmarkEnd w:id="101"/>
    </w:p>
    <w:p w14:paraId="4BF6004E">
      <w:pPr>
        <w:spacing w:before="315" w:after="105" w:line="360" w:lineRule="auto"/>
        <w:ind w:left="-30"/>
        <w:jc w:val="left"/>
      </w:pPr>
      <w:bookmarkStart w:id="102" w:name="一_战略目标与总体框架"/>
      <w:r>
        <w:rPr>
          <w:rFonts w:ascii="inter" w:hAnsi="inter" w:eastAsia="inter" w:cs="inter"/>
          <w:b/>
          <w:color w:val="000000"/>
          <w:sz w:val="24"/>
        </w:rPr>
        <w:t>(一) 战略目标与总体框架</w:t>
      </w:r>
      <w:bookmarkEnd w:id="102"/>
    </w:p>
    <w:p w14:paraId="1FBFB2AF">
      <w:pPr>
        <w:spacing w:after="210" w:line="360" w:lineRule="auto"/>
      </w:pPr>
      <w:r>
        <w:rPr>
          <w:rFonts w:ascii="inter" w:hAnsi="inter" w:eastAsia="inter" w:cs="inter"/>
          <w:color w:val="000000"/>
        </w:rPr>
        <w:t>据UNESCO和世界银行对创意经济的中长期预测，文化和创意产业在2030年前有望在全球经济结构中占据更高比重，这通常意味着各国在文化政策上正从“部门性文化政策”向“国家发展战略支柱”跃升。 在此背景下，中国艺术人才多元化发展与生态构建建议在以下国家战略框架下统筹推进：</w:t>
      </w:r>
      <w:bookmarkStart w:id="103" w:name="fnref3_7"/>
      <w:bookmarkEnd w:id="103"/>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bookmarkStart w:id="104" w:name="fnref4_25"/>
      <w:bookmarkEnd w:id="104"/>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p>
    <w:p w14:paraId="66F10637">
      <w:pPr>
        <w:numPr>
          <w:ilvl w:val="0"/>
          <w:numId w:val="16"/>
        </w:numPr>
        <w:spacing w:before="105" w:after="105" w:line="360" w:lineRule="auto"/>
      </w:pPr>
      <w:r>
        <w:rPr>
          <w:rFonts w:ascii="inter" w:hAnsi="inter" w:eastAsia="inter" w:cs="inter"/>
          <w:color w:val="000000"/>
          <w:sz w:val="21"/>
        </w:rPr>
        <w:t>与“文化强国战略”对接：将高质量艺术人才视为国家文化软实力与国际传播能力建设的关键资源。</w:t>
      </w:r>
    </w:p>
    <w:p w14:paraId="65E06DDC">
      <w:pPr>
        <w:numPr>
          <w:ilvl w:val="0"/>
          <w:numId w:val="16"/>
        </w:numPr>
        <w:spacing w:before="105" w:after="105" w:line="360" w:lineRule="auto"/>
      </w:pPr>
      <w:r>
        <w:rPr>
          <w:rFonts w:ascii="inter" w:hAnsi="inter" w:eastAsia="inter" w:cs="inter"/>
          <w:color w:val="000000"/>
          <w:sz w:val="21"/>
        </w:rPr>
        <w:t>与“数字经济国家战略”对接：将艺术人才纳入数字内容产业、平台经济与沉浸式体验经济的重点人才序列。</w:t>
      </w:r>
    </w:p>
    <w:p w14:paraId="4CC59816">
      <w:pPr>
        <w:numPr>
          <w:ilvl w:val="0"/>
          <w:numId w:val="16"/>
        </w:numPr>
        <w:spacing w:before="105" w:after="105" w:line="360" w:lineRule="auto"/>
      </w:pPr>
      <w:r>
        <w:rPr>
          <w:rFonts w:ascii="inter" w:hAnsi="inter" w:eastAsia="inter" w:cs="inter"/>
          <w:color w:val="000000"/>
          <w:sz w:val="21"/>
        </w:rPr>
        <w:t>与“乡村振兴战略”对接：通过公共艺术、文化旅游和非遗活化等，将艺术人才嵌入乡村产业与社区治理。</w:t>
      </w:r>
    </w:p>
    <w:p w14:paraId="1B644F34">
      <w:pPr>
        <w:numPr>
          <w:ilvl w:val="0"/>
          <w:numId w:val="16"/>
        </w:numPr>
        <w:spacing w:before="105" w:after="105" w:line="360" w:lineRule="auto"/>
      </w:pPr>
      <w:r>
        <w:rPr>
          <w:rFonts w:ascii="inter" w:hAnsi="inter" w:eastAsia="inter" w:cs="inter"/>
          <w:color w:val="000000"/>
          <w:sz w:val="21"/>
        </w:rPr>
        <w:t>与“人才强国战略”对接：在高层次人才体系中明确艺术人才的战略地位，完善评价指标与支持工具。</w:t>
      </w:r>
      <w:bookmarkStart w:id="105" w:name="fnref6_7"/>
      <w:bookmarkEnd w:id="105"/>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bookmarkStart w:id="106" w:name="fnref4_26"/>
      <w:bookmarkEnd w:id="106"/>
      <w:r>
        <w:fldChar w:fldCharType="begin"/>
      </w:r>
      <w:r>
        <w:instrText xml:space="preserve"> HYPERLINK \l "fn4" \h </w:instrText>
      </w:r>
      <w:r>
        <w:fldChar w:fldCharType="separate"/>
      </w:r>
      <w:r>
        <w:rPr>
          <w:rFonts w:ascii="inter" w:hAnsi="inter" w:eastAsia="inter" w:cs="inter"/>
          <w:color w:val="000000"/>
          <w:sz w:val="21"/>
          <w:u w:val="single"/>
          <w:vertAlign w:val="superscript"/>
        </w:rPr>
        <w:t>[4]</w:t>
      </w:r>
      <w:r>
        <w:rPr>
          <w:rFonts w:ascii="inter" w:hAnsi="inter" w:eastAsia="inter" w:cs="inter"/>
          <w:color w:val="000000"/>
          <w:sz w:val="21"/>
          <w:u w:val="single"/>
          <w:vertAlign w:val="superscript"/>
        </w:rPr>
        <w:fldChar w:fldCharType="end"/>
      </w:r>
    </w:p>
    <w:p w14:paraId="73EC02EC">
      <w:pPr>
        <w:spacing w:before="315" w:after="105" w:line="360" w:lineRule="auto"/>
        <w:ind w:left="-30"/>
        <w:jc w:val="left"/>
      </w:pPr>
      <w:bookmarkStart w:id="107" w:name="二_艺术人才价值转化漏斗_的政策工具化"/>
      <w:r>
        <w:rPr>
          <w:rFonts w:ascii="inter" w:hAnsi="inter" w:eastAsia="inter" w:cs="inter"/>
          <w:b/>
          <w:color w:val="000000"/>
          <w:sz w:val="24"/>
        </w:rPr>
        <w:t>(二) “艺术人才价值转化漏斗”的政策工具化</w:t>
      </w:r>
      <w:bookmarkEnd w:id="107"/>
    </w:p>
    <w:p w14:paraId="5A417531">
      <w:pPr>
        <w:spacing w:after="210" w:line="360" w:lineRule="auto"/>
      </w:pPr>
      <w:r>
        <w:rPr>
          <w:rFonts w:ascii="inter" w:hAnsi="inter" w:eastAsia="inter" w:cs="inter"/>
          <w:color w:val="000000"/>
        </w:rPr>
        <w:t>围绕“创意生成–IP固化–市场触达–价值变现”四阶段，本报告建议构建分环节政策工具箱，以提高艺术人才价值实现效率。</w:t>
      </w:r>
      <w:bookmarkStart w:id="108" w:name="fnref5_9"/>
      <w:bookmarkEnd w:id="108"/>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bookmarkStart w:id="109" w:name="fnref4_27"/>
      <w:bookmarkEnd w:id="109"/>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p>
    <w:p w14:paraId="1A65DDEA">
      <w:pPr>
        <w:numPr>
          <w:ilvl w:val="0"/>
          <w:numId w:val="17"/>
        </w:numPr>
        <w:spacing w:before="105" w:after="105" w:line="360" w:lineRule="auto"/>
      </w:pPr>
      <w:r>
        <w:rPr>
          <w:rFonts w:ascii="inter" w:hAnsi="inter" w:eastAsia="inter" w:cs="inter"/>
          <w:color w:val="000000"/>
          <w:sz w:val="21"/>
        </w:rPr>
        <w:t>创意生成阶段(IDEATION)</w:t>
      </w:r>
    </w:p>
    <w:p w14:paraId="2CF35E62">
      <w:pPr>
        <w:numPr>
          <w:ilvl w:val="0"/>
          <w:numId w:val="18"/>
        </w:numPr>
        <w:spacing w:before="105" w:after="105" w:line="360" w:lineRule="auto"/>
      </w:pPr>
      <w:r>
        <w:rPr>
          <w:rFonts w:ascii="inter" w:hAnsi="inter" w:eastAsia="inter" w:cs="inter"/>
          <w:color w:val="000000"/>
          <w:sz w:val="21"/>
        </w:rPr>
        <w:t>建议考虑通过创意实验基金、驻地计划、青年艺术家扶持项目等方式，为早期创意提供基础支持。</w:t>
      </w:r>
    </w:p>
    <w:p w14:paraId="264BC736">
      <w:pPr>
        <w:numPr>
          <w:ilvl w:val="0"/>
          <w:numId w:val="18"/>
        </w:numPr>
        <w:spacing w:before="105" w:after="105" w:line="360" w:lineRule="auto"/>
      </w:pPr>
      <w:r>
        <w:rPr>
          <w:rFonts w:ascii="inter" w:hAnsi="inter" w:eastAsia="inter" w:cs="inter"/>
          <w:color w:val="000000"/>
          <w:sz w:val="21"/>
        </w:rPr>
        <w:t>潜在局限在于早期项目评估不确定性高，可能在一定程度上带来资源配置效率争议，更适用于侧重探索性与前瞻性的公共文化资金。</w:t>
      </w:r>
      <w:bookmarkStart w:id="110" w:name="fnref5_10"/>
      <w:bookmarkEnd w:id="110"/>
      <w:r>
        <w:fldChar w:fldCharType="begin"/>
      </w:r>
      <w:r>
        <w:instrText xml:space="preserve"> HYPERLINK \l "fn5" \h </w:instrText>
      </w:r>
      <w:r>
        <w:fldChar w:fldCharType="separate"/>
      </w:r>
      <w:r>
        <w:rPr>
          <w:rFonts w:ascii="inter" w:hAnsi="inter" w:eastAsia="inter" w:cs="inter"/>
          <w:color w:val="000000"/>
          <w:sz w:val="21"/>
          <w:u w:val="single"/>
          <w:vertAlign w:val="superscript"/>
        </w:rPr>
        <w:t>[5]</w:t>
      </w:r>
      <w:r>
        <w:rPr>
          <w:rFonts w:ascii="inter" w:hAnsi="inter" w:eastAsia="inter" w:cs="inter"/>
          <w:color w:val="000000"/>
          <w:sz w:val="21"/>
          <w:u w:val="single"/>
          <w:vertAlign w:val="superscript"/>
        </w:rPr>
        <w:fldChar w:fldCharType="end"/>
      </w:r>
      <w:bookmarkStart w:id="111" w:name="fnref4_28"/>
      <w:bookmarkEnd w:id="111"/>
      <w:r>
        <w:fldChar w:fldCharType="begin"/>
      </w:r>
      <w:r>
        <w:instrText xml:space="preserve"> HYPERLINK \l "fn4" \h </w:instrText>
      </w:r>
      <w:r>
        <w:fldChar w:fldCharType="separate"/>
      </w:r>
      <w:r>
        <w:rPr>
          <w:rFonts w:ascii="inter" w:hAnsi="inter" w:eastAsia="inter" w:cs="inter"/>
          <w:color w:val="000000"/>
          <w:sz w:val="21"/>
          <w:u w:val="single"/>
          <w:vertAlign w:val="superscript"/>
        </w:rPr>
        <w:t>[4]</w:t>
      </w:r>
      <w:r>
        <w:rPr>
          <w:rFonts w:ascii="inter" w:hAnsi="inter" w:eastAsia="inter" w:cs="inter"/>
          <w:color w:val="000000"/>
          <w:sz w:val="21"/>
          <w:u w:val="single"/>
          <w:vertAlign w:val="superscript"/>
        </w:rPr>
        <w:fldChar w:fldCharType="end"/>
      </w:r>
    </w:p>
    <w:p w14:paraId="34C99F8D">
      <w:pPr>
        <w:numPr>
          <w:ilvl w:val="0"/>
          <w:numId w:val="19"/>
        </w:numPr>
        <w:spacing w:before="105" w:after="105" w:line="360" w:lineRule="auto"/>
      </w:pPr>
      <w:r>
        <w:rPr>
          <w:rFonts w:ascii="inter" w:hAnsi="inter" w:eastAsia="inter" w:cs="inter"/>
          <w:color w:val="000000"/>
          <w:sz w:val="21"/>
        </w:rPr>
        <w:t>知识产权固化阶段(IP FIXATION)</w:t>
      </w:r>
    </w:p>
    <w:p w14:paraId="6F996271">
      <w:pPr>
        <w:numPr>
          <w:ilvl w:val="0"/>
          <w:numId w:val="20"/>
        </w:numPr>
        <w:spacing w:before="105" w:after="105" w:line="360" w:lineRule="auto"/>
      </w:pPr>
      <w:r>
        <w:rPr>
          <w:rFonts w:ascii="inter" w:hAnsi="inter" w:eastAsia="inter" w:cs="inter"/>
          <w:color w:val="000000"/>
          <w:sz w:val="21"/>
        </w:rPr>
        <w:t>建议推动艺术院校与版权服务机构合作，为青年艺术人才提供版权登记、合同审查与IP策略咨询等基础服务。</w:t>
      </w:r>
      <w:bookmarkStart w:id="112" w:name="fnref5_11"/>
      <w:bookmarkEnd w:id="112"/>
      <w:r>
        <w:fldChar w:fldCharType="begin"/>
      </w:r>
      <w:r>
        <w:instrText xml:space="preserve"> HYPERLINK \l "fn5" \h </w:instrText>
      </w:r>
      <w:r>
        <w:fldChar w:fldCharType="separate"/>
      </w:r>
      <w:r>
        <w:rPr>
          <w:rFonts w:ascii="inter" w:hAnsi="inter" w:eastAsia="inter" w:cs="inter"/>
          <w:color w:val="000000"/>
          <w:sz w:val="21"/>
          <w:u w:val="single"/>
          <w:vertAlign w:val="superscript"/>
        </w:rPr>
        <w:t>[5]</w:t>
      </w:r>
      <w:r>
        <w:rPr>
          <w:rFonts w:ascii="inter" w:hAnsi="inter" w:eastAsia="inter" w:cs="inter"/>
          <w:color w:val="000000"/>
          <w:sz w:val="21"/>
          <w:u w:val="single"/>
          <w:vertAlign w:val="superscript"/>
        </w:rPr>
        <w:fldChar w:fldCharType="end"/>
      </w:r>
    </w:p>
    <w:p w14:paraId="43F0B31E">
      <w:pPr>
        <w:numPr>
          <w:ilvl w:val="0"/>
          <w:numId w:val="20"/>
        </w:numPr>
        <w:spacing w:before="105" w:after="105" w:line="360" w:lineRule="auto"/>
      </w:pPr>
      <w:r>
        <w:rPr>
          <w:rFonts w:ascii="inter" w:hAnsi="inter" w:eastAsia="inter" w:cs="inter"/>
          <w:color w:val="000000"/>
          <w:sz w:val="21"/>
        </w:rPr>
        <w:t>这一措施可能在短期内增加管理成本与培训需求，更适用于在一定规模的文化产业集聚区或试点城市率先落地。</w:t>
      </w:r>
      <w:bookmarkStart w:id="113" w:name="fnref6_8"/>
      <w:bookmarkEnd w:id="113"/>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bookmarkStart w:id="114" w:name="fnref5_12"/>
      <w:bookmarkEnd w:id="114"/>
      <w:r>
        <w:fldChar w:fldCharType="begin"/>
      </w:r>
      <w:r>
        <w:instrText xml:space="preserve"> HYPERLINK \l "fn5" \h </w:instrText>
      </w:r>
      <w:r>
        <w:fldChar w:fldCharType="separate"/>
      </w:r>
      <w:r>
        <w:rPr>
          <w:rFonts w:ascii="inter" w:hAnsi="inter" w:eastAsia="inter" w:cs="inter"/>
          <w:color w:val="000000"/>
          <w:sz w:val="21"/>
          <w:u w:val="single"/>
          <w:vertAlign w:val="superscript"/>
        </w:rPr>
        <w:t>[5]</w:t>
      </w:r>
      <w:r>
        <w:rPr>
          <w:rFonts w:ascii="inter" w:hAnsi="inter" w:eastAsia="inter" w:cs="inter"/>
          <w:color w:val="000000"/>
          <w:sz w:val="21"/>
          <w:u w:val="single"/>
          <w:vertAlign w:val="superscript"/>
        </w:rPr>
        <w:fldChar w:fldCharType="end"/>
      </w:r>
    </w:p>
    <w:p w14:paraId="2728D15A">
      <w:pPr>
        <w:numPr>
          <w:ilvl w:val="0"/>
          <w:numId w:val="21"/>
        </w:numPr>
        <w:spacing w:before="105" w:after="105" w:line="360" w:lineRule="auto"/>
      </w:pPr>
      <w:r>
        <w:rPr>
          <w:rFonts w:ascii="inter" w:hAnsi="inter" w:eastAsia="inter" w:cs="inter"/>
          <w:color w:val="000000"/>
          <w:sz w:val="21"/>
        </w:rPr>
        <w:t>市场触达阶段(MARKET REACH)</w:t>
      </w:r>
    </w:p>
    <w:p w14:paraId="1AC51E73">
      <w:pPr>
        <w:numPr>
          <w:ilvl w:val="0"/>
          <w:numId w:val="22"/>
        </w:numPr>
        <w:spacing w:before="105" w:after="105" w:line="360" w:lineRule="auto"/>
      </w:pPr>
      <w:r>
        <w:rPr>
          <w:rFonts w:ascii="inter" w:hAnsi="inter" w:eastAsia="inter" w:cs="inter"/>
          <w:color w:val="000000"/>
          <w:sz w:val="21"/>
        </w:rPr>
        <w:t>建议完善公共文化平台与数字平台的“艺术内容专区”，通过算法倾斜、专题运营等方式，为高质量艺术内容提供基础流量支持。</w:t>
      </w:r>
      <w:bookmarkStart w:id="115" w:name="fnref8_7"/>
      <w:bookmarkEnd w:id="115"/>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bookmarkStart w:id="116" w:name="fnref7_9"/>
      <w:bookmarkEnd w:id="116"/>
      <w:r>
        <w:fldChar w:fldCharType="begin"/>
      </w:r>
      <w:r>
        <w:instrText xml:space="preserve"> HYPERLINK \l "fn7" \h </w:instrText>
      </w:r>
      <w:r>
        <w:fldChar w:fldCharType="separate"/>
      </w:r>
      <w:r>
        <w:rPr>
          <w:rFonts w:ascii="inter" w:hAnsi="inter" w:eastAsia="inter" w:cs="inter"/>
          <w:color w:val="000000"/>
          <w:sz w:val="21"/>
          <w:u w:val="single"/>
          <w:vertAlign w:val="superscript"/>
        </w:rPr>
        <w:t>[7]</w:t>
      </w:r>
      <w:r>
        <w:rPr>
          <w:rFonts w:ascii="inter" w:hAnsi="inter" w:eastAsia="inter" w:cs="inter"/>
          <w:color w:val="000000"/>
          <w:sz w:val="21"/>
          <w:u w:val="single"/>
          <w:vertAlign w:val="superscript"/>
        </w:rPr>
        <w:fldChar w:fldCharType="end"/>
      </w:r>
    </w:p>
    <w:p w14:paraId="4D209298">
      <w:pPr>
        <w:numPr>
          <w:ilvl w:val="0"/>
          <w:numId w:val="22"/>
        </w:numPr>
        <w:spacing w:before="105" w:after="105" w:line="360" w:lineRule="auto"/>
      </w:pPr>
      <w:r>
        <w:rPr>
          <w:rFonts w:ascii="inter" w:hAnsi="inter" w:eastAsia="inter" w:cs="inter"/>
          <w:color w:val="000000"/>
          <w:sz w:val="21"/>
        </w:rPr>
        <w:t>然而，平台运营机制复杂，涉及商业模式与用户偏好，政策干预空间有限，更适用于通过政策引导与行业倡议的柔性方式推进。</w:t>
      </w:r>
      <w:bookmarkStart w:id="117" w:name="fnref8_8"/>
      <w:bookmarkEnd w:id="117"/>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p>
    <w:p w14:paraId="51264A13">
      <w:pPr>
        <w:numPr>
          <w:ilvl w:val="0"/>
          <w:numId w:val="23"/>
        </w:numPr>
        <w:spacing w:before="105" w:after="105" w:line="360" w:lineRule="auto"/>
      </w:pPr>
      <w:r>
        <w:rPr>
          <w:rFonts w:ascii="inter" w:hAnsi="inter" w:eastAsia="inter" w:cs="inter"/>
          <w:color w:val="000000"/>
          <w:sz w:val="21"/>
        </w:rPr>
        <w:t>价值变现阶段(MONETIZATION)</w:t>
      </w:r>
    </w:p>
    <w:p w14:paraId="2185FF7C">
      <w:pPr>
        <w:numPr>
          <w:ilvl w:val="0"/>
          <w:numId w:val="24"/>
        </w:numPr>
        <w:spacing w:before="105" w:after="105" w:line="360" w:lineRule="auto"/>
      </w:pPr>
      <w:r>
        <w:rPr>
          <w:rFonts w:ascii="inter" w:hAnsi="inter" w:eastAsia="inter" w:cs="inter"/>
          <w:color w:val="000000"/>
          <w:sz w:val="21"/>
        </w:rPr>
        <w:t>建议鼓励发展艺术IP授权、联名合作、衍生品开发与跨界品牌合作，为艺术人才构建多元收入来源。</w:t>
      </w:r>
      <w:bookmarkStart w:id="118" w:name="fnref5_13"/>
      <w:bookmarkEnd w:id="118"/>
      <w:r>
        <w:fldChar w:fldCharType="begin"/>
      </w:r>
      <w:r>
        <w:instrText xml:space="preserve"> HYPERLINK \l "fn5" \h </w:instrText>
      </w:r>
      <w:r>
        <w:fldChar w:fldCharType="separate"/>
      </w:r>
      <w:r>
        <w:rPr>
          <w:rFonts w:ascii="inter" w:hAnsi="inter" w:eastAsia="inter" w:cs="inter"/>
          <w:color w:val="000000"/>
          <w:sz w:val="21"/>
          <w:u w:val="single"/>
          <w:vertAlign w:val="superscript"/>
        </w:rPr>
        <w:t>[5]</w:t>
      </w:r>
      <w:r>
        <w:rPr>
          <w:rFonts w:ascii="inter" w:hAnsi="inter" w:eastAsia="inter" w:cs="inter"/>
          <w:color w:val="000000"/>
          <w:sz w:val="21"/>
          <w:u w:val="single"/>
          <w:vertAlign w:val="superscript"/>
        </w:rPr>
        <w:fldChar w:fldCharType="end"/>
      </w:r>
    </w:p>
    <w:p w14:paraId="5D04A22B">
      <w:pPr>
        <w:numPr>
          <w:ilvl w:val="0"/>
          <w:numId w:val="24"/>
        </w:numPr>
        <w:spacing w:before="105" w:after="105" w:line="360" w:lineRule="auto"/>
      </w:pPr>
      <w:r>
        <w:rPr>
          <w:rFonts w:ascii="inter" w:hAnsi="inter" w:eastAsia="inter" w:cs="inter"/>
          <w:color w:val="000000"/>
          <w:sz w:val="21"/>
        </w:rPr>
        <w:t>潜在局限在于部分艺术人才对商业合作持保留态度，艺术本体价值与商业诉求之间的平衡需要在实践中逐步探索，更适用于具有较强品牌意识和团队支持的艺术家群体。</w:t>
      </w:r>
      <w:bookmarkStart w:id="119" w:name="fnref5_14"/>
      <w:bookmarkEnd w:id="119"/>
      <w:r>
        <w:fldChar w:fldCharType="begin"/>
      </w:r>
      <w:r>
        <w:instrText xml:space="preserve"> HYPERLINK \l "fn5" \h </w:instrText>
      </w:r>
      <w:r>
        <w:fldChar w:fldCharType="separate"/>
      </w:r>
      <w:r>
        <w:rPr>
          <w:rFonts w:ascii="inter" w:hAnsi="inter" w:eastAsia="inter" w:cs="inter"/>
          <w:color w:val="000000"/>
          <w:sz w:val="21"/>
          <w:u w:val="single"/>
          <w:vertAlign w:val="superscript"/>
        </w:rPr>
        <w:t>[5]</w:t>
      </w:r>
      <w:r>
        <w:rPr>
          <w:rFonts w:ascii="inter" w:hAnsi="inter" w:eastAsia="inter" w:cs="inter"/>
          <w:color w:val="000000"/>
          <w:sz w:val="21"/>
          <w:u w:val="single"/>
          <w:vertAlign w:val="superscript"/>
        </w:rPr>
        <w:fldChar w:fldCharType="end"/>
      </w:r>
    </w:p>
    <w:p w14:paraId="67D23E0F">
      <w:pPr>
        <w:spacing w:before="315" w:after="105" w:line="360" w:lineRule="auto"/>
        <w:ind w:left="-30"/>
        <w:jc w:val="left"/>
      </w:pPr>
      <w:bookmarkStart w:id="120" w:name="三_表2_主要国家艺术人才支持政策对比分析表"/>
      <w:r>
        <w:rPr>
          <w:rFonts w:ascii="inter" w:hAnsi="inter" w:eastAsia="inter" w:cs="inter"/>
          <w:b/>
          <w:color w:val="000000"/>
          <w:sz w:val="24"/>
        </w:rPr>
        <w:t>(三) 表2：主要国家艺术人才支持政策对比分析表</w:t>
      </w:r>
      <w:bookmarkEnd w:id="120"/>
    </w:p>
    <w:p w14:paraId="183E8965">
      <w:pPr>
        <w:spacing w:after="210" w:line="360" w:lineRule="auto"/>
      </w:pPr>
      <w:r>
        <w:rPr>
          <w:rFonts w:ascii="inter" w:hAnsi="inter" w:eastAsia="inter" w:cs="inter"/>
          <w:b/>
          <w:color w:val="000000"/>
        </w:rPr>
        <w:t>表2：主要国家艺术人才支持政策对比分析表（财政、税收、法律、教育四维度）</w:t>
      </w:r>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903"/>
        <w:gridCol w:w="2857"/>
        <w:gridCol w:w="2857"/>
        <w:gridCol w:w="3223"/>
      </w:tblGrid>
      <w:tr w14:paraId="349FC5F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DBC33C3">
            <w:pPr>
              <w:spacing w:after="0" w:line="360" w:lineRule="auto"/>
            </w:pPr>
            <w:r>
              <w:rPr>
                <w:rFonts w:ascii="inter" w:hAnsi="inter" w:eastAsia="inter" w:cs="inter"/>
                <w:color w:val="000000"/>
                <w:sz w:val="17"/>
              </w:rPr>
              <w:t>维度</w:t>
            </w:r>
          </w:p>
        </w:tc>
        <w:tc>
          <w:tcPr>
            <w:tcBorders>
              <w:top w:val="single" w:color="000000" w:sz="0" w:space="0"/>
              <w:bottom w:val="single" w:color="000000" w:sz="0" w:space="0"/>
              <w:right w:val="single" w:color="000000" w:sz="0" w:space="0"/>
            </w:tcBorders>
          </w:tcPr>
          <w:p w14:paraId="06C9D4E4">
            <w:pPr>
              <w:spacing w:after="0" w:line="360" w:lineRule="auto"/>
            </w:pPr>
            <w:r>
              <w:rPr>
                <w:rFonts w:ascii="inter" w:hAnsi="inter" w:eastAsia="inter" w:cs="inter"/>
                <w:color w:val="000000"/>
                <w:sz w:val="17"/>
              </w:rPr>
              <w:t>法国艺术人才政策特点</w:t>
            </w:r>
          </w:p>
        </w:tc>
        <w:tc>
          <w:tcPr>
            <w:tcBorders>
              <w:top w:val="single" w:color="000000" w:sz="0" w:space="0"/>
              <w:bottom w:val="single" w:color="000000" w:sz="0" w:space="0"/>
              <w:right w:val="single" w:color="000000" w:sz="0" w:space="0"/>
            </w:tcBorders>
          </w:tcPr>
          <w:p w14:paraId="09186F2F">
            <w:pPr>
              <w:spacing w:after="0" w:line="360" w:lineRule="auto"/>
            </w:pPr>
            <w:r>
              <w:rPr>
                <w:rFonts w:ascii="inter" w:hAnsi="inter" w:eastAsia="inter" w:cs="inter"/>
                <w:color w:val="000000"/>
                <w:sz w:val="17"/>
              </w:rPr>
              <w:t>韩国艺术人才政策特点</w:t>
            </w:r>
          </w:p>
        </w:tc>
        <w:tc>
          <w:tcPr>
            <w:tcBorders>
              <w:top w:val="single" w:color="000000" w:sz="0" w:space="0"/>
              <w:bottom w:val="single" w:color="000000" w:sz="0" w:space="0"/>
            </w:tcBorders>
          </w:tcPr>
          <w:p w14:paraId="36286A3E">
            <w:pPr>
              <w:spacing w:after="0" w:line="360" w:lineRule="auto"/>
            </w:pPr>
            <w:r>
              <w:rPr>
                <w:rFonts w:ascii="inter" w:hAnsi="inter" w:eastAsia="inter" w:cs="inter"/>
                <w:color w:val="000000"/>
                <w:sz w:val="17"/>
              </w:rPr>
              <w:t>中国现阶段相关实践特点</w:t>
            </w:r>
          </w:p>
        </w:tc>
      </w:tr>
      <w:tr w14:paraId="3A624DF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2B72665E">
            <w:pPr>
              <w:spacing w:after="0" w:line="360" w:lineRule="auto"/>
            </w:pPr>
            <w:r>
              <w:rPr>
                <w:rFonts w:ascii="inter" w:hAnsi="inter" w:eastAsia="inter" w:cs="inter"/>
                <w:color w:val="000000"/>
                <w:sz w:val="17"/>
              </w:rPr>
              <w:t>财政支持</w:t>
            </w:r>
          </w:p>
        </w:tc>
        <w:tc>
          <w:tcPr>
            <w:tcBorders>
              <w:top w:val="single" w:color="000000" w:sz="0" w:space="0"/>
              <w:bottom w:val="single" w:color="000000" w:sz="0" w:space="0"/>
              <w:right w:val="single" w:color="000000" w:sz="0" w:space="0"/>
            </w:tcBorders>
          </w:tcPr>
          <w:p w14:paraId="21F3B9C9">
            <w:pPr>
              <w:spacing w:after="0" w:line="360" w:lineRule="auto"/>
            </w:pPr>
            <w:r>
              <w:rPr>
                <w:rFonts w:ascii="inter" w:hAnsi="inter" w:eastAsia="inter" w:cs="inter"/>
                <w:color w:val="000000"/>
                <w:sz w:val="17"/>
              </w:rPr>
              <w:t>公共文化资金覆盖创作补助、项目扶持与失业保障</w:t>
            </w:r>
            <w:r>
              <w:fldChar w:fldCharType="begin"/>
            </w:r>
            <w:r>
              <w:instrText xml:space="preserve"> HYPERLINK \l "fn11" \h </w:instrText>
            </w:r>
            <w:r>
              <w:fldChar w:fldCharType="separate"/>
            </w:r>
            <w:r>
              <w:rPr>
                <w:rFonts w:ascii="inter" w:hAnsi="inter" w:eastAsia="inter" w:cs="inter"/>
                <w:color w:val="000000"/>
                <w:sz w:val="17"/>
                <w:u w:val="single"/>
                <w:vertAlign w:val="superscript"/>
              </w:rPr>
              <w:t>[11]</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right w:val="single" w:color="000000" w:sz="0" w:space="0"/>
            </w:tcBorders>
          </w:tcPr>
          <w:p w14:paraId="41A46819">
            <w:pPr>
              <w:spacing w:after="0" w:line="360" w:lineRule="auto"/>
            </w:pPr>
            <w:r>
              <w:rPr>
                <w:rFonts w:ascii="inter" w:hAnsi="inter" w:eastAsia="inter" w:cs="inter"/>
                <w:color w:val="000000"/>
                <w:sz w:val="17"/>
              </w:rPr>
              <w:t>设立艺术家福利基金、生活稳定贷款与项目资助</w:t>
            </w:r>
            <w:r>
              <w:fldChar w:fldCharType="begin"/>
            </w:r>
            <w:r>
              <w:instrText xml:space="preserve"> HYPERLINK \l "fn12" \h </w:instrText>
            </w:r>
            <w:r>
              <w:fldChar w:fldCharType="separate"/>
            </w:r>
            <w:r>
              <w:rPr>
                <w:rFonts w:ascii="inter" w:hAnsi="inter" w:eastAsia="inter" w:cs="inter"/>
                <w:color w:val="000000"/>
                <w:sz w:val="17"/>
                <w:u w:val="single"/>
                <w:vertAlign w:val="superscript"/>
              </w:rPr>
              <w:t>[12]</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tcBorders>
          </w:tcPr>
          <w:p w14:paraId="06AD4294">
            <w:pPr>
              <w:spacing w:after="0" w:line="360" w:lineRule="auto"/>
            </w:pPr>
            <w:r>
              <w:rPr>
                <w:rFonts w:ascii="inter" w:hAnsi="inter" w:eastAsia="inter" w:cs="inter"/>
                <w:color w:val="000000"/>
                <w:sz w:val="17"/>
              </w:rPr>
              <w:t>重点文艺院团、文化产业扶持资金与专项项目支持</w:t>
            </w:r>
            <w:r>
              <w:fldChar w:fldCharType="begin"/>
            </w:r>
            <w:r>
              <w:instrText xml:space="preserve"> HYPERLINK \l "fn6" \h </w:instrText>
            </w:r>
            <w:r>
              <w:fldChar w:fldCharType="separate"/>
            </w:r>
            <w:r>
              <w:rPr>
                <w:rFonts w:ascii="inter" w:hAnsi="inter" w:eastAsia="inter" w:cs="inter"/>
                <w:color w:val="000000"/>
                <w:sz w:val="17"/>
                <w:u w:val="single"/>
                <w:vertAlign w:val="superscript"/>
              </w:rPr>
              <w:t>[6]</w:t>
            </w:r>
            <w:r>
              <w:rPr>
                <w:rFonts w:ascii="inter" w:hAnsi="inter" w:eastAsia="inter" w:cs="inter"/>
                <w:color w:val="000000"/>
                <w:sz w:val="17"/>
                <w:u w:val="single"/>
                <w:vertAlign w:val="superscript"/>
              </w:rPr>
              <w:fldChar w:fldCharType="end"/>
            </w:r>
          </w:p>
        </w:tc>
      </w:tr>
      <w:tr w14:paraId="165D75B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55EC4CBF">
            <w:pPr>
              <w:spacing w:after="0" w:line="360" w:lineRule="auto"/>
            </w:pPr>
            <w:r>
              <w:rPr>
                <w:rFonts w:ascii="inter" w:hAnsi="inter" w:eastAsia="inter" w:cs="inter"/>
                <w:color w:val="000000"/>
                <w:sz w:val="17"/>
              </w:rPr>
              <w:t>税收安排</w:t>
            </w:r>
          </w:p>
        </w:tc>
        <w:tc>
          <w:tcPr>
            <w:tcBorders>
              <w:top w:val="single" w:color="000000" w:sz="0" w:space="0"/>
              <w:bottom w:val="single" w:color="000000" w:sz="0" w:space="0"/>
              <w:right w:val="single" w:color="000000" w:sz="0" w:space="0"/>
            </w:tcBorders>
          </w:tcPr>
          <w:p w14:paraId="0E7C86FC">
            <w:pPr>
              <w:spacing w:after="0" w:line="360" w:lineRule="auto"/>
            </w:pPr>
            <w:r>
              <w:rPr>
                <w:rFonts w:ascii="inter" w:hAnsi="inter" w:eastAsia="inter" w:cs="inter"/>
                <w:color w:val="000000"/>
                <w:sz w:val="17"/>
              </w:rPr>
              <w:t>部分艺术家享受增值税减免与社保费用优惠</w:t>
            </w:r>
            <w:r>
              <w:fldChar w:fldCharType="begin"/>
            </w:r>
            <w:r>
              <w:instrText xml:space="preserve"> HYPERLINK \l "fn11" \h </w:instrText>
            </w:r>
            <w:r>
              <w:fldChar w:fldCharType="separate"/>
            </w:r>
            <w:r>
              <w:rPr>
                <w:rFonts w:ascii="inter" w:hAnsi="inter" w:eastAsia="inter" w:cs="inter"/>
                <w:color w:val="000000"/>
                <w:sz w:val="17"/>
                <w:u w:val="single"/>
                <w:vertAlign w:val="superscript"/>
              </w:rPr>
              <w:t>[11]</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right w:val="single" w:color="000000" w:sz="0" w:space="0"/>
            </w:tcBorders>
          </w:tcPr>
          <w:p w14:paraId="5DEE359F">
            <w:pPr>
              <w:spacing w:after="0" w:line="360" w:lineRule="auto"/>
            </w:pPr>
            <w:r>
              <w:rPr>
                <w:rFonts w:ascii="inter" w:hAnsi="inter" w:eastAsia="inter" w:cs="inter"/>
                <w:color w:val="000000"/>
                <w:sz w:val="17"/>
              </w:rPr>
              <w:t>通过政策性金融与部分费用减免降低艺术家负担</w:t>
            </w:r>
            <w:r>
              <w:fldChar w:fldCharType="begin"/>
            </w:r>
            <w:r>
              <w:instrText xml:space="preserve"> HYPERLINK \l "fn12" \h </w:instrText>
            </w:r>
            <w:r>
              <w:fldChar w:fldCharType="separate"/>
            </w:r>
            <w:r>
              <w:rPr>
                <w:rFonts w:ascii="inter" w:hAnsi="inter" w:eastAsia="inter" w:cs="inter"/>
                <w:color w:val="000000"/>
                <w:sz w:val="17"/>
                <w:u w:val="single"/>
                <w:vertAlign w:val="superscript"/>
              </w:rPr>
              <w:t>[12]</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tcBorders>
          </w:tcPr>
          <w:p w14:paraId="71947BAB">
            <w:pPr>
              <w:spacing w:after="0" w:line="360" w:lineRule="auto"/>
            </w:pPr>
            <w:r>
              <w:rPr>
                <w:rFonts w:ascii="inter" w:hAnsi="inter" w:eastAsia="inter" w:cs="inter"/>
                <w:color w:val="000000"/>
                <w:sz w:val="17"/>
              </w:rPr>
              <w:t>文化产业税收优惠较多，对个体艺术家精细化设计在发展中</w:t>
            </w:r>
            <w:r>
              <w:fldChar w:fldCharType="begin"/>
            </w:r>
            <w:r>
              <w:instrText xml:space="preserve"> HYPERLINK \l "fn6" \h </w:instrText>
            </w:r>
            <w:r>
              <w:fldChar w:fldCharType="separate"/>
            </w:r>
            <w:r>
              <w:rPr>
                <w:rFonts w:ascii="inter" w:hAnsi="inter" w:eastAsia="inter" w:cs="inter"/>
                <w:color w:val="000000"/>
                <w:sz w:val="17"/>
                <w:u w:val="single"/>
                <w:vertAlign w:val="superscript"/>
              </w:rPr>
              <w:t>[6]</w:t>
            </w:r>
            <w:r>
              <w:rPr>
                <w:rFonts w:ascii="inter" w:hAnsi="inter" w:eastAsia="inter" w:cs="inter"/>
                <w:color w:val="000000"/>
                <w:sz w:val="17"/>
                <w:u w:val="single"/>
                <w:vertAlign w:val="superscript"/>
              </w:rPr>
              <w:fldChar w:fldCharType="end"/>
            </w:r>
          </w:p>
        </w:tc>
      </w:tr>
      <w:tr w14:paraId="790F60C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EB2E6AA">
            <w:pPr>
              <w:spacing w:after="0" w:line="360" w:lineRule="auto"/>
            </w:pPr>
            <w:r>
              <w:rPr>
                <w:rFonts w:ascii="inter" w:hAnsi="inter" w:eastAsia="inter" w:cs="inter"/>
                <w:color w:val="000000"/>
                <w:sz w:val="17"/>
              </w:rPr>
              <w:t>法律制度</w:t>
            </w:r>
          </w:p>
        </w:tc>
        <w:tc>
          <w:tcPr>
            <w:tcBorders>
              <w:top w:val="single" w:color="000000" w:sz="0" w:space="0"/>
              <w:bottom w:val="single" w:color="000000" w:sz="0" w:space="0"/>
              <w:right w:val="single" w:color="000000" w:sz="0" w:space="0"/>
            </w:tcBorders>
          </w:tcPr>
          <w:p w14:paraId="19B841A2">
            <w:pPr>
              <w:spacing w:after="0" w:line="360" w:lineRule="auto"/>
            </w:pPr>
            <w:r>
              <w:rPr>
                <w:rFonts w:ascii="inter" w:hAnsi="inter" w:eastAsia="inter" w:cs="inter"/>
                <w:color w:val="000000"/>
                <w:sz w:val="17"/>
              </w:rPr>
              <w:t>完善作者权与邻接权立法，保障反复使用报酬</w:t>
            </w:r>
            <w:r>
              <w:fldChar w:fldCharType="begin"/>
            </w:r>
            <w:r>
              <w:instrText xml:space="preserve"> HYPERLINK \l "fn11" \h </w:instrText>
            </w:r>
            <w:r>
              <w:fldChar w:fldCharType="separate"/>
            </w:r>
            <w:r>
              <w:rPr>
                <w:rFonts w:ascii="inter" w:hAnsi="inter" w:eastAsia="inter" w:cs="inter"/>
                <w:color w:val="000000"/>
                <w:sz w:val="17"/>
                <w:u w:val="single"/>
                <w:vertAlign w:val="superscript"/>
              </w:rPr>
              <w:t>[11]</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right w:val="single" w:color="000000" w:sz="0" w:space="0"/>
            </w:tcBorders>
          </w:tcPr>
          <w:p w14:paraId="6655482C">
            <w:pPr>
              <w:spacing w:after="0" w:line="360" w:lineRule="auto"/>
            </w:pPr>
            <w:r>
              <w:rPr>
                <w:rFonts w:ascii="inter" w:hAnsi="inter" w:eastAsia="inter" w:cs="inter"/>
                <w:color w:val="000000"/>
                <w:sz w:val="17"/>
              </w:rPr>
              <w:t>《保障艺术家权利法》明确艺术家职业与劳动权利</w:t>
            </w:r>
            <w:r>
              <w:fldChar w:fldCharType="begin"/>
            </w:r>
            <w:r>
              <w:instrText xml:space="preserve"> HYPERLINK \l "fn12" \h </w:instrText>
            </w:r>
            <w:r>
              <w:fldChar w:fldCharType="separate"/>
            </w:r>
            <w:r>
              <w:rPr>
                <w:rFonts w:ascii="inter" w:hAnsi="inter" w:eastAsia="inter" w:cs="inter"/>
                <w:color w:val="000000"/>
                <w:sz w:val="17"/>
                <w:u w:val="single"/>
                <w:vertAlign w:val="superscript"/>
              </w:rPr>
              <w:t>[12]</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tcBorders>
          </w:tcPr>
          <w:p w14:paraId="348B84B2">
            <w:pPr>
              <w:spacing w:after="0" w:line="360" w:lineRule="auto"/>
            </w:pPr>
            <w:r>
              <w:rPr>
                <w:rFonts w:ascii="inter" w:hAnsi="inter" w:eastAsia="inter" w:cs="inter"/>
                <w:color w:val="000000"/>
                <w:sz w:val="17"/>
              </w:rPr>
              <w:t>完善演艺经纪管理与版权保护法规，规范行业秩序</w:t>
            </w:r>
            <w:r>
              <w:fldChar w:fldCharType="begin"/>
            </w:r>
            <w:r>
              <w:instrText xml:space="preserve"> HYPERLINK \l "fn9" \h </w:instrText>
            </w:r>
            <w:r>
              <w:fldChar w:fldCharType="separate"/>
            </w:r>
            <w:r>
              <w:rPr>
                <w:rFonts w:ascii="inter" w:hAnsi="inter" w:eastAsia="inter" w:cs="inter"/>
                <w:color w:val="000000"/>
                <w:sz w:val="17"/>
                <w:u w:val="single"/>
                <w:vertAlign w:val="superscript"/>
              </w:rPr>
              <w:t>[9]</w:t>
            </w:r>
            <w:r>
              <w:rPr>
                <w:rFonts w:ascii="inter" w:hAnsi="inter" w:eastAsia="inter" w:cs="inter"/>
                <w:color w:val="000000"/>
                <w:sz w:val="17"/>
                <w:u w:val="single"/>
                <w:vertAlign w:val="superscript"/>
              </w:rPr>
              <w:fldChar w:fldCharType="end"/>
            </w:r>
            <w:r>
              <w:fldChar w:fldCharType="begin"/>
            </w:r>
            <w:r>
              <w:instrText xml:space="preserve"> HYPERLINK \l "fn6" \h </w:instrText>
            </w:r>
            <w:r>
              <w:fldChar w:fldCharType="separate"/>
            </w:r>
            <w:r>
              <w:rPr>
                <w:rFonts w:ascii="inter" w:hAnsi="inter" w:eastAsia="inter" w:cs="inter"/>
                <w:color w:val="000000"/>
                <w:sz w:val="17"/>
                <w:u w:val="single"/>
                <w:vertAlign w:val="superscript"/>
              </w:rPr>
              <w:t>[6]</w:t>
            </w:r>
            <w:r>
              <w:rPr>
                <w:rFonts w:ascii="inter" w:hAnsi="inter" w:eastAsia="inter" w:cs="inter"/>
                <w:color w:val="000000"/>
                <w:sz w:val="17"/>
                <w:u w:val="single"/>
                <w:vertAlign w:val="superscript"/>
              </w:rPr>
              <w:fldChar w:fldCharType="end"/>
            </w:r>
          </w:p>
        </w:tc>
      </w:tr>
      <w:tr w14:paraId="407392B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4E3DE78">
            <w:pPr>
              <w:spacing w:after="0" w:line="360" w:lineRule="auto"/>
            </w:pPr>
            <w:r>
              <w:rPr>
                <w:rFonts w:ascii="inter" w:hAnsi="inter" w:eastAsia="inter" w:cs="inter"/>
                <w:color w:val="000000"/>
                <w:sz w:val="17"/>
              </w:rPr>
              <w:t>教育与培训</w:t>
            </w:r>
          </w:p>
        </w:tc>
        <w:tc>
          <w:tcPr>
            <w:tcBorders>
              <w:top w:val="single" w:color="000000" w:sz="0" w:space="0"/>
              <w:bottom w:val="single" w:color="000000" w:sz="0" w:space="0"/>
              <w:right w:val="single" w:color="000000" w:sz="0" w:space="0"/>
            </w:tcBorders>
          </w:tcPr>
          <w:p w14:paraId="1B6B4928">
            <w:pPr>
              <w:spacing w:after="0" w:line="360" w:lineRule="auto"/>
            </w:pPr>
            <w:r>
              <w:rPr>
                <w:rFonts w:ascii="inter" w:hAnsi="inter" w:eastAsia="inter" w:cs="inter"/>
                <w:color w:val="000000"/>
                <w:sz w:val="17"/>
              </w:rPr>
              <w:t>强调艺术教育与社会保障体系衔接，提供职业培训</w:t>
            </w:r>
            <w:r>
              <w:fldChar w:fldCharType="begin"/>
            </w:r>
            <w:r>
              <w:instrText xml:space="preserve"> HYPERLINK \l "fn11" \h </w:instrText>
            </w:r>
            <w:r>
              <w:fldChar w:fldCharType="separate"/>
            </w:r>
            <w:r>
              <w:rPr>
                <w:rFonts w:ascii="inter" w:hAnsi="inter" w:eastAsia="inter" w:cs="inter"/>
                <w:color w:val="000000"/>
                <w:sz w:val="17"/>
                <w:u w:val="single"/>
                <w:vertAlign w:val="superscript"/>
              </w:rPr>
              <w:t>[11]</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right w:val="single" w:color="000000" w:sz="0" w:space="0"/>
            </w:tcBorders>
          </w:tcPr>
          <w:p w14:paraId="311DA511">
            <w:pPr>
              <w:spacing w:after="0" w:line="360" w:lineRule="auto"/>
            </w:pPr>
            <w:r>
              <w:rPr>
                <w:rFonts w:ascii="inter" w:hAnsi="inter" w:eastAsia="inter" w:cs="inter"/>
                <w:color w:val="000000"/>
                <w:sz w:val="17"/>
              </w:rPr>
              <w:t>艺术家福利基金会提供职业与权利意识培训</w:t>
            </w:r>
            <w:r>
              <w:fldChar w:fldCharType="begin"/>
            </w:r>
            <w:r>
              <w:instrText xml:space="preserve"> HYPERLINK \l "fn12" \h </w:instrText>
            </w:r>
            <w:r>
              <w:fldChar w:fldCharType="separate"/>
            </w:r>
            <w:r>
              <w:rPr>
                <w:rFonts w:ascii="inter" w:hAnsi="inter" w:eastAsia="inter" w:cs="inter"/>
                <w:color w:val="000000"/>
                <w:sz w:val="17"/>
                <w:u w:val="single"/>
                <w:vertAlign w:val="superscript"/>
              </w:rPr>
              <w:t>[12]</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tcBorders>
          </w:tcPr>
          <w:p w14:paraId="689BBD6E">
            <w:pPr>
              <w:spacing w:after="0" w:line="360" w:lineRule="auto"/>
            </w:pPr>
            <w:r>
              <w:rPr>
                <w:rFonts w:ascii="inter" w:hAnsi="inter" w:eastAsia="inter" w:cs="inter"/>
                <w:color w:val="000000"/>
                <w:sz w:val="17"/>
              </w:rPr>
              <w:t>艺术院校教育体系完善，职业发展与跨界能力培养仍在加强</w:t>
            </w:r>
            <w:r>
              <w:fldChar w:fldCharType="begin"/>
            </w:r>
            <w:r>
              <w:instrText xml:space="preserve"> HYPERLINK \l "fn6" \h </w:instrText>
            </w:r>
            <w:r>
              <w:fldChar w:fldCharType="separate"/>
            </w:r>
            <w:r>
              <w:rPr>
                <w:rFonts w:ascii="inter" w:hAnsi="inter" w:eastAsia="inter" w:cs="inter"/>
                <w:color w:val="000000"/>
                <w:sz w:val="17"/>
                <w:u w:val="single"/>
                <w:vertAlign w:val="superscript"/>
              </w:rPr>
              <w:t>[6]</w:t>
            </w:r>
            <w:r>
              <w:rPr>
                <w:rFonts w:ascii="inter" w:hAnsi="inter" w:eastAsia="inter" w:cs="inter"/>
                <w:color w:val="000000"/>
                <w:sz w:val="17"/>
                <w:u w:val="single"/>
                <w:vertAlign w:val="superscript"/>
              </w:rPr>
              <w:fldChar w:fldCharType="end"/>
            </w:r>
          </w:p>
        </w:tc>
      </w:tr>
    </w:tbl>
    <w:p w14:paraId="6287B374"/>
    <w:p w14:paraId="13224B2C">
      <w:pPr>
        <w:spacing w:after="210" w:line="360" w:lineRule="auto"/>
      </w:pPr>
      <w:r>
        <w:rPr>
          <w:rFonts w:ascii="inter" w:hAnsi="inter" w:eastAsia="inter" w:cs="inter"/>
          <w:color w:val="000000"/>
        </w:rPr>
        <w:t>从上述对比可以看出，法国更侧重通过社会保障与税收体系稳定艺术劳动，韩国更强调以法律确认艺术家的职业权利并提供金融支持，而中国在行业规范与产业支持方面已取得明显进展，但在面向“多元路径”与“跨界能力”的系统性人才政策方面仍有拓展空间。</w:t>
      </w:r>
      <w:bookmarkStart w:id="121" w:name="fnref12_8"/>
      <w:bookmarkEnd w:id="121"/>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bookmarkStart w:id="122" w:name="fnref6_13"/>
      <w:bookmarkEnd w:id="122"/>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bookmarkStart w:id="123" w:name="fnref11_14"/>
      <w:bookmarkEnd w:id="123"/>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p>
    <w:p w14:paraId="316EF228">
      <w:pPr>
        <w:spacing w:before="315" w:after="105" w:line="360" w:lineRule="auto"/>
        <w:ind w:left="-30"/>
        <w:jc w:val="left"/>
      </w:pPr>
      <w:bookmarkStart w:id="124" w:name="六_结论与展望"/>
      <w:r>
        <w:rPr>
          <w:rFonts w:ascii="inter" w:hAnsi="inter" w:eastAsia="inter" w:cs="inter"/>
          <w:b/>
          <w:color w:val="000000"/>
          <w:sz w:val="24"/>
        </w:rPr>
        <w:t>六、结论与展望</w:t>
      </w:r>
      <w:bookmarkEnd w:id="124"/>
    </w:p>
    <w:p w14:paraId="4DEC7637">
      <w:pPr>
        <w:spacing w:after="210" w:line="360" w:lineRule="auto"/>
      </w:pPr>
      <w:r>
        <w:rPr>
          <w:rFonts w:ascii="inter" w:hAnsi="inter" w:eastAsia="inter" w:cs="inter"/>
          <w:color w:val="000000"/>
        </w:rPr>
        <w:t>据UNESCO和世界银行的综合判断，文化和创意产业在全球发展格局中的战略地位仍将持续上升，这在一定程度上为中国构建“艺术人才多元化发展生态”提供了有利的国际环境与市场空间。 对中国而言，将艺术人才发展全面纳入文化强国战略、数字经济国家战略、乡村振兴战略与人才强国战略统一框架，可能成为下一阶段政策顶层设计的重要方向。</w:t>
      </w:r>
      <w:bookmarkStart w:id="125" w:name="fnref3_8"/>
      <w:bookmarkEnd w:id="125"/>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bookmarkStart w:id="126" w:name="fnref2_4"/>
      <w:bookmarkEnd w:id="126"/>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bookmarkStart w:id="127" w:name="fnref6_14"/>
      <w:bookmarkEnd w:id="127"/>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bookmarkStart w:id="128" w:name="fnref4_29"/>
      <w:bookmarkEnd w:id="128"/>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p>
    <w:p w14:paraId="46EC1997">
      <w:pPr>
        <w:spacing w:after="210" w:line="360" w:lineRule="auto"/>
      </w:pPr>
      <w:r>
        <w:rPr>
          <w:rFonts w:ascii="inter" w:hAnsi="inter" w:eastAsia="inter" w:cs="inter"/>
          <w:color w:val="000000"/>
        </w:rPr>
        <w:t>展望未来，建议相关部委在继续完善版权保护、规范行业秩序与扩大文化消费的基础上，进一步从“跨界路径分类—社会评价优化—IP与消费升级协同—制度供给国际对标”四个方面推进制度创新。 值得注意的是，任何政策工具的设计均应充分考虑不同类型艺术人才的差异化需求与不同区域的承载能力，采用试点探索、梯度推广和动态评估等方式，以在一定程度上实现艺术人才发展机会与文化生态繁荣的双重目标。</w:t>
      </w:r>
      <w:bookmarkStart w:id="129" w:name="fnref4_30"/>
      <w:bookmarkEnd w:id="129"/>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bookmarkStart w:id="130" w:name="fnref5_15"/>
      <w:bookmarkEnd w:id="130"/>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bookmarkStart w:id="131" w:name="fnref11_15"/>
      <w:bookmarkEnd w:id="131"/>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r>
        <w:rPr>
          <w:rFonts w:ascii="inter" w:hAnsi="inter" w:eastAsia="inter" w:cs="inter"/>
          <w:color w:val="000000"/>
        </w:rPr>
        <w:br w:type="textWrapping"/>
      </w:r>
    </w:p>
    <w:p w14:paraId="73C37CD9">
      <w:pPr>
        <w:spacing w:line="360" w:lineRule="auto"/>
      </w:pPr>
      <w:r>
        <w:rPr>
          <w:rFonts w:ascii="inter" w:hAnsi="inter" w:eastAsia="inter" w:cs="inter"/>
          <w:color w:val="000000"/>
        </w:rPr>
        <w:t>⁂</w:t>
      </w:r>
    </w:p>
    <w:p w14:paraId="525EA723">
      <w:pPr>
        <w:spacing w:before="210" w:after="0" w:line="360" w:lineRule="auto"/>
      </w:pPr>
      <w:r>
        <w:pict>
          <v:rect id="_x0000_s1026" o:spid="_x0000_s1026" o:spt="1" style="height:0.05pt;width:475.5pt;" coordsize="21600,21600">
            <v:path/>
            <v:fill focussize="0,0"/>
            <v:stroke weight="1pt" color="#000000" opacity="0f"/>
            <v:imagedata o:title=""/>
            <o:lock v:ext="edit"/>
            <w10:wrap type="none"/>
            <w10:anchorlock/>
          </v:rect>
        </w:pict>
      </w:r>
    </w:p>
    <w:p w14:paraId="61E9ACD1">
      <w:pPr>
        <w:numPr>
          <w:ilvl w:val="0"/>
          <w:numId w:val="25"/>
        </w:numPr>
        <w:spacing w:after="210" w:line="360" w:lineRule="auto"/>
      </w:pPr>
      <w:bookmarkStart w:id="132" w:name="fn1"/>
      <w:bookmarkEnd w:id="132"/>
      <w:r>
        <w:fldChar w:fldCharType="begin"/>
      </w:r>
      <w:r>
        <w:instrText xml:space="preserve"> HYPERLINK "https://www.unesco.org/en/articles/creative-economy-and-its-role-building-back-better-inclusive-and-peaceful-societies" \h </w:instrText>
      </w:r>
      <w:r>
        <w:fldChar w:fldCharType="separate"/>
      </w:r>
      <w:r>
        <w:rPr>
          <w:rFonts w:ascii="inter" w:hAnsi="inter" w:eastAsia="inter" w:cs="inter"/>
          <w:color w:val="000000"/>
          <w:sz w:val="18"/>
          <w:u w:val="single"/>
        </w:rPr>
        <w:t>https://www.unesco.org/en/articles/creative-economy-and-its-role-building-back-better-inclusive-and-peaceful-societies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16599B5">
      <w:pPr>
        <w:numPr>
          <w:ilvl w:val="0"/>
          <w:numId w:val="25"/>
        </w:numPr>
        <w:spacing w:after="210" w:line="360" w:lineRule="auto"/>
      </w:pPr>
      <w:bookmarkStart w:id="133" w:name="fn2"/>
      <w:bookmarkEnd w:id="133"/>
      <w:r>
        <w:fldChar w:fldCharType="begin"/>
      </w:r>
      <w:r>
        <w:instrText xml:space="preserve"> HYPERLINK "https://blogs.worldbank.org/en/jobs/three-lessons-fostering-inclusion-empowerment-and-employment-through-creativity" \h </w:instrText>
      </w:r>
      <w:r>
        <w:fldChar w:fldCharType="separate"/>
      </w:r>
      <w:r>
        <w:rPr>
          <w:rFonts w:ascii="inter" w:hAnsi="inter" w:eastAsia="inter" w:cs="inter"/>
          <w:color w:val="000000"/>
          <w:sz w:val="18"/>
          <w:u w:val="single"/>
        </w:rPr>
        <w:t>https://blogs.worldbank.org/en/jobs/three-lessons-fostering-inclusion-empowerment-and-employment-through-creativity</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7FD4C18">
      <w:pPr>
        <w:numPr>
          <w:ilvl w:val="0"/>
          <w:numId w:val="25"/>
        </w:numPr>
        <w:spacing w:after="210" w:line="360" w:lineRule="auto"/>
      </w:pPr>
      <w:bookmarkStart w:id="134" w:name="fn3"/>
      <w:bookmarkEnd w:id="134"/>
      <w:r>
        <w:fldChar w:fldCharType="begin"/>
      </w:r>
      <w:r>
        <w:instrText xml:space="preserve"> HYPERLINK "https://unctad.org/system/files/official-document/ditctsce2024d2_en.pdf" \h </w:instrText>
      </w:r>
      <w:r>
        <w:fldChar w:fldCharType="separate"/>
      </w:r>
      <w:r>
        <w:rPr>
          <w:rFonts w:ascii="inter" w:hAnsi="inter" w:eastAsia="inter" w:cs="inter"/>
          <w:color w:val="000000"/>
          <w:sz w:val="18"/>
          <w:u w:val="single"/>
        </w:rPr>
        <w:t>https://unctad.org/system/files/official-document/ditctsce2024d2_en.pdf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12F0636">
      <w:pPr>
        <w:numPr>
          <w:ilvl w:val="0"/>
          <w:numId w:val="25"/>
        </w:numPr>
        <w:spacing w:after="210" w:line="360" w:lineRule="auto"/>
      </w:pPr>
      <w:bookmarkStart w:id="135" w:name="fn4"/>
      <w:bookmarkEnd w:id="135"/>
      <w:r>
        <w:fldChar w:fldCharType="begin"/>
      </w:r>
      <w:r>
        <w:instrText xml:space="preserve"> HYPERLINK "https://thedocs.worldbank.org/en/doc/111a11b5ff7ce45ffbe4b78c7e96ee5d-0460012024/original/Understanding-Cultural-and-Creative-Industries-and-Designing-Approaches-for-its-Development-A-Guide.pdf" \h </w:instrText>
      </w:r>
      <w:r>
        <w:fldChar w:fldCharType="separate"/>
      </w:r>
      <w:r>
        <w:rPr>
          <w:rFonts w:ascii="inter" w:hAnsi="inter" w:eastAsia="inter" w:cs="inter"/>
          <w:color w:val="000000"/>
          <w:sz w:val="18"/>
          <w:u w:val="single"/>
        </w:rPr>
        <w:t>https://thedocs.worldbank.org/en/doc/111a11b5ff7ce45ffbe4b78c7e96ee5d-0460012024/original/Understanding-Cultural-and-Creative-Industries-and-Designing-Approaches-for-its-Development-A-Guide.pdf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95E9B9E">
      <w:pPr>
        <w:numPr>
          <w:ilvl w:val="0"/>
          <w:numId w:val="25"/>
        </w:numPr>
        <w:spacing w:after="210" w:line="360" w:lineRule="auto"/>
      </w:pPr>
      <w:bookmarkStart w:id="136" w:name="fn5"/>
      <w:bookmarkEnd w:id="136"/>
      <w:r>
        <w:fldChar w:fldCharType="begin"/>
      </w:r>
      <w:r>
        <w:instrText xml:space="preserve"> HYPERLINK "https://www.wipo.int/documents/d/copyright/docs-en-performance-econ_contribution_cr_kg.pdf" \h </w:instrText>
      </w:r>
      <w:r>
        <w:fldChar w:fldCharType="separate"/>
      </w:r>
      <w:r>
        <w:rPr>
          <w:rFonts w:ascii="inter" w:hAnsi="inter" w:eastAsia="inter" w:cs="inter"/>
          <w:color w:val="000000"/>
          <w:sz w:val="18"/>
          <w:u w:val="single"/>
        </w:rPr>
        <w:t>https://www.wipo.int/documents/d/copyright/docs-en-performance-econ_contribution_cr_kg.pdf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65B9E92">
      <w:pPr>
        <w:numPr>
          <w:ilvl w:val="0"/>
          <w:numId w:val="25"/>
        </w:numPr>
        <w:spacing w:after="210" w:line="360" w:lineRule="auto"/>
      </w:pPr>
      <w:bookmarkStart w:id="137" w:name="fn6"/>
      <w:bookmarkEnd w:id="137"/>
      <w:r>
        <w:fldChar w:fldCharType="begin"/>
      </w:r>
      <w:r>
        <w:instrText xml:space="preserve"> HYPERLINK "https://english.www.gov.cn/statecouncil/ministries/202212/01/content_WS638804fac6d0a757729e3e5c.html" \h </w:instrText>
      </w:r>
      <w:r>
        <w:fldChar w:fldCharType="separate"/>
      </w:r>
      <w:r>
        <w:rPr>
          <w:rFonts w:ascii="inter" w:hAnsi="inter" w:eastAsia="inter" w:cs="inter"/>
          <w:color w:val="000000"/>
          <w:sz w:val="18"/>
          <w:u w:val="single"/>
        </w:rPr>
        <w:t>https://english.www.gov.cn/statecouncil/ministries/202212/01/content_WS638804fac6d0a757729e3e5c.html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CB4AAAD">
      <w:pPr>
        <w:numPr>
          <w:ilvl w:val="0"/>
          <w:numId w:val="25"/>
        </w:numPr>
        <w:spacing w:after="210" w:line="360" w:lineRule="auto"/>
      </w:pPr>
      <w:bookmarkStart w:id="138" w:name="fn7"/>
      <w:bookmarkEnd w:id="138"/>
      <w:r>
        <w:fldChar w:fldCharType="begin"/>
      </w:r>
      <w:r>
        <w:instrText xml:space="preserve"> HYPERLINK "https://www.unesco.org/en/years/international-year-creative-economy-sustainable-development-2021" \h </w:instrText>
      </w:r>
      <w:r>
        <w:fldChar w:fldCharType="separate"/>
      </w:r>
      <w:r>
        <w:rPr>
          <w:rFonts w:ascii="inter" w:hAnsi="inter" w:eastAsia="inter" w:cs="inter"/>
          <w:color w:val="000000"/>
          <w:sz w:val="18"/>
          <w:u w:val="single"/>
        </w:rPr>
        <w:t>https://www.unesco.org/en/years/international-year-creative-economy-sustainable-development-2021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ED8BE2F">
      <w:pPr>
        <w:numPr>
          <w:ilvl w:val="0"/>
          <w:numId w:val="25"/>
        </w:numPr>
        <w:spacing w:after="210" w:line="360" w:lineRule="auto"/>
      </w:pPr>
      <w:bookmarkStart w:id="139" w:name="fn8"/>
      <w:bookmarkEnd w:id="139"/>
      <w:r>
        <w:fldChar w:fldCharType="begin"/>
      </w:r>
      <w:r>
        <w:instrText xml:space="preserve"> HYPERLINK "https://www.weforum.org/stories/2022/02/creatives-job-losses-covid-employment/" \h </w:instrText>
      </w:r>
      <w:r>
        <w:fldChar w:fldCharType="separate"/>
      </w:r>
      <w:r>
        <w:rPr>
          <w:rFonts w:ascii="inter" w:hAnsi="inter" w:eastAsia="inter" w:cs="inter"/>
          <w:color w:val="000000"/>
          <w:sz w:val="18"/>
          <w:u w:val="single"/>
        </w:rPr>
        <w:t>https://www.weforum.org/stories/2022/02/creatives-job-losses-covid-employment/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1F84E24">
      <w:pPr>
        <w:numPr>
          <w:ilvl w:val="0"/>
          <w:numId w:val="25"/>
        </w:numPr>
        <w:spacing w:after="210" w:line="360" w:lineRule="auto"/>
      </w:pPr>
      <w:bookmarkStart w:id="140" w:name="fn9"/>
      <w:bookmarkEnd w:id="140"/>
      <w:r>
        <w:fldChar w:fldCharType="begin"/>
      </w:r>
      <w:r>
        <w:instrText xml:space="preserve"> HYPERLINK "https://global.chinadaily.com.cn/a/202212/01/WS63880129a31057c47eba20cb.html" \h </w:instrText>
      </w:r>
      <w:r>
        <w:fldChar w:fldCharType="separate"/>
      </w:r>
      <w:r>
        <w:rPr>
          <w:rFonts w:ascii="inter" w:hAnsi="inter" w:eastAsia="inter" w:cs="inter"/>
          <w:color w:val="000000"/>
          <w:sz w:val="18"/>
          <w:u w:val="single"/>
        </w:rPr>
        <w:t>https://global.chinadaily.com.cn/a/202212/01/WS63880129a31057c47eba20cb.html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16A6C09">
      <w:pPr>
        <w:numPr>
          <w:ilvl w:val="0"/>
          <w:numId w:val="25"/>
        </w:numPr>
        <w:spacing w:after="210" w:line="360" w:lineRule="auto"/>
      </w:pPr>
      <w:bookmarkStart w:id="141" w:name="fn10"/>
      <w:bookmarkEnd w:id="141"/>
      <w:r>
        <w:fldChar w:fldCharType="begin"/>
      </w:r>
      <w:r>
        <w:instrText xml:space="preserve"> HYPERLINK "https://upstartco-lab.org/creativity_lens/quality-jobs-creative-economy/" \h </w:instrText>
      </w:r>
      <w:r>
        <w:fldChar w:fldCharType="separate"/>
      </w:r>
      <w:r>
        <w:rPr>
          <w:rFonts w:ascii="inter" w:hAnsi="inter" w:eastAsia="inter" w:cs="inter"/>
          <w:color w:val="000000"/>
          <w:sz w:val="18"/>
          <w:u w:val="single"/>
        </w:rPr>
        <w:t>https://upstartco-lab.org/creativity_lens/quality-jobs-creative-economy/</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98D7CCD">
      <w:pPr>
        <w:numPr>
          <w:ilvl w:val="0"/>
          <w:numId w:val="25"/>
        </w:numPr>
        <w:spacing w:after="210" w:line="360" w:lineRule="auto"/>
      </w:pPr>
      <w:bookmarkStart w:id="142" w:name="fn11"/>
      <w:bookmarkEnd w:id="142"/>
      <w:r>
        <w:fldChar w:fldCharType="begin"/>
      </w:r>
      <w:r>
        <w:instrText xml:space="preserve"> HYPERLINK "https://www.coalitionfrancaise.org/wp-content/uploads/2013/11/Cultural-policies-in-France.pdf" \h </w:instrText>
      </w:r>
      <w:r>
        <w:fldChar w:fldCharType="separate"/>
      </w:r>
      <w:r>
        <w:rPr>
          <w:rFonts w:ascii="inter" w:hAnsi="inter" w:eastAsia="inter" w:cs="inter"/>
          <w:color w:val="000000"/>
          <w:sz w:val="18"/>
          <w:u w:val="single"/>
        </w:rPr>
        <w:t>https://www.coalitionfrancaise.org/wp-content/uploads/2013/11/Cultural-policies-in-France.pdf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AB9349F">
      <w:pPr>
        <w:numPr>
          <w:ilvl w:val="0"/>
          <w:numId w:val="25"/>
        </w:numPr>
        <w:spacing w:after="210" w:line="360" w:lineRule="auto"/>
      </w:pPr>
      <w:bookmarkStart w:id="143" w:name="fn12"/>
      <w:bookmarkEnd w:id="143"/>
      <w:r>
        <w:fldChar w:fldCharType="begin"/>
      </w:r>
      <w:r>
        <w:instrText xml:space="preserve"> HYPERLINK "https://www.kawf.kr/files/report_2022_eng.pdf" \h </w:instrText>
      </w:r>
      <w:r>
        <w:fldChar w:fldCharType="separate"/>
      </w:r>
      <w:r>
        <w:rPr>
          <w:rFonts w:ascii="inter" w:hAnsi="inter" w:eastAsia="inter" w:cs="inter"/>
          <w:color w:val="000000"/>
          <w:sz w:val="18"/>
          <w:u w:val="single"/>
        </w:rPr>
        <w:t>https://www.kawf.kr/files/report_2022_eng.pdf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AC6B2CE">
      <w:pPr>
        <w:numPr>
          <w:ilvl w:val="0"/>
          <w:numId w:val="25"/>
        </w:numPr>
        <w:spacing w:after="210" w:line="360" w:lineRule="auto"/>
      </w:pPr>
      <w:bookmarkStart w:id="144" w:name="fn13"/>
      <w:bookmarkEnd w:id="144"/>
      <w:r>
        <w:fldChar w:fldCharType="begin"/>
      </w:r>
      <w:r>
        <w:instrText xml:space="preserve"> HYPERLINK "https://www.facebook.com/unesco/posts/culture-is-more-than-heritage-its-a-powerful-economic-enginecultural-and-creativ/1185069523668594/" \h </w:instrText>
      </w:r>
      <w:r>
        <w:fldChar w:fldCharType="separate"/>
      </w:r>
      <w:r>
        <w:rPr>
          <w:rFonts w:ascii="inter" w:hAnsi="inter" w:eastAsia="inter" w:cs="inter"/>
          <w:color w:val="000000"/>
          <w:sz w:val="18"/>
          <w:u w:val="single"/>
        </w:rPr>
        <w:t>https://www.facebook.com/unesco/posts/culture-is-more-than-heritage-its-a-powerful-economic-enginecultural-and-creativ/1185069523668594/</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248DA68">
      <w:pPr>
        <w:numPr>
          <w:ilvl w:val="0"/>
          <w:numId w:val="25"/>
        </w:numPr>
        <w:spacing w:after="210" w:line="360" w:lineRule="auto"/>
      </w:pPr>
      <w:bookmarkStart w:id="145" w:name="fn14"/>
      <w:bookmarkEnd w:id="145"/>
      <w:r>
        <w:fldChar w:fldCharType="begin"/>
      </w:r>
      <w:r>
        <w:instrText xml:space="preserve"> HYPERLINK "https://www.culturalpolicies.net/covid-19/country-reports/fr/" \h </w:instrText>
      </w:r>
      <w:r>
        <w:fldChar w:fldCharType="separate"/>
      </w:r>
      <w:r>
        <w:rPr>
          <w:rFonts w:ascii="inter" w:hAnsi="inter" w:eastAsia="inter" w:cs="inter"/>
          <w:color w:val="000000"/>
          <w:sz w:val="18"/>
          <w:u w:val="single"/>
        </w:rPr>
        <w:t>https://www.culturalpolicies.net/covid-19/country-reports/fr/</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2393197">
      <w:pPr>
        <w:numPr>
          <w:ilvl w:val="0"/>
          <w:numId w:val="25"/>
        </w:numPr>
        <w:spacing w:after="210" w:line="360" w:lineRule="auto"/>
      </w:pPr>
      <w:bookmarkStart w:id="146" w:name="fn15"/>
      <w:bookmarkEnd w:id="146"/>
      <w:r>
        <w:fldChar w:fldCharType="begin"/>
      </w:r>
      <w:r>
        <w:instrText xml:space="preserve"> HYPERLINK "https://biz.chosun.com/en/en-culture/2025/10/24/U7EAD4BH3RB6LMUNSKG4VEMPHA/" \h </w:instrText>
      </w:r>
      <w:r>
        <w:fldChar w:fldCharType="separate"/>
      </w:r>
      <w:r>
        <w:rPr>
          <w:rFonts w:ascii="inter" w:hAnsi="inter" w:eastAsia="inter" w:cs="inter"/>
          <w:color w:val="000000"/>
          <w:sz w:val="18"/>
          <w:u w:val="single"/>
        </w:rPr>
        <w:t>https://biz.chosun.com/en/en-culture/2025/10/24/U7EAD4BH3RB6LMUNSKG4VEMPHA/</w:t>
      </w:r>
      <w:r>
        <w:rPr>
          <w:rFonts w:ascii="inter" w:hAnsi="inter" w:eastAsia="inter" w:cs="inter"/>
          <w:color w:val="000000"/>
          <w:sz w:val="18"/>
          <w:u w:val="single"/>
        </w:rPr>
        <w:fldChar w:fldCharType="end"/>
      </w:r>
      <w:r>
        <w:rPr>
          <w:rFonts w:ascii="inter" w:hAnsi="inter" w:eastAsia="inter" w:cs="inter"/>
          <w:color w:val="000000"/>
          <w:sz w:val="18"/>
        </w:rPr>
        <w:t xml:space="preserve"> </w:t>
      </w:r>
    </w:p>
    <w:sectPr>
      <w:pgSz w:w="12240" w:h="15840"/>
      <w:pgMar w:top="1365" w:right="1365" w:bottom="1365" w:left="136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inter">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4"/>
      <w:numFmt w:val="decimal"/>
      <w:lvlText w:val="%1."/>
      <w:lvlJc w:val="left"/>
      <w:pPr>
        <w:tabs>
          <w:tab w:val="left" w:pos="900"/>
        </w:tabs>
        <w:ind w:left="540" w:hanging="360"/>
      </w:pPr>
    </w:lvl>
  </w:abstractNum>
  <w:abstractNum w:abstractNumId="1">
    <w:nsid w:val="9C8AC8EF"/>
    <w:multiLevelType w:val="singleLevel"/>
    <w:tmpl w:val="9C8AC8EF"/>
    <w:lvl w:ilvl="0" w:tentative="0">
      <w:start w:val="2"/>
      <w:numFmt w:val="decimal"/>
      <w:lvlText w:val="%1."/>
      <w:lvlJc w:val="left"/>
      <w:pPr>
        <w:tabs>
          <w:tab w:val="left" w:pos="900"/>
        </w:tabs>
        <w:ind w:left="540" w:hanging="360"/>
      </w:pPr>
    </w:lvl>
  </w:abstractNum>
  <w:abstractNum w:abstractNumId="2">
    <w:nsid w:val="B0F1ACD9"/>
    <w:multiLevelType w:val="singleLevel"/>
    <w:tmpl w:val="B0F1ACD9"/>
    <w:lvl w:ilvl="0" w:tentative="0">
      <w:start w:val="1"/>
      <w:numFmt w:val="bullet"/>
      <w:lvlText w:val=""/>
      <w:lvlJc w:val="left"/>
      <w:pPr>
        <w:tabs>
          <w:tab w:val="left" w:pos="900"/>
        </w:tabs>
        <w:ind w:left="540" w:hanging="360"/>
      </w:pPr>
      <w:rPr>
        <w:rFonts w:hint="default" w:ascii="Symbol" w:hAnsi="Symbol"/>
      </w:rPr>
    </w:lvl>
  </w:abstractNum>
  <w:abstractNum w:abstractNumId="3">
    <w:nsid w:val="B5E306ED"/>
    <w:multiLevelType w:val="singleLevel"/>
    <w:tmpl w:val="B5E306ED"/>
    <w:lvl w:ilvl="0" w:tentative="0">
      <w:start w:val="1"/>
      <w:numFmt w:val="bullet"/>
      <w:lvlText w:val=""/>
      <w:lvlJc w:val="left"/>
      <w:pPr>
        <w:tabs>
          <w:tab w:val="left" w:pos="900"/>
        </w:tabs>
        <w:ind w:left="540" w:hanging="360"/>
      </w:pPr>
      <w:rPr>
        <w:rFonts w:hint="default" w:ascii="Symbol" w:hAnsi="Symbol"/>
      </w:rPr>
    </w:lvl>
  </w:abstractNum>
  <w:abstractNum w:abstractNumId="4">
    <w:nsid w:val="BF205925"/>
    <w:multiLevelType w:val="singleLevel"/>
    <w:tmpl w:val="BF205925"/>
    <w:lvl w:ilvl="0" w:tentative="0">
      <w:start w:val="1"/>
      <w:numFmt w:val="decimal"/>
      <w:lvlText w:val="%1."/>
      <w:lvlJc w:val="left"/>
      <w:pPr>
        <w:tabs>
          <w:tab w:val="left" w:pos="900"/>
        </w:tabs>
        <w:ind w:left="540" w:hanging="360"/>
      </w:pPr>
    </w:lvl>
  </w:abstractNum>
  <w:abstractNum w:abstractNumId="5">
    <w:nsid w:val="C8879AEF"/>
    <w:multiLevelType w:val="singleLevel"/>
    <w:tmpl w:val="C8879AEF"/>
    <w:lvl w:ilvl="0" w:tentative="0">
      <w:start w:val="1"/>
      <w:numFmt w:val="bullet"/>
      <w:lvlText w:val=""/>
      <w:lvlJc w:val="left"/>
      <w:pPr>
        <w:tabs>
          <w:tab w:val="left" w:pos="900"/>
        </w:tabs>
        <w:ind w:left="540" w:hanging="360"/>
      </w:pPr>
      <w:rPr>
        <w:rFonts w:hint="default" w:ascii="Symbol" w:hAnsi="Symbol"/>
      </w:rPr>
    </w:lvl>
  </w:abstractNum>
  <w:abstractNum w:abstractNumId="6">
    <w:nsid w:val="CF092B84"/>
    <w:multiLevelType w:val="singleLevel"/>
    <w:tmpl w:val="CF092B84"/>
    <w:lvl w:ilvl="0" w:tentative="0">
      <w:start w:val="1"/>
      <w:numFmt w:val="bullet"/>
      <w:lvlText w:val=""/>
      <w:lvlJc w:val="left"/>
      <w:pPr>
        <w:tabs>
          <w:tab w:val="left" w:pos="900"/>
        </w:tabs>
        <w:ind w:left="540" w:hanging="360"/>
      </w:pPr>
      <w:rPr>
        <w:rFonts w:hint="default" w:ascii="Symbol" w:hAnsi="Symbol"/>
      </w:rPr>
    </w:lvl>
  </w:abstractNum>
  <w:abstractNum w:abstractNumId="7">
    <w:nsid w:val="D7F9FE59"/>
    <w:multiLevelType w:val="singleLevel"/>
    <w:tmpl w:val="D7F9FE59"/>
    <w:lvl w:ilvl="0" w:tentative="0">
      <w:start w:val="1"/>
      <w:numFmt w:val="bullet"/>
      <w:lvlText w:val=""/>
      <w:lvlJc w:val="left"/>
      <w:pPr>
        <w:tabs>
          <w:tab w:val="left" w:pos="900"/>
        </w:tabs>
        <w:ind w:left="540" w:hanging="360"/>
      </w:pPr>
      <w:rPr>
        <w:rFonts w:hint="default" w:ascii="Symbol" w:hAnsi="Symbol"/>
      </w:rPr>
    </w:lvl>
  </w:abstractNum>
  <w:abstractNum w:abstractNumId="8">
    <w:nsid w:val="DCBA6B53"/>
    <w:multiLevelType w:val="singleLevel"/>
    <w:tmpl w:val="DCBA6B53"/>
    <w:lvl w:ilvl="0" w:tentative="0">
      <w:start w:val="1"/>
      <w:numFmt w:val="decimal"/>
      <w:lvlText w:val="%1."/>
      <w:lvlJc w:val="left"/>
      <w:pPr>
        <w:tabs>
          <w:tab w:val="left" w:pos="900"/>
        </w:tabs>
        <w:ind w:left="540" w:hanging="360"/>
      </w:pPr>
    </w:lvl>
  </w:abstractNum>
  <w:abstractNum w:abstractNumId="9">
    <w:nsid w:val="F4B5D9F5"/>
    <w:multiLevelType w:val="singleLevel"/>
    <w:tmpl w:val="F4B5D9F5"/>
    <w:lvl w:ilvl="0" w:tentative="0">
      <w:start w:val="1"/>
      <w:numFmt w:val="bullet"/>
      <w:lvlText w:val=""/>
      <w:lvlJc w:val="left"/>
      <w:pPr>
        <w:tabs>
          <w:tab w:val="left" w:pos="900"/>
        </w:tabs>
        <w:ind w:left="540" w:hanging="360"/>
      </w:pPr>
      <w:rPr>
        <w:rFonts w:hint="default" w:ascii="Symbol" w:hAnsi="Symbol"/>
      </w:rPr>
    </w:lvl>
  </w:abstractNum>
  <w:abstractNum w:abstractNumId="10">
    <w:nsid w:val="0053208E"/>
    <w:multiLevelType w:val="singleLevel"/>
    <w:tmpl w:val="0053208E"/>
    <w:lvl w:ilvl="0" w:tentative="0">
      <w:start w:val="1"/>
      <w:numFmt w:val="decimal"/>
      <w:lvlText w:val="%1."/>
      <w:lvlJc w:val="left"/>
      <w:pPr>
        <w:tabs>
          <w:tab w:val="left" w:pos="900"/>
        </w:tabs>
        <w:ind w:left="540" w:hanging="360"/>
      </w:pPr>
    </w:lvl>
  </w:abstractNum>
  <w:abstractNum w:abstractNumId="11">
    <w:nsid w:val="0248C179"/>
    <w:multiLevelType w:val="singleLevel"/>
    <w:tmpl w:val="0248C179"/>
    <w:lvl w:ilvl="0" w:tentative="0">
      <w:start w:val="1"/>
      <w:numFmt w:val="bullet"/>
      <w:lvlText w:val=""/>
      <w:lvlJc w:val="left"/>
      <w:pPr>
        <w:tabs>
          <w:tab w:val="left" w:pos="900"/>
        </w:tabs>
        <w:ind w:left="540" w:hanging="360"/>
      </w:pPr>
      <w:rPr>
        <w:rFonts w:hint="default" w:ascii="Symbol" w:hAnsi="Symbol"/>
      </w:rPr>
    </w:lvl>
  </w:abstractNum>
  <w:abstractNum w:abstractNumId="12">
    <w:nsid w:val="03D62ECE"/>
    <w:multiLevelType w:val="singleLevel"/>
    <w:tmpl w:val="03D62ECE"/>
    <w:lvl w:ilvl="0" w:tentative="0">
      <w:start w:val="2"/>
      <w:numFmt w:val="decimal"/>
      <w:lvlText w:val="%1."/>
      <w:lvlJc w:val="left"/>
      <w:pPr>
        <w:tabs>
          <w:tab w:val="left" w:pos="900"/>
        </w:tabs>
        <w:ind w:left="540" w:hanging="360"/>
      </w:pPr>
    </w:lvl>
  </w:abstractNum>
  <w:abstractNum w:abstractNumId="13">
    <w:nsid w:val="0E640482"/>
    <w:multiLevelType w:val="singleLevel"/>
    <w:tmpl w:val="0E640482"/>
    <w:lvl w:ilvl="0" w:tentative="0">
      <w:start w:val="1"/>
      <w:numFmt w:val="bullet"/>
      <w:lvlText w:val=""/>
      <w:lvlJc w:val="left"/>
      <w:pPr>
        <w:tabs>
          <w:tab w:val="left" w:pos="900"/>
        </w:tabs>
        <w:ind w:left="540" w:hanging="360"/>
      </w:pPr>
      <w:rPr>
        <w:rFonts w:hint="default" w:ascii="Symbol" w:hAnsi="Symbol"/>
      </w:rPr>
    </w:lvl>
  </w:abstractNum>
  <w:abstractNum w:abstractNumId="14">
    <w:nsid w:val="2470EC97"/>
    <w:multiLevelType w:val="singleLevel"/>
    <w:tmpl w:val="2470EC97"/>
    <w:lvl w:ilvl="0" w:tentative="0">
      <w:start w:val="1"/>
      <w:numFmt w:val="bullet"/>
      <w:lvlText w:val=""/>
      <w:lvlJc w:val="left"/>
      <w:pPr>
        <w:tabs>
          <w:tab w:val="left" w:pos="900"/>
        </w:tabs>
        <w:ind w:left="540" w:hanging="360"/>
      </w:pPr>
      <w:rPr>
        <w:rFonts w:hint="default" w:ascii="Symbol" w:hAnsi="Symbol"/>
      </w:rPr>
    </w:lvl>
  </w:abstractNum>
  <w:abstractNum w:abstractNumId="15">
    <w:nsid w:val="25B654F3"/>
    <w:multiLevelType w:val="singleLevel"/>
    <w:tmpl w:val="25B654F3"/>
    <w:lvl w:ilvl="0" w:tentative="0">
      <w:start w:val="1"/>
      <w:numFmt w:val="bullet"/>
      <w:lvlText w:val=""/>
      <w:lvlJc w:val="left"/>
      <w:pPr>
        <w:tabs>
          <w:tab w:val="left" w:pos="900"/>
        </w:tabs>
        <w:ind w:left="540" w:hanging="360"/>
      </w:pPr>
      <w:rPr>
        <w:rFonts w:hint="default" w:ascii="Symbol" w:hAnsi="Symbol"/>
      </w:rPr>
    </w:lvl>
  </w:abstractNum>
  <w:abstractNum w:abstractNumId="16">
    <w:nsid w:val="2A8F537B"/>
    <w:multiLevelType w:val="singleLevel"/>
    <w:tmpl w:val="2A8F537B"/>
    <w:lvl w:ilvl="0" w:tentative="0">
      <w:start w:val="1"/>
      <w:numFmt w:val="bullet"/>
      <w:lvlText w:val=""/>
      <w:lvlJc w:val="left"/>
      <w:pPr>
        <w:tabs>
          <w:tab w:val="left" w:pos="900"/>
        </w:tabs>
        <w:ind w:left="540" w:hanging="360"/>
      </w:pPr>
      <w:rPr>
        <w:rFonts w:hint="default" w:ascii="Symbol" w:hAnsi="Symbol"/>
      </w:rPr>
    </w:lvl>
  </w:abstractNum>
  <w:abstractNum w:abstractNumId="17">
    <w:nsid w:val="46A08BB8"/>
    <w:multiLevelType w:val="singleLevel"/>
    <w:tmpl w:val="46A08BB8"/>
    <w:lvl w:ilvl="0" w:tentative="0">
      <w:start w:val="4"/>
      <w:numFmt w:val="decimal"/>
      <w:lvlText w:val="%1."/>
      <w:lvlJc w:val="left"/>
      <w:pPr>
        <w:tabs>
          <w:tab w:val="left" w:pos="900"/>
        </w:tabs>
        <w:ind w:left="540" w:hanging="360"/>
      </w:pPr>
    </w:lvl>
  </w:abstractNum>
  <w:abstractNum w:abstractNumId="18">
    <w:nsid w:val="4C1BAE26"/>
    <w:multiLevelType w:val="singleLevel"/>
    <w:tmpl w:val="4C1BAE26"/>
    <w:lvl w:ilvl="0" w:tentative="0">
      <w:start w:val="1"/>
      <w:numFmt w:val="bullet"/>
      <w:lvlText w:val=""/>
      <w:lvlJc w:val="left"/>
      <w:pPr>
        <w:tabs>
          <w:tab w:val="left" w:pos="900"/>
        </w:tabs>
        <w:ind w:left="540" w:hanging="360"/>
      </w:pPr>
      <w:rPr>
        <w:rFonts w:hint="default" w:ascii="Symbol" w:hAnsi="Symbol"/>
      </w:rPr>
    </w:lvl>
  </w:abstractNum>
  <w:abstractNum w:abstractNumId="19">
    <w:nsid w:val="4D4DC07F"/>
    <w:multiLevelType w:val="singleLevel"/>
    <w:tmpl w:val="4D4DC07F"/>
    <w:lvl w:ilvl="0" w:tentative="0">
      <w:start w:val="1"/>
      <w:numFmt w:val="bullet"/>
      <w:lvlText w:val=""/>
      <w:lvlJc w:val="left"/>
      <w:pPr>
        <w:tabs>
          <w:tab w:val="left" w:pos="900"/>
        </w:tabs>
        <w:ind w:left="540" w:hanging="360"/>
      </w:pPr>
      <w:rPr>
        <w:rFonts w:hint="default" w:ascii="Symbol" w:hAnsi="Symbol"/>
      </w:rPr>
    </w:lvl>
  </w:abstractNum>
  <w:abstractNum w:abstractNumId="20">
    <w:nsid w:val="59ADCABA"/>
    <w:multiLevelType w:val="singleLevel"/>
    <w:tmpl w:val="59ADCABA"/>
    <w:lvl w:ilvl="0" w:tentative="0">
      <w:start w:val="1"/>
      <w:numFmt w:val="bullet"/>
      <w:lvlText w:val=""/>
      <w:lvlJc w:val="left"/>
      <w:pPr>
        <w:tabs>
          <w:tab w:val="left" w:pos="900"/>
        </w:tabs>
        <w:ind w:left="540" w:hanging="360"/>
      </w:pPr>
      <w:rPr>
        <w:rFonts w:hint="default" w:ascii="Symbol" w:hAnsi="Symbol"/>
      </w:rPr>
    </w:lvl>
  </w:abstractNum>
  <w:abstractNum w:abstractNumId="21">
    <w:nsid w:val="5A241D34"/>
    <w:multiLevelType w:val="singleLevel"/>
    <w:tmpl w:val="5A241D34"/>
    <w:lvl w:ilvl="0" w:tentative="0">
      <w:start w:val="5"/>
      <w:numFmt w:val="decimal"/>
      <w:lvlText w:val="%1."/>
      <w:lvlJc w:val="left"/>
      <w:pPr>
        <w:tabs>
          <w:tab w:val="left" w:pos="900"/>
        </w:tabs>
        <w:ind w:left="540" w:hanging="360"/>
      </w:pPr>
    </w:lvl>
  </w:abstractNum>
  <w:abstractNum w:abstractNumId="22">
    <w:nsid w:val="60382F6E"/>
    <w:multiLevelType w:val="singleLevel"/>
    <w:tmpl w:val="60382F6E"/>
    <w:lvl w:ilvl="0" w:tentative="0">
      <w:start w:val="3"/>
      <w:numFmt w:val="decimal"/>
      <w:lvlText w:val="%1."/>
      <w:lvlJc w:val="left"/>
      <w:pPr>
        <w:tabs>
          <w:tab w:val="left" w:pos="900"/>
        </w:tabs>
        <w:ind w:left="540" w:hanging="360"/>
      </w:pPr>
    </w:lvl>
  </w:abstractNum>
  <w:abstractNum w:abstractNumId="23">
    <w:nsid w:val="72183CF9"/>
    <w:multiLevelType w:val="singleLevel"/>
    <w:tmpl w:val="72183CF9"/>
    <w:lvl w:ilvl="0" w:tentative="0">
      <w:start w:val="3"/>
      <w:numFmt w:val="decimal"/>
      <w:lvlText w:val="%1."/>
      <w:lvlJc w:val="left"/>
      <w:pPr>
        <w:tabs>
          <w:tab w:val="left" w:pos="900"/>
        </w:tabs>
        <w:ind w:left="540" w:hanging="360"/>
      </w:pPr>
    </w:lvl>
  </w:abstractNum>
  <w:abstractNum w:abstractNumId="24">
    <w:nsid w:val="7C246926"/>
    <w:multiLevelType w:val="singleLevel"/>
    <w:tmpl w:val="7C246926"/>
    <w:lvl w:ilvl="0" w:tentative="0">
      <w:start w:val="1"/>
      <w:numFmt w:val="decimal"/>
      <w:lvlText w:val="%1."/>
      <w:lvlJc w:val="left"/>
      <w:pPr>
        <w:tabs>
          <w:tab w:val="left" w:pos="900"/>
        </w:tabs>
        <w:ind w:left="540" w:hanging="360"/>
      </w:pPr>
    </w:lvl>
  </w:abstractNum>
  <w:num w:numId="1">
    <w:abstractNumId w:val="10"/>
  </w:num>
  <w:num w:numId="2">
    <w:abstractNumId w:val="6"/>
  </w:num>
  <w:num w:numId="3">
    <w:abstractNumId w:val="20"/>
  </w:num>
  <w:num w:numId="4">
    <w:abstractNumId w:val="4"/>
  </w:num>
  <w:num w:numId="5">
    <w:abstractNumId w:val="3"/>
  </w:num>
  <w:num w:numId="6">
    <w:abstractNumId w:val="12"/>
  </w:num>
  <w:num w:numId="7">
    <w:abstractNumId w:val="15"/>
  </w:num>
  <w:num w:numId="8">
    <w:abstractNumId w:val="23"/>
  </w:num>
  <w:num w:numId="9">
    <w:abstractNumId w:val="11"/>
  </w:num>
  <w:num w:numId="10">
    <w:abstractNumId w:val="0"/>
  </w:num>
  <w:num w:numId="11">
    <w:abstractNumId w:val="16"/>
  </w:num>
  <w:num w:numId="12">
    <w:abstractNumId w:val="21"/>
  </w:num>
  <w:num w:numId="13">
    <w:abstractNumId w:val="5"/>
  </w:num>
  <w:num w:numId="14">
    <w:abstractNumId w:val="19"/>
  </w:num>
  <w:num w:numId="15">
    <w:abstractNumId w:val="9"/>
  </w:num>
  <w:num w:numId="16">
    <w:abstractNumId w:val="14"/>
  </w:num>
  <w:num w:numId="17">
    <w:abstractNumId w:val="8"/>
  </w:num>
  <w:num w:numId="18">
    <w:abstractNumId w:val="7"/>
  </w:num>
  <w:num w:numId="19">
    <w:abstractNumId w:val="1"/>
  </w:num>
  <w:num w:numId="20">
    <w:abstractNumId w:val="18"/>
  </w:num>
  <w:num w:numId="21">
    <w:abstractNumId w:val="22"/>
  </w:num>
  <w:num w:numId="22">
    <w:abstractNumId w:val="13"/>
  </w:num>
  <w:num w:numId="23">
    <w:abstractNumId w:val="17"/>
  </w:num>
  <w:num w:numId="24">
    <w:abstractNumId w:val="2"/>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D3A32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Theme="minorHAnsi" w:eastAsiaTheme="minorHAnsi"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20" w:line="240" w:lineRule="atLeast"/>
    </w:pPr>
    <w:rPr>
      <w:rFonts w:ascii="Georgia" w:hAnsiTheme="minorHAnsi" w:eastAsiaTheme="minorHAnsi" w:cstheme="minorBidi"/>
      <w:sz w:val="21"/>
      <w:szCs w:val="22"/>
      <w:lang w:val="en-US" w:eastAsia="en-US" w:bidi="ar-SA"/>
    </w:rPr>
  </w:style>
  <w:style w:type="character" w:default="1" w:styleId="3">
    <w:name w:val="Default Paragraph Font"/>
    <w:semiHidden/>
    <w:uiPriority w:val="0"/>
  </w:style>
  <w:style w:type="table" w:default="1" w:styleId="2">
    <w:name w:val="Normal Table"/>
    <w:semiHidden/>
    <w:unhideWhenUsed/>
    <w:uiPriority w:val="99"/>
    <w:tblPr>
      <w:tblCellMar>
        <w:top w:w="80" w:type="dxa"/>
        <w:left w:w="160" w:type="dxa"/>
        <w:bottom w:w="80" w:type="dxa"/>
        <w:right w:w="160" w:type="dxa"/>
      </w:tblCellMar>
    </w:tblPr>
  </w:style>
  <w:style w:type="character" w:customStyle="1" w:styleId="4">
    <w:name w:val="Verbatim Char"/>
    <w:uiPriority w:val="0"/>
    <w:rPr>
      <w:rFonts w:ascii="Consolas" w:hAnsi="Consolas"/>
      <w:sz w:val="22"/>
    </w:rPr>
  </w:style>
  <w:style w:type="table" w:customStyle="1" w:styleId="5">
    <w:name w:val="Normal Grid"/>
    <w:basedOn w:val="2"/>
    <w:qFormat/>
    <w:uiPriority w:val="39"/>
    <w:pPr>
      <w:spacing w:after="0" w:line="240" w:lineRule="auto"/>
    </w:pPr>
    <w:tblPr>
      <w:tblCellMar>
        <w:top w:w="80" w:type="dxa"/>
        <w:left w:w="160" w:type="dxa"/>
        <w:bottom w:w="80" w:type="dxa"/>
        <w:right w:w="16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13</Pages>
  <Words>2158</Words>
  <Characters>2401</Characters>
  <TotalTime>0</TotalTime>
  <ScaleCrop>false</ScaleCrop>
  <LinksUpToDate>false</LinksUpToDate>
  <CharactersWithSpaces>2450</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2026-01-11T17:50:00Z</dcterms:created>
  <dc:creator>html-to-docx</dc:creator>
  <cp:keywords>html-to-docx</cp:keywords>
  <cp:lastModifiedBy>dyx</cp:lastModifiedBy>
  <dcterms:modified xsi:type="dcterms:W3CDTF">2026-01-11T17:50:39Z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eyJoZGlkIjoiMzEwNTM5NzYwMDRjMzkwZTVkZjY2ODkwMGIxNGU0OTUiLCJ1c2VySWQiOiIxMzIzODQxOTU2In0=</vt:lpwstr>
  </property>
  <property fmtid="{D5CDD505-2E9C-101B-9397-08002B2CF9AE}" pid="3" name="KSOProductBuildVer">
    <vt:lpwstr>2052-12.1.0.23542</vt:lpwstr>
  </property>
  <property fmtid="{D5CDD505-2E9C-101B-9397-08002B2CF9AE}" pid="4" name="ICV">
    <vt:lpwstr>57F83A70811249648CA6AA505993AB4F_12</vt:lpwstr>
  </property>
</Properties>
</file>