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CF7D3">
      <w:pPr>
        <w:spacing w:before="157" w:after="157" w:line="270" w:lineRule="auto"/>
        <w:jc w:val="left"/>
      </w:pPr>
      <w:bookmarkStart w:id="0" w:name="全国高校教师教学创新大赛_创新赛_与全国高校青年教师教学竞赛_青教_b349e8"/>
      <w:bookmarkStart w:id="239" w:name="_GoBack"/>
      <w:bookmarkEnd w:id="239"/>
      <w:r>
        <w:rPr>
          <w:rFonts w:ascii="inter" w:hAnsi="inter" w:eastAsia="inter" w:cs="inter"/>
          <w:b/>
          <w:color w:val="000000"/>
          <w:sz w:val="39"/>
        </w:rPr>
        <w:t>全国高校教师教学创新大赛（创新赛）与全国高校青年教师教学竞赛（青教赛）全国一等奖课程教学范式与资源生态战略分析报告</w:t>
      </w:r>
      <w:bookmarkEnd w:id="0"/>
    </w:p>
    <w:p w14:paraId="6E5CC8BD">
      <w:pPr>
        <w:spacing w:before="315" w:after="105" w:line="360" w:lineRule="auto"/>
        <w:ind w:left="-30"/>
        <w:jc w:val="left"/>
      </w:pPr>
      <w:bookmarkStart w:id="1" w:name="一_executive_summary_问题界定与战略判断"/>
      <w:r>
        <w:rPr>
          <w:rFonts w:ascii="inter" w:hAnsi="inter" w:eastAsia="inter" w:cs="inter"/>
          <w:b/>
          <w:color w:val="000000"/>
          <w:sz w:val="24"/>
        </w:rPr>
        <w:t>一、 executive summary：问题界定与战略判断</w:t>
      </w:r>
      <w:bookmarkEnd w:id="1"/>
    </w:p>
    <w:p w14:paraId="58DB8E0B">
      <w:pPr>
        <w:spacing w:after="210" w:line="360" w:lineRule="auto"/>
      </w:pPr>
      <w:r>
        <w:rPr>
          <w:rFonts w:ascii="inter" w:hAnsi="inter" w:eastAsia="inter" w:cs="inter"/>
          <w:color w:val="000000"/>
        </w:rPr>
        <w:t>据中国高等教育学会发布的《全国普通高校教师教学竞赛分析报告（2012—2020年）》指出，全国性教师教学竞赛已逐步形成以“全国高校教师教学创新大赛”（以下简称“创新赛”）与“全国高校青年教师教学竞赛”（以下简称“青教赛”）为核心支点的竞赛体系，对高校课堂教学方式变革、教师教学能力发展以及高等教育质量提升产生了系统性牵引效应。在此体系中，全国一等奖课程在教学范式重构、教学创新要素集成以及教学资源生态构建方面，通常被视为“最高水平样本”，具有重要的政策与实践风向标意义。</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BD61D18">
      <w:pPr>
        <w:spacing w:after="210" w:line="360" w:lineRule="auto"/>
      </w:pPr>
      <w:r>
        <w:rPr>
          <w:rFonts w:ascii="inter" w:hAnsi="inter" w:eastAsia="inter" w:cs="inter"/>
          <w:color w:val="000000"/>
        </w:rPr>
        <w:t>根据中国高等教育学会、高等教育司指导文件以及各届国赛组织方案的归纳梳理，创新赛更强调“课程整体性重构+教学模式系统创新”，青教赛更突出“课堂微观设计+教学基本功标杆示范”。两类竞赛全国一等奖课程的共性特征，可能表明我国高校课堂教学正在从“单点技巧优化”向“基于学习科学的系统性教学设计、数据驱动的精准教学干预、多模态教学资源生态构建”的综合升级。</w:t>
      </w:r>
      <w:bookmarkStart w:id="5" w:name="fnref4"/>
      <w:bookmarkEnd w:id="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6" w:name="fnref5"/>
      <w:bookmarkEnd w:id="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7" w:name="fnref6"/>
      <w:bookmarkEnd w:id="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8" w:name="fnref7"/>
      <w:bookmarkEnd w:id="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6EB63E93">
      <w:pPr>
        <w:spacing w:after="210" w:line="360" w:lineRule="auto"/>
      </w:pPr>
      <w:r>
        <w:rPr>
          <w:rFonts w:ascii="inter" w:hAnsi="inter" w:eastAsia="inter" w:cs="inter"/>
          <w:color w:val="000000"/>
        </w:rPr>
        <w:t>从国家战略视角看，在“教育数字化战略行动”“新工科/新文科/新医科建设”“课程思政高质量推进”等政策背景下，系统研究两类竞赛全国一等奖课程的教学范式与资源生态，有助于为高校构建高水平本科教育体系、打造高质量教师队伍和建设高水平专业与课程提供可复制、可推广的路径样本。据教育部有关高教质量报告与世界银行教育发展报告的共识性判断，教师课堂教学创新与资源开放共享，已成为衡量高等教育质量与公平性的重要维度之一。</w:t>
      </w:r>
      <w:bookmarkStart w:id="9" w:name="fnref6_1"/>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0" w:name="fnref8"/>
      <w:bookmarkEnd w:id="1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1" w:name="fnref4_1"/>
      <w:bookmarkEnd w:id="1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64D442D">
      <w:pPr>
        <w:spacing w:after="210" w:line="360" w:lineRule="auto"/>
      </w:pPr>
      <w:r>
        <w:rPr>
          <w:rFonts w:ascii="inter" w:hAnsi="inter" w:eastAsia="inter" w:cs="inter"/>
          <w:color w:val="000000"/>
        </w:rPr>
        <w:t>在此基础上，本报告形成以下三条核心战略性判断（均在后文展开、论证与限定适用边界）：</w:t>
      </w:r>
    </w:p>
    <w:p w14:paraId="291CD69B">
      <w:pPr>
        <w:numPr>
          <w:ilvl w:val="0"/>
          <w:numId w:val="1"/>
        </w:numPr>
        <w:spacing w:before="105" w:after="105" w:line="360" w:lineRule="auto"/>
      </w:pPr>
      <w:r>
        <w:rPr>
          <w:rFonts w:ascii="inter" w:hAnsi="inter" w:eastAsia="inter" w:cs="inter"/>
          <w:color w:val="000000"/>
          <w:sz w:val="21"/>
        </w:rPr>
        <w:t>全国一等奖课程整体上呈现出“建构主义学习理论+学习科学证据+数字化精准教学”的复合型教学范式特征，在一定条件下可为我国高校教学改革提供可借鉴的“高阶范式蓝本”。</w:t>
      </w:r>
    </w:p>
    <w:p w14:paraId="001E12CB">
      <w:pPr>
        <w:numPr>
          <w:ilvl w:val="0"/>
          <w:numId w:val="1"/>
        </w:numPr>
        <w:spacing w:before="105" w:after="105" w:line="360" w:lineRule="auto"/>
      </w:pPr>
      <w:r>
        <w:rPr>
          <w:rFonts w:ascii="inter" w:hAnsi="inter" w:eastAsia="inter" w:cs="inter"/>
          <w:color w:val="000000"/>
          <w:sz w:val="21"/>
        </w:rPr>
        <w:t>以创新赛为代表的“课程整体创新型”一等奖课程与以青教赛为代表的“课堂精细化型”一等奖课程，在人才培养目标对接“四新建设”、课程思政融入、产教融合深度等方面具有差异化优势，建议各校结合类型定位与学科结构进行“竞赛路径—发展目标”的精准匹配。</w:t>
      </w:r>
    </w:p>
    <w:p w14:paraId="5BC8ECEC">
      <w:pPr>
        <w:numPr>
          <w:ilvl w:val="0"/>
          <w:numId w:val="1"/>
        </w:numPr>
        <w:spacing w:before="105" w:after="105" w:line="360" w:lineRule="auto"/>
      </w:pPr>
      <w:r>
        <w:rPr>
          <w:rFonts w:ascii="inter" w:hAnsi="inter" w:eastAsia="inter" w:cs="inter"/>
          <w:color w:val="000000"/>
          <w:sz w:val="21"/>
        </w:rPr>
        <w:t>一等奖课程背后的资源生态通常体现出“多模态资源形态+多主体供给+多平台共享”的特征，但同时也面临“资源生产成本高、持续更新压力大、校际共享机制不足”等实施挑战，亟需在国家和高校层面进行制度化设计与平台化支撑。</w:t>
      </w:r>
    </w:p>
    <w:p w14:paraId="61CF9011">
      <w:pPr>
        <w:spacing w:after="210" w:line="360" w:lineRule="auto"/>
      </w:pPr>
      <w:r>
        <w:rPr>
          <w:rFonts w:ascii="inter" w:hAnsi="inter" w:eastAsia="inter" w:cs="inter"/>
          <w:color w:val="000000"/>
        </w:rPr>
        <w:t>下文将围绕“情况”（教学范式、创新特质、成功要素）与“资料”（资源形态、获取生态）两个维度展开系统分析，并提出与国家教育战略深度对接的政策建议。</w:t>
      </w:r>
    </w:p>
    <w:p w14:paraId="24BD122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49FE0769">
      <w:pPr>
        <w:spacing w:before="315" w:after="105" w:line="360" w:lineRule="auto"/>
        <w:ind w:left="-30"/>
        <w:jc w:val="left"/>
      </w:pPr>
      <w:bookmarkStart w:id="12" w:name="二_竞赛结构与评价体系_教学范式的制度外壳"/>
      <w:r>
        <w:rPr>
          <w:rFonts w:ascii="inter" w:hAnsi="inter" w:eastAsia="inter" w:cs="inter"/>
          <w:b/>
          <w:color w:val="000000"/>
          <w:sz w:val="24"/>
        </w:rPr>
        <w:t>二、竞赛结构与评价体系：教学范式的制度外壳</w:t>
      </w:r>
      <w:bookmarkEnd w:id="12"/>
    </w:p>
    <w:p w14:paraId="20162173">
      <w:pPr>
        <w:spacing w:before="315" w:after="105" w:line="360" w:lineRule="auto"/>
        <w:ind w:left="-30"/>
        <w:jc w:val="left"/>
      </w:pPr>
      <w:bookmarkStart w:id="13" w:name="一_两类竞赛制度定位与功能差异"/>
      <w:r>
        <w:rPr>
          <w:rFonts w:ascii="inter" w:hAnsi="inter" w:eastAsia="inter" w:cs="inter"/>
          <w:b/>
          <w:color w:val="000000"/>
          <w:sz w:val="24"/>
        </w:rPr>
        <w:t>（一）两类竞赛制度定位与功能差异</w:t>
      </w:r>
      <w:bookmarkEnd w:id="13"/>
    </w:p>
    <w:p w14:paraId="273968B0">
      <w:pPr>
        <w:spacing w:after="210" w:line="360" w:lineRule="auto"/>
      </w:pPr>
      <w:r>
        <w:rPr>
          <w:rFonts w:ascii="inter" w:hAnsi="inter" w:eastAsia="inter" w:cs="inter"/>
          <w:color w:val="000000"/>
        </w:rPr>
        <w:t>据中国高等教育学会高校竞赛评估与管理体系研究专家工作组发布的《全国普通高校教师教学竞赛分析报告（2012—2020年）》显示，目前普遍得到认可且有公开数据的全国性高校教师教学竞赛有50项，创新赛与青教赛在其中处于“牵引性核心赛事”地位，分别面向不同发展阶段与类型的教师群体。</w:t>
      </w:r>
      <w:bookmarkStart w:id="14" w:name="fnref1_1"/>
      <w:bookmarkEnd w:id="1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5" w:name="fnref2_1"/>
      <w:bookmarkEnd w:id="1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6" w:name="fnref9"/>
      <w:bookmarkEnd w:id="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F750579">
      <w:pPr>
        <w:numPr>
          <w:ilvl w:val="0"/>
          <w:numId w:val="2"/>
        </w:numPr>
        <w:spacing w:after="210" w:line="360" w:lineRule="auto"/>
      </w:pPr>
      <w:r>
        <w:rPr>
          <w:rFonts w:ascii="inter" w:hAnsi="inter" w:eastAsia="inter" w:cs="inter"/>
          <w:color w:val="000000"/>
          <w:sz w:val="21"/>
        </w:rPr>
        <w:t>创新赛定位</w:t>
      </w:r>
      <w:r>
        <w:rPr>
          <w:rFonts w:ascii="inter" w:hAnsi="inter" w:eastAsia="inter" w:cs="inter"/>
          <w:color w:val="000000"/>
          <w:sz w:val="21"/>
        </w:rPr>
        <w:br w:type="textWrapping"/>
      </w:r>
      <w:r>
        <w:rPr>
          <w:rFonts w:ascii="inter" w:hAnsi="inter" w:eastAsia="inter" w:cs="inter"/>
          <w:color w:val="000000"/>
          <w:sz w:val="21"/>
        </w:rPr>
        <w:t>根据中国高等教育学会《关于举办第五届全国高校教师教学创新大赛的通知》，创新赛由中国高等教育学会主办，教育部高等教育司指导，以“四新建设”（新工科、新医科、新农科、新文科）为引领，强调课程整体改革与教学模式创新，重点通过课堂教学实录视频、教学创新成果报告（含课程思政、产教融合专项）与教学设计创新汇报，综合评价教师的教学创新能力与课程建设水平。</w:t>
      </w:r>
      <w:bookmarkStart w:id="17" w:name="fnref4_2"/>
      <w:bookmarkEnd w:id="17"/>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18" w:name="fnref5_1"/>
      <w:bookmarkEnd w:id="18"/>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9" w:name="fnref6_2"/>
      <w:bookmarkEnd w:id="19"/>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78886BDB">
      <w:pPr>
        <w:numPr>
          <w:ilvl w:val="0"/>
          <w:numId w:val="2"/>
        </w:numPr>
        <w:spacing w:after="210" w:line="360" w:lineRule="auto"/>
      </w:pPr>
      <w:r>
        <w:rPr>
          <w:rFonts w:ascii="inter" w:hAnsi="inter" w:eastAsia="inter" w:cs="inter"/>
          <w:color w:val="000000"/>
          <w:sz w:val="21"/>
        </w:rPr>
        <w:t>青教赛定位</w:t>
      </w:r>
      <w:r>
        <w:rPr>
          <w:rFonts w:ascii="inter" w:hAnsi="inter" w:eastAsia="inter" w:cs="inter"/>
          <w:color w:val="000000"/>
          <w:sz w:val="21"/>
        </w:rPr>
        <w:br w:type="textWrapping"/>
      </w:r>
      <w:r>
        <w:rPr>
          <w:rFonts w:ascii="inter" w:hAnsi="inter" w:eastAsia="inter" w:cs="inter"/>
          <w:color w:val="000000"/>
          <w:sz w:val="21"/>
        </w:rPr>
        <w:t>据中国教科文卫体工会全国委员会有关文件与各届青教赛总结材料，青教赛主要面向40岁以下青年教师，以课堂教学实录和现场授课为核心形态，突出“教学设计—课堂呈现—教学反思—综合素养”一体化评价，旨在通过“以赛促练、以赛促教”快速提升青年教师教学基本功与课堂掌控力。</w:t>
      </w:r>
      <w:bookmarkStart w:id="20" w:name="fnref10"/>
      <w:bookmarkEnd w:id="20"/>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1" w:name="fnref11"/>
      <w:bookmarkEnd w:id="21"/>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22" w:name="fnref12"/>
      <w:bookmarkEnd w:id="22"/>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3" w:name="fnref13"/>
      <w:bookmarkEnd w:id="23"/>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15279C90">
      <w:pPr>
        <w:numPr>
          <w:ilvl w:val="0"/>
          <w:numId w:val="2"/>
        </w:numPr>
        <w:spacing w:after="210" w:line="360" w:lineRule="auto"/>
      </w:pPr>
      <w:r>
        <w:rPr>
          <w:rFonts w:ascii="inter" w:hAnsi="inter" w:eastAsia="inter" w:cs="inter"/>
          <w:color w:val="000000"/>
          <w:sz w:val="21"/>
        </w:rPr>
        <w:t>制度功能比较表</w:t>
      </w:r>
    </w:p>
    <w:p w14:paraId="5F505F46">
      <w:pPr>
        <w:spacing w:after="210" w:line="360" w:lineRule="auto"/>
      </w:pPr>
      <w:r>
        <w:rPr>
          <w:rFonts w:ascii="inter" w:hAnsi="inter" w:eastAsia="inter" w:cs="inter"/>
          <w:color w:val="000000"/>
        </w:rPr>
        <w:t>两类竞赛在功能定位上的差异，可通过下表进行结构化呈现。</w:t>
      </w:r>
    </w:p>
    <w:p w14:paraId="571D165F">
      <w:pPr>
        <w:spacing w:after="0" w:line="360" w:lineRule="auto"/>
        <w:jc w:val="center"/>
      </w:pPr>
      <w:r>
        <w:rPr>
          <w:rFonts w:ascii="inter" w:hAnsi="inter" w:eastAsia="inter" w:cs="inter"/>
          <w:color w:val="000000"/>
        </w:rPr>
        <w:drawing>
          <wp:inline distT="0" distB="0" distL="0" distR="0">
            <wp:extent cx="952500" cy="952500"/>
            <wp:effectExtent l="0" t="0" r="0" b="0"/>
            <wp:docPr id="2" name="image-not-found.png" descr="两类国家级教学竞赛核心指标对比分析"/>
            <wp:cNvGraphicFramePr/>
            <a:graphic xmlns:a="http://schemas.openxmlformats.org/drawingml/2006/main">
              <a:graphicData uri="http://schemas.openxmlformats.org/drawingml/2006/picture">
                <pic:pic xmlns:pic="http://schemas.openxmlformats.org/drawingml/2006/picture">
                  <pic:nvPicPr>
                    <pic:cNvPr id="2" name="image-not-found.png" descr="两类国家级教学竞赛核心指标对比分析"/>
                    <pic:cNvPicPr/>
                  </pic:nvPicPr>
                  <pic:blipFill>
                    <a:blip r:embed="rId6" cstate="print"/>
                    <a:srcRect/>
                    <a:stretch>
                      <a:fillRect/>
                    </a:stretch>
                  </pic:blipFill>
                  <pic:spPr>
                    <a:xfrm>
                      <a:off x="0" y="0"/>
                      <a:ext cx="952500" cy="952500"/>
                    </a:xfrm>
                    <a:prstGeom prst="rect">
                      <a:avLst/>
                    </a:prstGeom>
                  </pic:spPr>
                </pic:pic>
              </a:graphicData>
            </a:graphic>
          </wp:inline>
        </w:drawing>
      </w:r>
    </w:p>
    <w:p w14:paraId="1032423D">
      <w:pPr>
        <w:spacing w:after="210" w:line="360" w:lineRule="auto"/>
      </w:pPr>
      <w:r>
        <w:rPr>
          <w:rFonts w:ascii="inter" w:hAnsi="inter" w:eastAsia="inter" w:cs="inter"/>
          <w:color w:val="000000"/>
        </w:rPr>
        <w:t>两类国家级教学竞赛核心指标对比分析</w:t>
      </w:r>
    </w:p>
    <w:p w14:paraId="74CC8C13">
      <w:pPr>
        <w:spacing w:before="315" w:after="105" w:line="360" w:lineRule="auto"/>
        <w:ind w:left="-30"/>
        <w:jc w:val="left"/>
      </w:pPr>
      <w:bookmarkStart w:id="24" w:name="二_核心评价维度与指标体系梳理"/>
      <w:r>
        <w:rPr>
          <w:rFonts w:ascii="inter" w:hAnsi="inter" w:eastAsia="inter" w:cs="inter"/>
          <w:b/>
          <w:color w:val="000000"/>
          <w:sz w:val="24"/>
        </w:rPr>
        <w:t>（二）核心评价维度与指标体系梳理</w:t>
      </w:r>
      <w:bookmarkEnd w:id="24"/>
    </w:p>
    <w:p w14:paraId="67A5E9C9">
      <w:pPr>
        <w:numPr>
          <w:ilvl w:val="0"/>
          <w:numId w:val="3"/>
        </w:numPr>
        <w:spacing w:after="210" w:line="360" w:lineRule="auto"/>
      </w:pPr>
      <w:r>
        <w:rPr>
          <w:rFonts w:ascii="inter" w:hAnsi="inter" w:eastAsia="inter" w:cs="inter"/>
          <w:color w:val="000000"/>
          <w:sz w:val="21"/>
        </w:rPr>
        <w:t>创新赛评价体系</w:t>
      </w:r>
      <w:r>
        <w:rPr>
          <w:rFonts w:ascii="inter" w:hAnsi="inter" w:eastAsia="inter" w:cs="inter"/>
          <w:color w:val="000000"/>
          <w:sz w:val="21"/>
        </w:rPr>
        <w:br w:type="textWrapping"/>
      </w:r>
      <w:r>
        <w:rPr>
          <w:rFonts w:ascii="inter" w:hAnsi="inter" w:eastAsia="inter" w:cs="inter"/>
          <w:color w:val="000000"/>
          <w:sz w:val="21"/>
        </w:rPr>
        <w:t>据《全国高校教师教学创新大赛评分标准（第1—3组）》中明确，创新赛从“理念与目标、教学内容、课程思政、过程与方法、教学成效”等维度进行综合评价，强调课程设计需体现“以学生发展为中心”、推进“四新建设”、突出高阶性、创新性与挑战度，注重教学资源质量与课程思政育人效果。</w:t>
      </w:r>
      <w:bookmarkStart w:id="25" w:name="fnref4_3"/>
      <w:bookmarkEnd w:id="2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8E986AF">
      <w:pPr>
        <w:spacing w:after="210" w:line="360" w:lineRule="auto"/>
        <w:ind w:left="540"/>
      </w:pPr>
      <w:r>
        <w:rPr>
          <w:rFonts w:ascii="inter" w:hAnsi="inter" w:eastAsia="inter" w:cs="inter"/>
          <w:color w:val="000000"/>
          <w:sz w:val="21"/>
        </w:rPr>
        <w:t>其中，“理念与目标”强调课程与学科前沿、国家战略需求和学生发展需求的对接；“过程与方法”强调自主、合作、探究学习，重视现代信息技术与多模态教学资源的融合应用；“教学成效”关注学习成就、能力发展和价值塑造等多维结果。</w:t>
      </w:r>
      <w:bookmarkStart w:id="26" w:name="fnref6_3"/>
      <w:bookmarkEnd w:id="26"/>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27" w:name="fnref4_4"/>
      <w:bookmarkEnd w:id="27"/>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AB1212A">
      <w:pPr>
        <w:numPr>
          <w:ilvl w:val="0"/>
          <w:numId w:val="3"/>
        </w:numPr>
        <w:spacing w:after="210" w:line="360" w:lineRule="auto"/>
      </w:pPr>
      <w:r>
        <w:rPr>
          <w:rFonts w:ascii="inter" w:hAnsi="inter" w:eastAsia="inter" w:cs="inter"/>
          <w:color w:val="000000"/>
          <w:sz w:val="21"/>
        </w:rPr>
        <w:t>青教赛评价体系</w:t>
      </w:r>
      <w:r>
        <w:rPr>
          <w:rFonts w:ascii="inter" w:hAnsi="inter" w:eastAsia="inter" w:cs="inter"/>
          <w:color w:val="000000"/>
          <w:sz w:val="21"/>
        </w:rPr>
        <w:br w:type="textWrapping"/>
      </w:r>
      <w:r>
        <w:rPr>
          <w:rFonts w:ascii="inter" w:hAnsi="inter" w:eastAsia="inter" w:cs="inter"/>
          <w:color w:val="000000"/>
          <w:sz w:val="21"/>
        </w:rPr>
        <w:t>根据多省承办第六、第七届全国高校青年教师教学竞赛总结材料及学术反思文章，青教赛通常从“教学设计合理性、课堂教学表现力、教学反思深度与发展潜力”等角度进行综合评审，突出黑板板书、口语表达、课堂节奏、师生互动等教学基本功要求。</w:t>
      </w:r>
      <w:bookmarkStart w:id="28" w:name="fnref10_1"/>
      <w:bookmarkEnd w:id="28"/>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9" w:name="fnref12_1"/>
      <w:bookmarkEnd w:id="29"/>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30" w:name="fnref13_1"/>
      <w:bookmarkEnd w:id="30"/>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31" w:name="fnref14"/>
      <w:bookmarkEnd w:id="31"/>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例如，有关“基于参加第六届全国高校青年教师教学竞赛的沉积学课堂教学设计范式”的研究指出，青教赛强调教师对20节左右不同课程片段的整体统筹设计，突出知识主线建构、难点梯度推进与情境创设能力。</w:t>
      </w:r>
      <w:bookmarkStart w:id="32" w:name="fnref12_2"/>
      <w:bookmarkEnd w:id="32"/>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33" w:name="fnref10_2"/>
      <w:bookmarkEnd w:id="33"/>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4FE65B28">
      <w:pPr>
        <w:numPr>
          <w:ilvl w:val="0"/>
          <w:numId w:val="3"/>
        </w:numPr>
        <w:spacing w:after="210" w:line="360" w:lineRule="auto"/>
      </w:pPr>
      <w:r>
        <w:rPr>
          <w:rFonts w:ascii="inter" w:hAnsi="inter" w:eastAsia="inter" w:cs="inter"/>
          <w:color w:val="000000"/>
          <w:sz w:val="21"/>
        </w:rPr>
        <w:t>评价维度对比表</w:t>
      </w:r>
    </w:p>
    <w:p w14:paraId="458AE5DE">
      <w:pPr>
        <w:spacing w:after="210" w:line="360" w:lineRule="auto"/>
      </w:pPr>
      <w:r>
        <w:rPr>
          <w:rFonts w:ascii="inter" w:hAnsi="inter" w:eastAsia="inter" w:cs="inter"/>
          <w:color w:val="000000"/>
        </w:rPr>
        <w:t>为方便决策部门理解，两类竞赛核心评价维度与指标可以进行如下对照分解。</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30"/>
        <w:gridCol w:w="4670"/>
        <w:gridCol w:w="3840"/>
      </w:tblGrid>
      <w:tr w14:paraId="2DE33B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97EEB37">
            <w:pPr>
              <w:spacing w:after="0" w:line="360" w:lineRule="auto"/>
            </w:pPr>
            <w:r>
              <w:rPr>
                <w:rFonts w:ascii="inter" w:hAnsi="inter" w:eastAsia="inter" w:cs="inter"/>
                <w:color w:val="000000"/>
                <w:sz w:val="17"/>
              </w:rPr>
              <w:t>维度类别</w:t>
            </w:r>
          </w:p>
        </w:tc>
        <w:tc>
          <w:tcPr>
            <w:tcBorders>
              <w:top w:val="single" w:color="000000" w:sz="0" w:space="0"/>
              <w:bottom w:val="single" w:color="000000" w:sz="0" w:space="0"/>
              <w:right w:val="single" w:color="000000" w:sz="0" w:space="0"/>
            </w:tcBorders>
          </w:tcPr>
          <w:p w14:paraId="4EC4CD05">
            <w:pPr>
              <w:spacing w:after="0" w:line="360" w:lineRule="auto"/>
            </w:pPr>
            <w:r>
              <w:rPr>
                <w:rFonts w:ascii="inter" w:hAnsi="inter" w:eastAsia="inter" w:cs="inter"/>
                <w:color w:val="000000"/>
                <w:sz w:val="17"/>
              </w:rPr>
              <w:t>创新赛（教师教学创新大赛）</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3D4B1C0">
            <w:pPr>
              <w:spacing w:after="0" w:line="360" w:lineRule="auto"/>
            </w:pPr>
            <w:r>
              <w:rPr>
                <w:rFonts w:ascii="inter" w:hAnsi="inter" w:eastAsia="inter" w:cs="inter"/>
                <w:color w:val="000000"/>
                <w:sz w:val="17"/>
              </w:rPr>
              <w:t>青教赛（青年教师教学竞赛）</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r>
              <w:fldChar w:fldCharType="begin"/>
            </w:r>
            <w:r>
              <w:instrText xml:space="preserve"> HYPERLINK \l "fn14" \h </w:instrText>
            </w:r>
            <w:r>
              <w:fldChar w:fldCharType="separate"/>
            </w:r>
            <w:r>
              <w:rPr>
                <w:rFonts w:ascii="inter" w:hAnsi="inter" w:eastAsia="inter" w:cs="inter"/>
                <w:color w:val="000000"/>
                <w:sz w:val="17"/>
                <w:u w:val="single"/>
                <w:vertAlign w:val="superscript"/>
              </w:rPr>
              <w:t>[14]</w:t>
            </w:r>
            <w:r>
              <w:rPr>
                <w:rFonts w:ascii="inter" w:hAnsi="inter" w:eastAsia="inter" w:cs="inter"/>
                <w:color w:val="000000"/>
                <w:sz w:val="17"/>
                <w:u w:val="single"/>
                <w:vertAlign w:val="superscript"/>
              </w:rPr>
              <w:fldChar w:fldCharType="end"/>
            </w:r>
          </w:p>
        </w:tc>
      </w:tr>
      <w:tr w14:paraId="1D9E06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ABBB441">
            <w:pPr>
              <w:spacing w:after="0" w:line="360" w:lineRule="auto"/>
            </w:pPr>
            <w:r>
              <w:rPr>
                <w:rFonts w:ascii="inter" w:hAnsi="inter" w:eastAsia="inter" w:cs="inter"/>
                <w:color w:val="000000"/>
                <w:sz w:val="17"/>
              </w:rPr>
              <w:t>价值取向</w:t>
            </w:r>
          </w:p>
        </w:tc>
        <w:tc>
          <w:tcPr>
            <w:tcBorders>
              <w:top w:val="single" w:color="000000" w:sz="0" w:space="0"/>
              <w:bottom w:val="single" w:color="000000" w:sz="0" w:space="0"/>
              <w:right w:val="single" w:color="000000" w:sz="0" w:space="0"/>
            </w:tcBorders>
          </w:tcPr>
          <w:p w14:paraId="557FC250">
            <w:pPr>
              <w:spacing w:after="0" w:line="360" w:lineRule="auto"/>
            </w:pPr>
            <w:r>
              <w:rPr>
                <w:rFonts w:ascii="inter" w:hAnsi="inter" w:eastAsia="inter" w:cs="inter"/>
                <w:color w:val="000000"/>
                <w:sz w:val="17"/>
              </w:rPr>
              <w:t>课程整体改革、教学模式创新、服务“四新建设”</w:t>
            </w:r>
          </w:p>
        </w:tc>
        <w:tc>
          <w:tcPr>
            <w:tcBorders>
              <w:top w:val="single" w:color="000000" w:sz="0" w:space="0"/>
              <w:bottom w:val="single" w:color="000000" w:sz="0" w:space="0"/>
            </w:tcBorders>
          </w:tcPr>
          <w:p w14:paraId="18CCE8D7">
            <w:pPr>
              <w:spacing w:after="0" w:line="360" w:lineRule="auto"/>
            </w:pPr>
            <w:r>
              <w:rPr>
                <w:rFonts w:ascii="inter" w:hAnsi="inter" w:eastAsia="inter" w:cs="inter"/>
                <w:color w:val="000000"/>
                <w:sz w:val="17"/>
              </w:rPr>
              <w:t>青年教师成长、教学基本功、课堂教学品质提升</w:t>
            </w:r>
          </w:p>
        </w:tc>
      </w:tr>
      <w:tr w14:paraId="18858A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A4BDF99">
            <w:pPr>
              <w:spacing w:after="0" w:line="360" w:lineRule="auto"/>
            </w:pPr>
            <w:r>
              <w:rPr>
                <w:rFonts w:ascii="inter" w:hAnsi="inter" w:eastAsia="inter" w:cs="inter"/>
                <w:color w:val="000000"/>
                <w:sz w:val="17"/>
              </w:rPr>
              <w:t>设计起点</w:t>
            </w:r>
          </w:p>
        </w:tc>
        <w:tc>
          <w:tcPr>
            <w:tcBorders>
              <w:top w:val="single" w:color="000000" w:sz="0" w:space="0"/>
              <w:bottom w:val="single" w:color="000000" w:sz="0" w:space="0"/>
              <w:right w:val="single" w:color="000000" w:sz="0" w:space="0"/>
            </w:tcBorders>
          </w:tcPr>
          <w:p w14:paraId="2B4B0F82">
            <w:pPr>
              <w:spacing w:after="0" w:line="360" w:lineRule="auto"/>
            </w:pPr>
            <w:r>
              <w:rPr>
                <w:rFonts w:ascii="inter" w:hAnsi="inter" w:eastAsia="inter" w:cs="inter"/>
                <w:color w:val="000000"/>
                <w:sz w:val="17"/>
              </w:rPr>
              <w:t>以课程体系与专业建设为出发点</w:t>
            </w:r>
          </w:p>
        </w:tc>
        <w:tc>
          <w:tcPr>
            <w:tcBorders>
              <w:top w:val="single" w:color="000000" w:sz="0" w:space="0"/>
              <w:bottom w:val="single" w:color="000000" w:sz="0" w:space="0"/>
            </w:tcBorders>
          </w:tcPr>
          <w:p w14:paraId="33436241">
            <w:pPr>
              <w:spacing w:after="0" w:line="360" w:lineRule="auto"/>
            </w:pPr>
            <w:r>
              <w:rPr>
                <w:rFonts w:ascii="inter" w:hAnsi="inter" w:eastAsia="inter" w:cs="inter"/>
                <w:color w:val="000000"/>
                <w:sz w:val="17"/>
              </w:rPr>
              <w:t>以单节/组课堂教学片段为出发点</w:t>
            </w:r>
          </w:p>
        </w:tc>
      </w:tr>
      <w:tr w14:paraId="47FB6F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E627F11">
            <w:pPr>
              <w:spacing w:after="0" w:line="360" w:lineRule="auto"/>
            </w:pPr>
            <w:r>
              <w:rPr>
                <w:rFonts w:ascii="inter" w:hAnsi="inter" w:eastAsia="inter" w:cs="inter"/>
                <w:color w:val="000000"/>
                <w:sz w:val="17"/>
              </w:rPr>
              <w:t>核心评价维度</w:t>
            </w:r>
          </w:p>
        </w:tc>
        <w:tc>
          <w:tcPr>
            <w:tcBorders>
              <w:top w:val="single" w:color="000000" w:sz="0" w:space="0"/>
              <w:bottom w:val="single" w:color="000000" w:sz="0" w:space="0"/>
              <w:right w:val="single" w:color="000000" w:sz="0" w:space="0"/>
            </w:tcBorders>
          </w:tcPr>
          <w:p w14:paraId="5C071A97">
            <w:pPr>
              <w:spacing w:after="0" w:line="360" w:lineRule="auto"/>
            </w:pPr>
            <w:r>
              <w:rPr>
                <w:rFonts w:ascii="inter" w:hAnsi="inter" w:eastAsia="inter" w:cs="inter"/>
                <w:color w:val="000000"/>
                <w:sz w:val="17"/>
              </w:rPr>
              <w:t>理念与目标、教学内容、课程思政、过程与方法、教学成效</w:t>
            </w:r>
          </w:p>
        </w:tc>
        <w:tc>
          <w:tcPr>
            <w:tcBorders>
              <w:top w:val="single" w:color="000000" w:sz="0" w:space="0"/>
              <w:bottom w:val="single" w:color="000000" w:sz="0" w:space="0"/>
            </w:tcBorders>
          </w:tcPr>
          <w:p w14:paraId="7D3684DD">
            <w:pPr>
              <w:spacing w:after="0" w:line="360" w:lineRule="auto"/>
            </w:pPr>
            <w:r>
              <w:rPr>
                <w:rFonts w:ascii="inter" w:hAnsi="inter" w:eastAsia="inter" w:cs="inter"/>
                <w:color w:val="000000"/>
                <w:sz w:val="17"/>
              </w:rPr>
              <w:t>教学设计、课堂呈现、教学反思、综合素养</w:t>
            </w:r>
          </w:p>
        </w:tc>
      </w:tr>
      <w:tr w14:paraId="5C164A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DF9ABB4">
            <w:pPr>
              <w:spacing w:after="0" w:line="360" w:lineRule="auto"/>
            </w:pPr>
            <w:r>
              <w:rPr>
                <w:rFonts w:ascii="inter" w:hAnsi="inter" w:eastAsia="inter" w:cs="inter"/>
                <w:color w:val="000000"/>
                <w:sz w:val="17"/>
              </w:rPr>
              <w:t>关注重点</w:t>
            </w:r>
          </w:p>
        </w:tc>
        <w:tc>
          <w:tcPr>
            <w:tcBorders>
              <w:top w:val="single" w:color="000000" w:sz="0" w:space="0"/>
              <w:bottom w:val="single" w:color="000000" w:sz="0" w:space="0"/>
              <w:right w:val="single" w:color="000000" w:sz="0" w:space="0"/>
            </w:tcBorders>
          </w:tcPr>
          <w:p w14:paraId="6527D361">
            <w:pPr>
              <w:spacing w:after="0" w:line="360" w:lineRule="auto"/>
            </w:pPr>
            <w:r>
              <w:rPr>
                <w:rFonts w:ascii="inter" w:hAnsi="inter" w:eastAsia="inter" w:cs="inter"/>
                <w:color w:val="000000"/>
                <w:sz w:val="17"/>
              </w:rPr>
              <w:t>教学创新成果、课程整体性、资源与成效证据</w:t>
            </w:r>
          </w:p>
        </w:tc>
        <w:tc>
          <w:tcPr>
            <w:tcBorders>
              <w:top w:val="single" w:color="000000" w:sz="0" w:space="0"/>
              <w:bottom w:val="single" w:color="000000" w:sz="0" w:space="0"/>
            </w:tcBorders>
          </w:tcPr>
          <w:p w14:paraId="4090A29A">
            <w:pPr>
              <w:spacing w:after="0" w:line="360" w:lineRule="auto"/>
            </w:pPr>
            <w:r>
              <w:rPr>
                <w:rFonts w:ascii="inter" w:hAnsi="inter" w:eastAsia="inter" w:cs="inter"/>
                <w:color w:val="000000"/>
                <w:sz w:val="17"/>
              </w:rPr>
              <w:t>课堂现场表现、教学技能、师生互动与课堂气氛</w:t>
            </w:r>
          </w:p>
        </w:tc>
      </w:tr>
      <w:tr w14:paraId="273F365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9E28910">
            <w:pPr>
              <w:spacing w:after="0" w:line="360" w:lineRule="auto"/>
            </w:pPr>
            <w:r>
              <w:rPr>
                <w:rFonts w:ascii="inter" w:hAnsi="inter" w:eastAsia="inter" w:cs="inter"/>
                <w:color w:val="000000"/>
                <w:sz w:val="17"/>
              </w:rPr>
              <w:t>成果形态</w:t>
            </w:r>
          </w:p>
        </w:tc>
        <w:tc>
          <w:tcPr>
            <w:tcBorders>
              <w:top w:val="single" w:color="000000" w:sz="0" w:space="0"/>
              <w:bottom w:val="single" w:color="000000" w:sz="0" w:space="0"/>
              <w:right w:val="single" w:color="000000" w:sz="0" w:space="0"/>
            </w:tcBorders>
          </w:tcPr>
          <w:p w14:paraId="0EAFC1BF">
            <w:pPr>
              <w:spacing w:after="0" w:line="360" w:lineRule="auto"/>
            </w:pPr>
            <w:r>
              <w:rPr>
                <w:rFonts w:ascii="inter" w:hAnsi="inter" w:eastAsia="inter" w:cs="inter"/>
                <w:color w:val="000000"/>
                <w:sz w:val="17"/>
              </w:rPr>
              <w:t>创新成果报告、课程改革方案、多模态资源组合</w:t>
            </w:r>
          </w:p>
        </w:tc>
        <w:tc>
          <w:tcPr>
            <w:tcBorders>
              <w:top w:val="single" w:color="000000" w:sz="0" w:space="0"/>
              <w:bottom w:val="single" w:color="000000" w:sz="0" w:space="0"/>
            </w:tcBorders>
          </w:tcPr>
          <w:p w14:paraId="3E52BB0B">
            <w:pPr>
              <w:spacing w:after="0" w:line="360" w:lineRule="auto"/>
            </w:pPr>
            <w:r>
              <w:rPr>
                <w:rFonts w:ascii="inter" w:hAnsi="inter" w:eastAsia="inter" w:cs="inter"/>
                <w:color w:val="000000"/>
                <w:sz w:val="17"/>
              </w:rPr>
              <w:t>优质课视频、教案设计、反思报告</w:t>
            </w:r>
          </w:p>
        </w:tc>
      </w:tr>
    </w:tbl>
    <w:p w14:paraId="1D389767"/>
    <w:p w14:paraId="2ACAABCA">
      <w:pPr>
        <w:spacing w:before="315" w:after="105" w:line="360" w:lineRule="auto"/>
        <w:ind w:left="-30"/>
        <w:jc w:val="left"/>
      </w:pPr>
      <w:bookmarkStart w:id="34" w:name="三_潜在局限与适用边界"/>
      <w:r>
        <w:rPr>
          <w:rFonts w:ascii="inter" w:hAnsi="inter" w:eastAsia="inter" w:cs="inter"/>
          <w:b/>
          <w:color w:val="000000"/>
          <w:sz w:val="24"/>
        </w:rPr>
        <w:t>（三）潜在局限与适用边界</w:t>
      </w:r>
      <w:bookmarkEnd w:id="34"/>
    </w:p>
    <w:p w14:paraId="02550C10">
      <w:pPr>
        <w:numPr>
          <w:ilvl w:val="0"/>
          <w:numId w:val="4"/>
        </w:numPr>
        <w:spacing w:after="210" w:line="360" w:lineRule="auto"/>
      </w:pPr>
      <w:r>
        <w:rPr>
          <w:rFonts w:ascii="inter" w:hAnsi="inter" w:eastAsia="inter" w:cs="inter"/>
          <w:color w:val="000000"/>
          <w:sz w:val="21"/>
        </w:rPr>
        <w:t>创新赛的潜在局限与边界</w:t>
      </w:r>
      <w:r>
        <w:rPr>
          <w:rFonts w:ascii="inter" w:hAnsi="inter" w:eastAsia="inter" w:cs="inter"/>
          <w:color w:val="000000"/>
          <w:sz w:val="21"/>
        </w:rPr>
        <w:br w:type="textWrapping"/>
      </w:r>
      <w:r>
        <w:rPr>
          <w:rFonts w:ascii="inter" w:hAnsi="inter" w:eastAsia="inter" w:cs="inter"/>
          <w:color w:val="000000"/>
          <w:sz w:val="21"/>
        </w:rPr>
        <w:t>据部分高校对创新赛备赛经验的总结，创新赛在推动“高强度课程重构”和“全周期课程设计”方面成效显著，但也可能带来教师课时与科研压力叠加、课程资源一次性“重投入”与后续维护不足等问题。</w:t>
      </w:r>
      <w:bookmarkStart w:id="35" w:name="fnref6_4"/>
      <w:bookmarkEnd w:id="35"/>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36" w:name="fnref15"/>
      <w:bookmarkEnd w:id="36"/>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在某些教学资源基础相对薄弱、课程团队尚未稳定的高校或专业中，简单照搬“一等奖课程”的高强度设计范式，可能导致“形式精致但难以长期维持”的风险。</w:t>
      </w:r>
      <w:r>
        <w:rPr>
          <w:rFonts w:ascii="inter" w:hAnsi="inter" w:eastAsia="inter" w:cs="inter"/>
          <w:color w:val="000000"/>
          <w:sz w:val="21"/>
        </w:rPr>
        <w:br w:type="textWrapping"/>
      </w:r>
      <w:r>
        <w:rPr>
          <w:rFonts w:ascii="inter" w:hAnsi="inter" w:eastAsia="inter" w:cs="inter"/>
          <w:color w:val="000000"/>
          <w:sz w:val="21"/>
        </w:rPr>
        <w:t>因此，创新赛范式更适用于“已有一定课程基础、具备跨学科教学团队、学校提供配套教学支持与数字化平台”的学科与高校类型。</w:t>
      </w:r>
    </w:p>
    <w:p w14:paraId="166BCC67">
      <w:pPr>
        <w:numPr>
          <w:ilvl w:val="0"/>
          <w:numId w:val="4"/>
        </w:numPr>
        <w:spacing w:after="210" w:line="360" w:lineRule="auto"/>
      </w:pPr>
      <w:r>
        <w:rPr>
          <w:rFonts w:ascii="inter" w:hAnsi="inter" w:eastAsia="inter" w:cs="inter"/>
          <w:color w:val="000000"/>
          <w:sz w:val="21"/>
        </w:rPr>
        <w:t>青教赛的潜在局限与边界</w:t>
      </w:r>
      <w:r>
        <w:rPr>
          <w:rFonts w:ascii="inter" w:hAnsi="inter" w:eastAsia="inter" w:cs="inter"/>
          <w:color w:val="000000"/>
          <w:sz w:val="21"/>
        </w:rPr>
        <w:br w:type="textWrapping"/>
      </w:r>
      <w:r>
        <w:rPr>
          <w:rFonts w:ascii="inter" w:hAnsi="inter" w:eastAsia="inter" w:cs="inter"/>
          <w:color w:val="000000"/>
          <w:sz w:val="21"/>
        </w:rPr>
        <w:t>多位获得全国一等奖的青年教师在访谈中指出，“比赛型课堂”通常要求高密度教学设计、精确时间控制与极致化呈现，容易形成与日常常规课堂在节奏与资源投入上的差异。</w:t>
      </w:r>
      <w:bookmarkStart w:id="37" w:name="fnref16"/>
      <w:bookmarkEnd w:id="37"/>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38" w:name="fnref13_3"/>
      <w:bookmarkEnd w:id="38"/>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39" w:name="fnref14_2"/>
      <w:bookmarkEnd w:id="39"/>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如果高校仅追求竞赛获奖而忽视系统性的教学发展支持，可能造成青年教师长期处于高压备赛状态，而“竞赛成果”难以转化为“常态教学改进”。</w:t>
      </w:r>
      <w:r>
        <w:rPr>
          <w:rFonts w:ascii="inter" w:hAnsi="inter" w:eastAsia="inter" w:cs="inter"/>
          <w:color w:val="000000"/>
          <w:sz w:val="21"/>
        </w:rPr>
        <w:br w:type="textWrapping"/>
      </w:r>
      <w:r>
        <w:rPr>
          <w:rFonts w:ascii="inter" w:hAnsi="inter" w:eastAsia="inter" w:cs="inter"/>
          <w:color w:val="000000"/>
          <w:sz w:val="21"/>
        </w:rPr>
        <w:t>因此，青教赛范式更适用于“青年教师发展体系相对完善、具备教学发展中心专业支持、学校有明确以赛促教制度设计”的高校环境。</w:t>
      </w:r>
    </w:p>
    <w:p w14:paraId="3165A3C6">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4C92E087">
      <w:pPr>
        <w:spacing w:before="315" w:after="105" w:line="360" w:lineRule="auto"/>
        <w:ind w:left="-30"/>
        <w:jc w:val="left"/>
      </w:pPr>
      <w:bookmarkStart w:id="40" w:name="三_全国一等奖课程教学范式分析_从_技巧_走向_范式"/>
      <w:r>
        <w:rPr>
          <w:rFonts w:ascii="inter" w:hAnsi="inter" w:eastAsia="inter" w:cs="inter"/>
          <w:b/>
          <w:color w:val="000000"/>
          <w:sz w:val="24"/>
        </w:rPr>
        <w:t>三、全国一等奖课程教学范式分析：从“技巧”走向“范式”</w:t>
      </w:r>
      <w:bookmarkEnd w:id="40"/>
    </w:p>
    <w:p w14:paraId="3133A211">
      <w:pPr>
        <w:spacing w:after="210" w:line="360" w:lineRule="auto"/>
      </w:pPr>
      <w:r>
        <w:rPr>
          <w:rFonts w:ascii="inter" w:hAnsi="inter" w:eastAsia="inter" w:cs="inter"/>
          <w:color w:val="000000"/>
        </w:rPr>
        <w:t>本节在学习科学与课程理论框架下，对创新赛与青教赛全国一等奖课程呈现的典型教学范式进行归纳分析。</w:t>
      </w:r>
    </w:p>
    <w:p w14:paraId="63027B75">
      <w:pPr>
        <w:spacing w:before="315" w:after="105" w:line="360" w:lineRule="auto"/>
        <w:ind w:left="-30"/>
        <w:jc w:val="left"/>
      </w:pPr>
      <w:bookmarkStart w:id="41" w:name="一_理论支点_建构主义与学习科学"/>
      <w:r>
        <w:rPr>
          <w:rFonts w:ascii="inter" w:hAnsi="inter" w:eastAsia="inter" w:cs="inter"/>
          <w:b/>
          <w:color w:val="000000"/>
          <w:sz w:val="24"/>
        </w:rPr>
        <w:t>（一）理论支点：建构主义与学习科学</w:t>
      </w:r>
      <w:bookmarkEnd w:id="41"/>
    </w:p>
    <w:p w14:paraId="7F963F67">
      <w:pPr>
        <w:numPr>
          <w:ilvl w:val="0"/>
          <w:numId w:val="5"/>
        </w:numPr>
        <w:spacing w:after="210" w:line="360" w:lineRule="auto"/>
      </w:pPr>
      <w:r>
        <w:rPr>
          <w:rFonts w:ascii="inter" w:hAnsi="inter" w:eastAsia="inter" w:cs="inter"/>
          <w:color w:val="000000"/>
          <w:sz w:val="21"/>
        </w:rPr>
        <w:t>建构主义学习理论</w:t>
      </w:r>
      <w:r>
        <w:rPr>
          <w:rFonts w:ascii="inter" w:hAnsi="inter" w:eastAsia="inter" w:cs="inter"/>
          <w:color w:val="000000"/>
          <w:sz w:val="21"/>
        </w:rPr>
        <w:br w:type="textWrapping"/>
      </w:r>
      <w:r>
        <w:rPr>
          <w:rFonts w:ascii="inter" w:hAnsi="inter" w:eastAsia="inter" w:cs="inter"/>
          <w:color w:val="000000"/>
          <w:sz w:val="21"/>
        </w:rPr>
        <w:t>建构主义学习理论通常认为，学习是学习者在特定社会文化情境中的主动意义建构过程，强调学习的主动性、社会性与情境性。在高等教育课堂中，这意味着教师需通过问题情境、协作任务、探究活动引导学生在真实或拟真情境中建构知识。</w:t>
      </w:r>
      <w:bookmarkStart w:id="42" w:name="fnref8_1"/>
      <w:bookmarkEnd w:id="4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据《新文科建设引领、学科竞赛驱动、创新创业助推的实践教学模式研究》所述，将学科竞赛与创新创业活动嵌入实践教学体系，有助于提升学生主动学习与实践能力，实质上是对建构主义理念的场景化运用。</w:t>
      </w:r>
      <w:bookmarkStart w:id="43" w:name="fnref8_2"/>
      <w:bookmarkEnd w:id="4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68B0621F">
      <w:pPr>
        <w:numPr>
          <w:ilvl w:val="0"/>
          <w:numId w:val="5"/>
        </w:numPr>
        <w:spacing w:after="210" w:line="360" w:lineRule="auto"/>
      </w:pPr>
      <w:r>
        <w:rPr>
          <w:rFonts w:ascii="inter" w:hAnsi="inter" w:eastAsia="inter" w:cs="inter"/>
          <w:color w:val="000000"/>
          <w:sz w:val="21"/>
        </w:rPr>
        <w:t>学习科学与精准教学干预</w:t>
      </w:r>
      <w:r>
        <w:rPr>
          <w:rFonts w:ascii="inter" w:hAnsi="inter" w:eastAsia="inter" w:cs="inter"/>
          <w:color w:val="000000"/>
          <w:sz w:val="21"/>
        </w:rPr>
        <w:br w:type="textWrapping"/>
      </w:r>
      <w:r>
        <w:rPr>
          <w:rFonts w:ascii="inter" w:hAnsi="inter" w:eastAsia="inter" w:cs="inter"/>
          <w:color w:val="000000"/>
          <w:sz w:val="21"/>
        </w:rPr>
        <w:t>学习科学是融合认知心理学、教育技术、神经科学与数据科学的跨学科领域，通常关注学习过程的认知机制与情境优化。面向高校课堂，学习科学导向通常要求基于学习分析数据进行“精准教学干预”，通过学习行为数据、测评结果与过程性评价形成“诊断—干预—反馈”的形成性评价闭环。</w:t>
      </w:r>
      <w:bookmarkStart w:id="44" w:name="fnref17"/>
      <w:bookmarkEnd w:id="44"/>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45" w:name="fnref18"/>
      <w:bookmarkEnd w:id="45"/>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46" w:name="fnref19"/>
      <w:bookmarkEnd w:id="46"/>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华南师范大学关于“面向精准教学的逆向教学设计模式”的研究指出，在智能教学平台支持下，通过从学习结果反向推导教学目标、评价任务与学习活动，可以显著提升学生的学习成效和竞赛表现，这一“逆向教学设计+精准干预”范式与一等奖课程中普遍呈现的高密度教学设计高度契合。</w:t>
      </w:r>
      <w:bookmarkStart w:id="47" w:name="fnref17_1"/>
      <w:bookmarkEnd w:id="47"/>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251933A9">
      <w:pPr>
        <w:spacing w:before="315" w:after="105" w:line="360" w:lineRule="auto"/>
        <w:ind w:left="-30"/>
        <w:jc w:val="left"/>
      </w:pPr>
      <w:bookmarkStart w:id="48" w:name="二_创新赛一等奖课程的典型教学范式"/>
      <w:r>
        <w:rPr>
          <w:rFonts w:ascii="inter" w:hAnsi="inter" w:eastAsia="inter" w:cs="inter"/>
          <w:b/>
          <w:color w:val="000000"/>
          <w:sz w:val="24"/>
        </w:rPr>
        <w:t>（二）创新赛一等奖课程的典型教学范式</w:t>
      </w:r>
      <w:bookmarkEnd w:id="48"/>
    </w:p>
    <w:p w14:paraId="71BE0BFF">
      <w:pPr>
        <w:spacing w:after="210" w:line="360" w:lineRule="auto"/>
      </w:pPr>
      <w:r>
        <w:rPr>
          <w:rFonts w:ascii="inter" w:hAnsi="inter" w:eastAsia="inter" w:cs="inter"/>
          <w:color w:val="000000"/>
        </w:rPr>
        <w:t>据创新赛系列通知、获奖教师经验分享及相关学术活动材料，全国一等奖课程普遍体现出以下教学范式要素：</w:t>
      </w:r>
      <w:bookmarkStart w:id="49" w:name="fnref4_6"/>
      <w:bookmarkEnd w:id="4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50" w:name="fnref5_3"/>
      <w:bookmarkEnd w:id="5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51" w:name="fnref6_5"/>
      <w:bookmarkEnd w:id="5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52" w:name="fnref15_1"/>
      <w:bookmarkEnd w:id="5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53" w:name="fnref14_3"/>
      <w:bookmarkEnd w:id="5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618CCB9D">
      <w:pPr>
        <w:numPr>
          <w:ilvl w:val="0"/>
          <w:numId w:val="6"/>
        </w:numPr>
        <w:spacing w:after="210" w:line="360" w:lineRule="auto"/>
      </w:pPr>
      <w:r>
        <w:rPr>
          <w:rFonts w:ascii="inter" w:hAnsi="inter" w:eastAsia="inter" w:cs="inter"/>
          <w:color w:val="000000"/>
          <w:sz w:val="21"/>
        </w:rPr>
        <w:t>“问题导向—项目驱动—产出导向”的整体教学链条</w:t>
      </w:r>
      <w:r>
        <w:rPr>
          <w:rFonts w:ascii="inter" w:hAnsi="inter" w:eastAsia="inter" w:cs="inter"/>
          <w:color w:val="000000"/>
          <w:sz w:val="21"/>
        </w:rPr>
        <w:br w:type="textWrapping"/>
      </w:r>
      <w:r>
        <w:rPr>
          <w:rFonts w:ascii="inter" w:hAnsi="inter" w:eastAsia="inter" w:cs="inter"/>
          <w:color w:val="000000"/>
          <w:sz w:val="21"/>
        </w:rPr>
        <w:t>多门获得创新赛一等奖的课程普遍采用“真实问题（或重大工程/社会议题）引入—项目任务分解—跨环节成果产出—课程学习证据汇聚”的教学路径。例如，北京理工大学软件工程基础训练课程在改革中提出“从会编程到懂软件”的路径，将工程项目情境贯穿整个课程。</w:t>
      </w:r>
      <w:bookmarkStart w:id="54" w:name="fnref6_6"/>
      <w:bookmarkEnd w:id="54"/>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这一范式通常体现为以学习结果与能力产出为导向重构课程内容，符合逆向教学设计思想。</w:t>
      </w:r>
      <w:bookmarkStart w:id="55" w:name="fnref17_2"/>
      <w:bookmarkEnd w:id="55"/>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735AC9FC">
      <w:pPr>
        <w:numPr>
          <w:ilvl w:val="0"/>
          <w:numId w:val="6"/>
        </w:numPr>
        <w:spacing w:after="210" w:line="360" w:lineRule="auto"/>
      </w:pPr>
      <w:r>
        <w:rPr>
          <w:rFonts w:ascii="inter" w:hAnsi="inter" w:eastAsia="inter" w:cs="inter"/>
          <w:color w:val="000000"/>
          <w:sz w:val="21"/>
        </w:rPr>
        <w:t>“知识整合—能力进阶—价值塑造”的三阶递进结构</w:t>
      </w:r>
      <w:r>
        <w:rPr>
          <w:rFonts w:ascii="inter" w:hAnsi="inter" w:eastAsia="inter" w:cs="inter"/>
          <w:color w:val="000000"/>
          <w:sz w:val="21"/>
        </w:rPr>
        <w:br w:type="textWrapping"/>
      </w:r>
      <w:r>
        <w:rPr>
          <w:rFonts w:ascii="inter" w:hAnsi="inter" w:eastAsia="inter" w:cs="inter"/>
          <w:color w:val="000000"/>
          <w:sz w:val="21"/>
        </w:rPr>
        <w:t>据全国教师教学创新大赛素质教育通识课程交流活动报告，一等奖课程往往基于建构主义设计“知识整合—能力进阶—价值塑造”的三维教学方案，即首先通过重组教材逻辑实现知识系统化，再通过复杂任务与跨学科学习实现能力提升，最终在课程思政与价值探究环节实现价值塑造。</w:t>
      </w:r>
      <w:bookmarkStart w:id="56" w:name="fnref6_7"/>
      <w:bookmarkEnd w:id="56"/>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这种结构在通识课程与专业基础课程中均有显现。</w:t>
      </w:r>
    </w:p>
    <w:p w14:paraId="2B5A8DB6">
      <w:pPr>
        <w:numPr>
          <w:ilvl w:val="0"/>
          <w:numId w:val="6"/>
        </w:numPr>
        <w:spacing w:after="210" w:line="360" w:lineRule="auto"/>
      </w:pPr>
      <w:r>
        <w:rPr>
          <w:rFonts w:ascii="inter" w:hAnsi="inter" w:eastAsia="inter" w:cs="inter"/>
          <w:color w:val="000000"/>
          <w:sz w:val="21"/>
        </w:rPr>
        <w:t>“多模态教学资源+数字化学习平台”支持下的混合式教学</w:t>
      </w:r>
      <w:r>
        <w:rPr>
          <w:rFonts w:ascii="inter" w:hAnsi="inter" w:eastAsia="inter" w:cs="inter"/>
          <w:color w:val="000000"/>
          <w:sz w:val="21"/>
        </w:rPr>
        <w:br w:type="textWrapping"/>
      </w:r>
      <w:r>
        <w:rPr>
          <w:rFonts w:ascii="inter" w:hAnsi="inter" w:eastAsia="inter" w:cs="inter"/>
          <w:color w:val="000000"/>
          <w:sz w:val="21"/>
        </w:rPr>
        <w:t>根据中国高等教育学会和多所高校教学发展中心发布的竞赛案例，创新赛一等奖课程普遍采用线上线下混合式教学，利用SPOC、慕课平台、虚拟仿真实验、学习分析系统等数字技术，实现课前预习、课中互动、课后拓展一体化。</w:t>
      </w:r>
      <w:bookmarkStart w:id="57" w:name="fnref7_1"/>
      <w:bookmarkEnd w:id="5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58" w:name="fnref15_2"/>
      <w:bookmarkEnd w:id="58"/>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59" w:name="fnref6_8"/>
      <w:bookmarkEnd w:id="59"/>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这类课程往往将课堂教学实录视频、教学创新成果报告、课程资源包整合为系统性资源群，形成“课程—资源—数据—改进”的循环。</w:t>
      </w:r>
    </w:p>
    <w:p w14:paraId="1ED990E0">
      <w:pPr>
        <w:numPr>
          <w:ilvl w:val="0"/>
          <w:numId w:val="6"/>
        </w:numPr>
        <w:spacing w:after="210" w:line="360" w:lineRule="auto"/>
      </w:pPr>
      <w:r>
        <w:rPr>
          <w:rFonts w:ascii="inter" w:hAnsi="inter" w:eastAsia="inter" w:cs="inter"/>
          <w:color w:val="000000"/>
          <w:sz w:val="21"/>
        </w:rPr>
        <w:t>“课程思政嵌入—产教融合增强”的双轮驱动</w:t>
      </w:r>
      <w:r>
        <w:rPr>
          <w:rFonts w:ascii="inter" w:hAnsi="inter" w:eastAsia="inter" w:cs="inter"/>
          <w:color w:val="000000"/>
          <w:sz w:val="21"/>
        </w:rPr>
        <w:br w:type="textWrapping"/>
      </w:r>
      <w:r>
        <w:rPr>
          <w:rFonts w:ascii="inter" w:hAnsi="inter" w:eastAsia="inter" w:cs="inter"/>
          <w:color w:val="000000"/>
          <w:sz w:val="21"/>
        </w:rPr>
        <w:t>依据创新赛评分标准，课程需在知识传授中深度挖掘课程思政元素，并在可能条件下实现产教融合、校企协同育人。多门一等奖课程通过引入行业案例、企业真实项目、社会实践任务，将价值引领与专业能力培养有机结合。</w:t>
      </w:r>
      <w:bookmarkStart w:id="60" w:name="fnref5_4"/>
      <w:bookmarkEnd w:id="60"/>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61" w:name="fnref8_3"/>
      <w:bookmarkEnd w:id="61"/>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62" w:name="fnref4_7"/>
      <w:bookmarkEnd w:id="62"/>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63" w:name="fnref6_9"/>
      <w:bookmarkEnd w:id="63"/>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4460AC3B">
      <w:pPr>
        <w:spacing w:after="210" w:line="360" w:lineRule="auto"/>
      </w:pPr>
      <w:r>
        <w:rPr>
          <w:rFonts w:ascii="inter" w:hAnsi="inter" w:eastAsia="inter" w:cs="inter"/>
          <w:color w:val="000000"/>
        </w:rPr>
        <w:t>上述特征可概括为“系统性重构型”教学范式，其核心是以课程为整体对象，以学习科学为支撑，通过逆向教学设计、多模态资源与数据驱动实现教学模式创新。</w:t>
      </w:r>
    </w:p>
    <w:p w14:paraId="0AE87B3C">
      <w:pPr>
        <w:spacing w:before="315" w:after="105" w:line="360" w:lineRule="auto"/>
        <w:ind w:left="-30"/>
        <w:jc w:val="left"/>
      </w:pPr>
      <w:bookmarkStart w:id="64" w:name="潜在局限与实施挑战"/>
      <w:r>
        <w:rPr>
          <w:rFonts w:ascii="inter" w:hAnsi="inter" w:eastAsia="inter" w:cs="inter"/>
          <w:b/>
          <w:color w:val="000000"/>
          <w:sz w:val="24"/>
        </w:rPr>
        <w:t>潜在局限与实施挑战</w:t>
      </w:r>
      <w:bookmarkEnd w:id="64"/>
    </w:p>
    <w:p w14:paraId="5B932A1A">
      <w:pPr>
        <w:numPr>
          <w:ilvl w:val="0"/>
          <w:numId w:val="7"/>
        </w:numPr>
        <w:spacing w:after="210" w:line="360" w:lineRule="auto"/>
      </w:pPr>
      <w:r>
        <w:rPr>
          <w:rFonts w:ascii="inter" w:hAnsi="inter" w:eastAsia="inter" w:cs="inter"/>
          <w:color w:val="000000"/>
          <w:sz w:val="21"/>
        </w:rPr>
        <w:t>资源与时间成本高</w:t>
      </w:r>
      <w:r>
        <w:rPr>
          <w:rFonts w:ascii="inter" w:hAnsi="inter" w:eastAsia="inter" w:cs="inter"/>
          <w:color w:val="000000"/>
          <w:sz w:val="21"/>
        </w:rPr>
        <w:br w:type="textWrapping"/>
      </w:r>
      <w:r>
        <w:rPr>
          <w:rFonts w:ascii="inter" w:hAnsi="inter" w:eastAsia="inter" w:cs="inter"/>
          <w:color w:val="000000"/>
          <w:sz w:val="21"/>
        </w:rPr>
        <w:t>一等奖课程的全周期设计与资源建设需要大量时间、人力与经费投入，一般依托国家一流课程、教学改革项目或校级重大专项。普通课程团队在缺乏外部支持的情况下，直接模仿可能在可持续性上存在困难。</w:t>
      </w:r>
      <w:bookmarkStart w:id="65" w:name="fnref20"/>
      <w:bookmarkEnd w:id="65"/>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66" w:name="fnref6_10"/>
      <w:bookmarkEnd w:id="66"/>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5C23ADFF">
      <w:pPr>
        <w:numPr>
          <w:ilvl w:val="0"/>
          <w:numId w:val="7"/>
        </w:numPr>
        <w:spacing w:after="210" w:line="360" w:lineRule="auto"/>
      </w:pPr>
      <w:r>
        <w:rPr>
          <w:rFonts w:ascii="inter" w:hAnsi="inter" w:eastAsia="inter" w:cs="inter"/>
          <w:color w:val="000000"/>
          <w:sz w:val="21"/>
        </w:rPr>
        <w:t>教师能力结构要求高</w:t>
      </w:r>
      <w:r>
        <w:rPr>
          <w:rFonts w:ascii="inter" w:hAnsi="inter" w:eastAsia="inter" w:cs="inter"/>
          <w:color w:val="000000"/>
          <w:sz w:val="21"/>
        </w:rPr>
        <w:br w:type="textWrapping"/>
      </w:r>
      <w:r>
        <w:rPr>
          <w:rFonts w:ascii="inter" w:hAnsi="inter" w:eastAsia="inter" w:cs="inter"/>
          <w:color w:val="000000"/>
          <w:sz w:val="21"/>
        </w:rPr>
        <w:t>该范式要求教师同时具备课程设计能力、教育技术应用能力、学习分析初步能力和组织协调能力，对传统“单兵作战”的教师构成挑战。对于中小高校与教学团队尚不成熟的专业而言，短期内全面迁移存在现实约束。</w:t>
      </w:r>
      <w:bookmarkStart w:id="67" w:name="fnref1_2"/>
      <w:bookmarkEnd w:id="67"/>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68" w:name="fnref2_2"/>
      <w:bookmarkEnd w:id="68"/>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6B7FEE0A">
      <w:pPr>
        <w:numPr>
          <w:ilvl w:val="0"/>
          <w:numId w:val="7"/>
        </w:numPr>
        <w:spacing w:after="210" w:line="360" w:lineRule="auto"/>
      </w:pPr>
      <w:r>
        <w:rPr>
          <w:rFonts w:ascii="inter" w:hAnsi="inter" w:eastAsia="inter" w:cs="inter"/>
          <w:color w:val="000000"/>
          <w:sz w:val="21"/>
        </w:rPr>
        <w:t>最佳适用条件与边界</w:t>
      </w:r>
      <w:r>
        <w:rPr>
          <w:rFonts w:ascii="inter" w:hAnsi="inter" w:eastAsia="inter" w:cs="inter"/>
          <w:color w:val="000000"/>
          <w:sz w:val="21"/>
        </w:rPr>
        <w:br w:type="textWrapping"/>
      </w:r>
      <w:r>
        <w:rPr>
          <w:rFonts w:ascii="inter" w:hAnsi="inter" w:eastAsia="inter" w:cs="inter"/>
          <w:color w:val="000000"/>
          <w:sz w:val="21"/>
        </w:rPr>
        <w:t>这一范式尤其适用于：</w:t>
      </w:r>
    </w:p>
    <w:p w14:paraId="5797BFF9">
      <w:pPr>
        <w:numPr>
          <w:ilvl w:val="1"/>
          <w:numId w:val="7"/>
        </w:numPr>
        <w:spacing w:before="105" w:after="105" w:line="360" w:lineRule="auto"/>
      </w:pPr>
      <w:r>
        <w:rPr>
          <w:rFonts w:ascii="inter" w:hAnsi="inter" w:eastAsia="inter" w:cs="inter"/>
          <w:color w:val="000000"/>
          <w:sz w:val="21"/>
        </w:rPr>
        <w:t>已获或拟申报国家级/省级一流课程的课程群；</w:t>
      </w:r>
    </w:p>
    <w:p w14:paraId="2B682742">
      <w:pPr>
        <w:numPr>
          <w:ilvl w:val="1"/>
          <w:numId w:val="7"/>
        </w:numPr>
        <w:spacing w:before="105" w:after="105" w:line="360" w:lineRule="auto"/>
      </w:pPr>
      <w:r>
        <w:rPr>
          <w:rFonts w:ascii="inter" w:hAnsi="inter" w:eastAsia="inter" w:cs="inter"/>
          <w:color w:val="000000"/>
          <w:sz w:val="21"/>
        </w:rPr>
        <w:t>新工科、新文科背景下需整体重构人才培养方案的专业；</w:t>
      </w:r>
    </w:p>
    <w:p w14:paraId="2328DD69">
      <w:pPr>
        <w:numPr>
          <w:ilvl w:val="1"/>
          <w:numId w:val="7"/>
        </w:numPr>
        <w:spacing w:before="105" w:after="105" w:line="360" w:lineRule="auto"/>
      </w:pPr>
      <w:r>
        <w:rPr>
          <w:rFonts w:ascii="inter" w:hAnsi="inter" w:eastAsia="inter" w:cs="inter"/>
          <w:color w:val="000000"/>
          <w:sz w:val="21"/>
        </w:rPr>
        <w:t>拥有完善信息化基础设施与教学支持服务中心的高校。</w:t>
      </w:r>
      <w:r>
        <w:rPr>
          <w:rFonts w:ascii="inter" w:hAnsi="inter" w:eastAsia="inter" w:cs="inter"/>
          <w:color w:val="000000"/>
          <w:sz w:val="21"/>
        </w:rPr>
        <w:br w:type="textWrapping"/>
      </w:r>
      <w:r>
        <w:rPr>
          <w:rFonts w:ascii="inter" w:hAnsi="inter" w:eastAsia="inter" w:cs="inter"/>
          <w:color w:val="000000"/>
          <w:sz w:val="21"/>
        </w:rPr>
        <w:t>对于大班教学压力较大、信息化条件有限的院校，建议在教学目标重构与单元级逆向设计等关键环节“小步试点”，而非一次性整体复制。</w:t>
      </w:r>
    </w:p>
    <w:p w14:paraId="3F8F27E6">
      <w:pPr>
        <w:spacing w:before="315" w:after="105" w:line="360" w:lineRule="auto"/>
        <w:ind w:left="-30"/>
        <w:jc w:val="left"/>
      </w:pPr>
      <w:bookmarkStart w:id="69" w:name="三_青教赛一等奖课程的典型教学范式"/>
      <w:r>
        <w:rPr>
          <w:rFonts w:ascii="inter" w:hAnsi="inter" w:eastAsia="inter" w:cs="inter"/>
          <w:b/>
          <w:color w:val="000000"/>
          <w:sz w:val="24"/>
        </w:rPr>
        <w:t>（三）青教赛一等奖课程的典型教学范式</w:t>
      </w:r>
      <w:bookmarkEnd w:id="69"/>
    </w:p>
    <w:p w14:paraId="0B6DD5B1">
      <w:pPr>
        <w:spacing w:after="210" w:line="360" w:lineRule="auto"/>
      </w:pPr>
      <w:r>
        <w:rPr>
          <w:rFonts w:ascii="inter" w:hAnsi="inter" w:eastAsia="inter" w:cs="inter"/>
          <w:color w:val="000000"/>
        </w:rPr>
        <w:t>根据全国与省级青教赛一等奖获得者的教学反思文章和高校宣传报道，青教赛一等奖课程在教学范式上呈现较为鲜明的“课堂精细化”特征。</w:t>
      </w:r>
      <w:bookmarkStart w:id="70" w:name="fnref16_1"/>
      <w:bookmarkEnd w:id="70"/>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71" w:name="fnref10_4"/>
      <w:bookmarkEnd w:id="7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72" w:name="fnref12_4"/>
      <w:bookmarkEnd w:id="72"/>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73" w:name="fnref13_4"/>
      <w:bookmarkEnd w:id="7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74" w:name="fnref14_4"/>
      <w:bookmarkEnd w:id="74"/>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40C0CBEC">
      <w:pPr>
        <w:numPr>
          <w:ilvl w:val="0"/>
          <w:numId w:val="8"/>
        </w:numPr>
        <w:spacing w:after="210" w:line="360" w:lineRule="auto"/>
      </w:pPr>
      <w:r>
        <w:rPr>
          <w:rFonts w:ascii="inter" w:hAnsi="inter" w:eastAsia="inter" w:cs="inter"/>
          <w:color w:val="000000"/>
          <w:sz w:val="21"/>
        </w:rPr>
        <w:t>“故事化叙事—主线驱动”的知识组织方式</w:t>
      </w:r>
      <w:r>
        <w:rPr>
          <w:rFonts w:ascii="inter" w:hAnsi="inter" w:eastAsia="inter" w:cs="inter"/>
          <w:color w:val="000000"/>
          <w:sz w:val="21"/>
        </w:rPr>
        <w:br w:type="textWrapping"/>
      </w:r>
      <w:r>
        <w:rPr>
          <w:rFonts w:ascii="inter" w:hAnsi="inter" w:eastAsia="inter" w:cs="inter"/>
          <w:color w:val="000000"/>
          <w:sz w:val="21"/>
        </w:rPr>
        <w:t>南京理工大学全国青教赛理科组一等奖获得者高如如的教学实践表明，通过构建“有情节、有冲突、有探究”的学科故事，将零散知识点串联成逻辑主线，有助于学生在情感共鸣中深入理解抽象概念。</w:t>
      </w:r>
      <w:bookmarkStart w:id="75" w:name="fnref13_5"/>
      <w:bookmarkEnd w:id="75"/>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这种“故事化知识建构”实质上是建构主义理念在课堂微观层面的运用，强调用学生熟悉的情境搭建“最近发展区”。</w:t>
      </w:r>
    </w:p>
    <w:p w14:paraId="4A699E71">
      <w:pPr>
        <w:numPr>
          <w:ilvl w:val="0"/>
          <w:numId w:val="8"/>
        </w:numPr>
        <w:spacing w:after="210" w:line="360" w:lineRule="auto"/>
      </w:pPr>
      <w:r>
        <w:rPr>
          <w:rFonts w:ascii="inter" w:hAnsi="inter" w:eastAsia="inter" w:cs="inter"/>
          <w:color w:val="000000"/>
          <w:sz w:val="21"/>
        </w:rPr>
        <w:t>“精微化时间管理—高密度互动设计”的课堂节奏</w:t>
      </w:r>
      <w:r>
        <w:rPr>
          <w:rFonts w:ascii="inter" w:hAnsi="inter" w:eastAsia="inter" w:cs="inter"/>
          <w:color w:val="000000"/>
          <w:sz w:val="21"/>
        </w:rPr>
        <w:br w:type="textWrapping"/>
      </w:r>
      <w:r>
        <w:rPr>
          <w:rFonts w:ascii="inter" w:hAnsi="inter" w:eastAsia="inter" w:cs="inter"/>
          <w:color w:val="000000"/>
          <w:sz w:val="21"/>
        </w:rPr>
        <w:t>青教赛通常要求在限定时间内呈现完整教学片段，一等奖课程往往通过“设问—讨论—实验/演示—小结—反思”等微结构，实现高频互动与认知冲突，避免“满堂灌”。</w:t>
      </w:r>
      <w:bookmarkStart w:id="76" w:name="fnref12_5"/>
      <w:bookmarkEnd w:id="76"/>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77" w:name="fnref16_2"/>
      <w:bookmarkEnd w:id="77"/>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78" w:name="fnref13_6"/>
      <w:bookmarkEnd w:id="78"/>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多位一等奖教师强调，课堂上每一分钟都需要有明确的教学意图和学习任务，这在日常教学中也具有可推广价值。</w:t>
      </w:r>
    </w:p>
    <w:p w14:paraId="522FF675">
      <w:pPr>
        <w:numPr>
          <w:ilvl w:val="0"/>
          <w:numId w:val="8"/>
        </w:numPr>
        <w:spacing w:after="210" w:line="360" w:lineRule="auto"/>
      </w:pPr>
      <w:r>
        <w:rPr>
          <w:rFonts w:ascii="inter" w:hAnsi="inter" w:eastAsia="inter" w:cs="inter"/>
          <w:color w:val="000000"/>
          <w:sz w:val="21"/>
        </w:rPr>
        <w:t>“板书/演算—多媒体—实体教具”的多通道表达</w:t>
      </w:r>
      <w:r>
        <w:rPr>
          <w:rFonts w:ascii="inter" w:hAnsi="inter" w:eastAsia="inter" w:cs="inter"/>
          <w:color w:val="000000"/>
          <w:sz w:val="21"/>
        </w:rPr>
        <w:br w:type="textWrapping"/>
      </w:r>
      <w:r>
        <w:rPr>
          <w:rFonts w:ascii="inter" w:hAnsi="inter" w:eastAsia="inter" w:cs="inter"/>
          <w:color w:val="000000"/>
          <w:sz w:val="21"/>
        </w:rPr>
        <w:t>与创新赛对高阶数字化平台高度依赖不同，青教赛一等奖课程常常强调黑板板书、现场推导与实体教具的配合，凸显教师“即时生成”和“因势利导”的教学能力。</w:t>
      </w:r>
      <w:bookmarkStart w:id="79" w:name="fnref10_5"/>
      <w:bookmarkEnd w:id="7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80" w:name="fnref12_6"/>
      <w:bookmarkEnd w:id="80"/>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81" w:name="fnref13_7"/>
      <w:bookmarkEnd w:id="81"/>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对理工科和数理基础课程而言，推导过程的板书往往被视为帮助学生理解知识逻辑与思维路径的关键载体。</w:t>
      </w:r>
    </w:p>
    <w:p w14:paraId="311A3FE1">
      <w:pPr>
        <w:numPr>
          <w:ilvl w:val="0"/>
          <w:numId w:val="8"/>
        </w:numPr>
        <w:spacing w:after="210" w:line="360" w:lineRule="auto"/>
      </w:pPr>
      <w:r>
        <w:rPr>
          <w:rFonts w:ascii="inter" w:hAnsi="inter" w:eastAsia="inter" w:cs="inter"/>
          <w:color w:val="000000"/>
          <w:sz w:val="21"/>
        </w:rPr>
        <w:t>“教学反思—自我发展规划”的形成性循环</w:t>
      </w:r>
      <w:r>
        <w:rPr>
          <w:rFonts w:ascii="inter" w:hAnsi="inter" w:eastAsia="inter" w:cs="inter"/>
          <w:color w:val="000000"/>
          <w:sz w:val="21"/>
        </w:rPr>
        <w:br w:type="textWrapping"/>
      </w:r>
      <w:r>
        <w:rPr>
          <w:rFonts w:ascii="inter" w:hAnsi="inter" w:eastAsia="inter" w:cs="inter"/>
          <w:color w:val="000000"/>
          <w:sz w:val="21"/>
        </w:rPr>
        <w:t>青教赛强调教师在赛后形成系统教学反思与发展规划，有的高校将竞赛经历纳入青年教师发展档案，形成“预赛—省赛—国赛—赛后课程改造”的闭环。</w:t>
      </w:r>
      <w:bookmarkStart w:id="82" w:name="fnref7_2"/>
      <w:bookmarkEnd w:id="8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83" w:name="fnref15_3"/>
      <w:bookmarkEnd w:id="83"/>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84" w:name="fnref16_3"/>
      <w:bookmarkEnd w:id="84"/>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这在一定程度上体现了学习科学强调的“反思性实践者”理念。</w:t>
      </w:r>
    </w:p>
    <w:p w14:paraId="236D4574">
      <w:pPr>
        <w:spacing w:before="315" w:after="105" w:line="360" w:lineRule="auto"/>
        <w:ind w:left="-30"/>
        <w:jc w:val="left"/>
      </w:pPr>
      <w:bookmarkStart w:id="85" w:name="潜在局限与实施挑战_2"/>
      <w:r>
        <w:rPr>
          <w:rFonts w:ascii="inter" w:hAnsi="inter" w:eastAsia="inter" w:cs="inter"/>
          <w:b/>
          <w:color w:val="000000"/>
          <w:sz w:val="24"/>
        </w:rPr>
        <w:t>潜在局限与实施挑战</w:t>
      </w:r>
      <w:bookmarkEnd w:id="85"/>
    </w:p>
    <w:p w14:paraId="384F7065">
      <w:pPr>
        <w:numPr>
          <w:ilvl w:val="0"/>
          <w:numId w:val="9"/>
        </w:numPr>
        <w:spacing w:after="210" w:line="360" w:lineRule="auto"/>
      </w:pPr>
      <w:r>
        <w:rPr>
          <w:rFonts w:ascii="inter" w:hAnsi="inter" w:eastAsia="inter" w:cs="inter"/>
          <w:color w:val="000000"/>
          <w:sz w:val="21"/>
        </w:rPr>
        <w:t>比赛课堂与常态课堂的张力</w:t>
      </w:r>
      <w:r>
        <w:rPr>
          <w:rFonts w:ascii="inter" w:hAnsi="inter" w:eastAsia="inter" w:cs="inter"/>
          <w:color w:val="000000"/>
          <w:sz w:val="21"/>
        </w:rPr>
        <w:br w:type="textWrapping"/>
      </w:r>
      <w:r>
        <w:rPr>
          <w:rFonts w:ascii="inter" w:hAnsi="inter" w:eastAsia="inter" w:cs="inter"/>
          <w:color w:val="000000"/>
          <w:sz w:val="21"/>
        </w:rPr>
        <w:t>多位参赛教师指出，比赛课堂更强调精练与“样板性”，而常态课堂则需要更多时间用于师生对话与即时生成。因此，在实际推广中，若不对竞赛经验进行“再解构”，直接复制比赛节奏可能造成学生负荷过高、课堂紧张度过大。</w:t>
      </w:r>
      <w:bookmarkStart w:id="86" w:name="fnref16_4"/>
      <w:bookmarkEnd w:id="86"/>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87" w:name="fnref13_8"/>
      <w:bookmarkEnd w:id="87"/>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36CD507F">
      <w:pPr>
        <w:numPr>
          <w:ilvl w:val="0"/>
          <w:numId w:val="9"/>
        </w:numPr>
        <w:spacing w:after="210" w:line="360" w:lineRule="auto"/>
      </w:pPr>
      <w:r>
        <w:rPr>
          <w:rFonts w:ascii="inter" w:hAnsi="inter" w:eastAsia="inter" w:cs="inter"/>
          <w:color w:val="000000"/>
          <w:sz w:val="21"/>
        </w:rPr>
        <w:t>过度“个人英雄主义”风险</w:t>
      </w:r>
      <w:r>
        <w:rPr>
          <w:rFonts w:ascii="inter" w:hAnsi="inter" w:eastAsia="inter" w:cs="inter"/>
          <w:color w:val="000000"/>
          <w:sz w:val="21"/>
        </w:rPr>
        <w:br w:type="textWrapping"/>
      </w:r>
      <w:r>
        <w:rPr>
          <w:rFonts w:ascii="inter" w:hAnsi="inter" w:eastAsia="inter" w:cs="inter"/>
          <w:color w:val="000000"/>
          <w:sz w:val="21"/>
        </w:rPr>
        <w:t>青教赛强调教师个人教学魅力与基本功，若高校在制度与文化层面过度放大奖项本身，而忽视教学团队协作与课程整体改革，可能导致青年教师发展过度依赖个人投入，教学发展支持体系缺位。</w:t>
      </w:r>
      <w:bookmarkStart w:id="88" w:name="fnref10_6"/>
      <w:bookmarkEnd w:id="88"/>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89" w:name="fnref7_3"/>
      <w:bookmarkEnd w:id="89"/>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D5FF809">
      <w:pPr>
        <w:numPr>
          <w:ilvl w:val="0"/>
          <w:numId w:val="9"/>
        </w:numPr>
        <w:spacing w:after="210" w:line="360" w:lineRule="auto"/>
      </w:pPr>
      <w:r>
        <w:rPr>
          <w:rFonts w:ascii="inter" w:hAnsi="inter" w:eastAsia="inter" w:cs="inter"/>
          <w:color w:val="000000"/>
          <w:sz w:val="21"/>
        </w:rPr>
        <w:t>最佳适用条件与边界</w:t>
      </w:r>
      <w:r>
        <w:rPr>
          <w:rFonts w:ascii="inter" w:hAnsi="inter" w:eastAsia="inter" w:cs="inter"/>
          <w:color w:val="000000"/>
          <w:sz w:val="21"/>
        </w:rPr>
        <w:br w:type="textWrapping"/>
      </w:r>
      <w:r>
        <w:rPr>
          <w:rFonts w:ascii="inter" w:hAnsi="inter" w:eastAsia="inter" w:cs="inter"/>
          <w:color w:val="000000"/>
          <w:sz w:val="21"/>
        </w:rPr>
        <w:t>青教赛范式尤其适用于：</w:t>
      </w:r>
    </w:p>
    <w:p w14:paraId="3BC68D66">
      <w:pPr>
        <w:numPr>
          <w:ilvl w:val="1"/>
          <w:numId w:val="9"/>
        </w:numPr>
        <w:spacing w:before="105" w:after="105" w:line="360" w:lineRule="auto"/>
      </w:pPr>
      <w:r>
        <w:rPr>
          <w:rFonts w:ascii="inter" w:hAnsi="inter" w:eastAsia="inter" w:cs="inter"/>
          <w:color w:val="000000"/>
          <w:sz w:val="21"/>
        </w:rPr>
        <w:t>青年教师入职初期的教学技能训练与课堂意识培养；</w:t>
      </w:r>
    </w:p>
    <w:p w14:paraId="571836A7">
      <w:pPr>
        <w:numPr>
          <w:ilvl w:val="1"/>
          <w:numId w:val="9"/>
        </w:numPr>
        <w:spacing w:before="105" w:after="105" w:line="360" w:lineRule="auto"/>
      </w:pPr>
      <w:r>
        <w:rPr>
          <w:rFonts w:ascii="inter" w:hAnsi="inter" w:eastAsia="inter" w:cs="inter"/>
          <w:color w:val="000000"/>
          <w:sz w:val="21"/>
        </w:rPr>
        <w:t>理工医及基础课程中对板书推导与课堂逻辑要求较高的课程；</w:t>
      </w:r>
    </w:p>
    <w:p w14:paraId="4BFE8C29">
      <w:pPr>
        <w:numPr>
          <w:ilvl w:val="1"/>
          <w:numId w:val="9"/>
        </w:numPr>
        <w:spacing w:before="105" w:after="105" w:line="360" w:lineRule="auto"/>
      </w:pPr>
      <w:r>
        <w:rPr>
          <w:rFonts w:ascii="inter" w:hAnsi="inter" w:eastAsia="inter" w:cs="inter"/>
          <w:color w:val="000000"/>
          <w:sz w:val="21"/>
        </w:rPr>
        <w:t>以“示范课—观摩—研讨”方式在校内开展教学观摩与研修活动。</w:t>
      </w:r>
      <w:r>
        <w:rPr>
          <w:rFonts w:ascii="inter" w:hAnsi="inter" w:eastAsia="inter" w:cs="inter"/>
          <w:color w:val="000000"/>
          <w:sz w:val="21"/>
        </w:rPr>
        <w:br w:type="textWrapping"/>
      </w:r>
      <w:r>
        <w:rPr>
          <w:rFonts w:ascii="inter" w:hAnsi="inter" w:eastAsia="inter" w:cs="inter"/>
          <w:color w:val="000000"/>
          <w:sz w:val="21"/>
        </w:rPr>
        <w:t>对于已经完成课程整体重构的课程群，更适合将青教赛经验作为“课堂微观层面修炼”的补充，而非唯一抓手。</w:t>
      </w:r>
    </w:p>
    <w:p w14:paraId="481CAAA2">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434D2020">
      <w:pPr>
        <w:spacing w:before="315" w:after="105" w:line="360" w:lineRule="auto"/>
        <w:ind w:left="-30"/>
        <w:jc w:val="left"/>
      </w:pPr>
      <w:bookmarkStart w:id="90" w:name="四_全国一等奖课程的教学创新特质与成功要素"/>
      <w:r>
        <w:rPr>
          <w:rFonts w:ascii="inter" w:hAnsi="inter" w:eastAsia="inter" w:cs="inter"/>
          <w:b/>
          <w:color w:val="000000"/>
          <w:sz w:val="24"/>
        </w:rPr>
        <w:t>四、全国一等奖课程的教学创新特质与成功要素</w:t>
      </w:r>
      <w:bookmarkEnd w:id="90"/>
    </w:p>
    <w:p w14:paraId="0CBA0357">
      <w:pPr>
        <w:spacing w:before="315" w:after="105" w:line="360" w:lineRule="auto"/>
        <w:ind w:left="-30"/>
        <w:jc w:val="left"/>
      </w:pPr>
      <w:bookmarkStart w:id="91" w:name="一_教学创新特质的共性画像"/>
      <w:r>
        <w:rPr>
          <w:rFonts w:ascii="inter" w:hAnsi="inter" w:eastAsia="inter" w:cs="inter"/>
          <w:b/>
          <w:color w:val="000000"/>
          <w:sz w:val="24"/>
        </w:rPr>
        <w:t>（一）教学创新特质的共性画像</w:t>
      </w:r>
      <w:bookmarkEnd w:id="91"/>
    </w:p>
    <w:p w14:paraId="47D307C0">
      <w:pPr>
        <w:spacing w:after="210" w:line="360" w:lineRule="auto"/>
      </w:pPr>
      <w:r>
        <w:rPr>
          <w:rFonts w:ascii="inter" w:hAnsi="inter" w:eastAsia="inter" w:cs="inter"/>
          <w:color w:val="000000"/>
        </w:rPr>
        <w:t>综合创新赛与青教赛全国一等奖课程的公开案例与集中展示活动，可以提炼出以下共性教学创新特质：</w:t>
      </w:r>
      <w:bookmarkStart w:id="92" w:name="fnref4_8"/>
      <w:bookmarkEnd w:id="9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93" w:name="fnref10_7"/>
      <w:bookmarkEnd w:id="9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94" w:name="fnref12_7"/>
      <w:bookmarkEnd w:id="9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95" w:name="fnref13_9"/>
      <w:bookmarkEnd w:id="9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96" w:name="fnref6_11"/>
      <w:bookmarkEnd w:id="96"/>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97" w:name="fnref7_4"/>
      <w:bookmarkEnd w:id="9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98" w:name="fnref15_4"/>
      <w:bookmarkEnd w:id="98"/>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99" w:name="fnref14_5"/>
      <w:bookmarkEnd w:id="9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2B8CFA73">
      <w:pPr>
        <w:numPr>
          <w:ilvl w:val="0"/>
          <w:numId w:val="10"/>
        </w:numPr>
        <w:spacing w:after="210" w:line="360" w:lineRule="auto"/>
      </w:pPr>
      <w:r>
        <w:rPr>
          <w:rFonts w:ascii="inter" w:hAnsi="inter" w:eastAsia="inter" w:cs="inter"/>
          <w:color w:val="000000"/>
          <w:sz w:val="21"/>
        </w:rPr>
        <w:t>以学生发展为中心的教学目标体系</w:t>
      </w:r>
      <w:r>
        <w:rPr>
          <w:rFonts w:ascii="inter" w:hAnsi="inter" w:eastAsia="inter" w:cs="inter"/>
          <w:color w:val="000000"/>
          <w:sz w:val="21"/>
        </w:rPr>
        <w:br w:type="textWrapping"/>
      </w:r>
      <w:r>
        <w:rPr>
          <w:rFonts w:ascii="inter" w:hAnsi="inter" w:eastAsia="inter" w:cs="inter"/>
          <w:color w:val="000000"/>
          <w:sz w:val="21"/>
        </w:rPr>
        <w:t>据创新赛评分标准与多所高校获奖课程介绍，获奖课程普遍从“知识—能力—素养”三元目标出发，进一步细化到学科核心素养、关键能力（如批判性思维、问题解决、协作能力）与价值观目标。</w:t>
      </w:r>
      <w:bookmarkStart w:id="100" w:name="fnref6_12"/>
      <w:bookmarkEnd w:id="100"/>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01" w:name="fnref8_4"/>
      <w:bookmarkEnd w:id="101"/>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02" w:name="fnref4_9"/>
      <w:bookmarkEnd w:id="102"/>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这种“三维目标”框架与布鲁姆目标分类学和学习科学中的“多维学习结果”理念高度一致。</w:t>
      </w:r>
    </w:p>
    <w:p w14:paraId="5C674507">
      <w:pPr>
        <w:numPr>
          <w:ilvl w:val="0"/>
          <w:numId w:val="10"/>
        </w:numPr>
        <w:spacing w:after="210" w:line="360" w:lineRule="auto"/>
      </w:pPr>
      <w:r>
        <w:rPr>
          <w:rFonts w:ascii="inter" w:hAnsi="inter" w:eastAsia="inter" w:cs="inter"/>
          <w:color w:val="000000"/>
          <w:sz w:val="21"/>
        </w:rPr>
        <w:t>高阶性、创新性与挑战度的教学内容选择</w:t>
      </w:r>
      <w:r>
        <w:rPr>
          <w:rFonts w:ascii="inter" w:hAnsi="inter" w:eastAsia="inter" w:cs="inter"/>
          <w:color w:val="000000"/>
          <w:sz w:val="21"/>
        </w:rPr>
        <w:br w:type="textWrapping"/>
      </w:r>
      <w:r>
        <w:rPr>
          <w:rFonts w:ascii="inter" w:hAnsi="inter" w:eastAsia="inter" w:cs="inter"/>
          <w:color w:val="000000"/>
          <w:sz w:val="21"/>
        </w:rPr>
        <w:t>教育部在多轮教师教学竞赛指导意见中强调，高质量课程应体现学科前沿与复杂性，引导学生应对非结构化问题与跨学科情境。</w:t>
      </w:r>
      <w:bookmarkStart w:id="103" w:name="fnref1_3"/>
      <w:bookmarkEnd w:id="103"/>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04" w:name="fnref4_10"/>
      <w:bookmarkEnd w:id="104"/>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一等奖课程普遍通过引入最新科研成果、行业案例与社会议题，提高任务挑战度，促使学生进行深度加工与迁移。</w:t>
      </w:r>
    </w:p>
    <w:p w14:paraId="07305E12">
      <w:pPr>
        <w:numPr>
          <w:ilvl w:val="0"/>
          <w:numId w:val="10"/>
        </w:numPr>
        <w:spacing w:after="210" w:line="360" w:lineRule="auto"/>
      </w:pPr>
      <w:r>
        <w:rPr>
          <w:rFonts w:ascii="inter" w:hAnsi="inter" w:eastAsia="inter" w:cs="inter"/>
          <w:color w:val="000000"/>
          <w:sz w:val="21"/>
        </w:rPr>
        <w:t>多元化教学方法与学习活动设计</w:t>
      </w:r>
      <w:r>
        <w:rPr>
          <w:rFonts w:ascii="inter" w:hAnsi="inter" w:eastAsia="inter" w:cs="inter"/>
          <w:color w:val="000000"/>
          <w:sz w:val="21"/>
        </w:rPr>
        <w:br w:type="textWrapping"/>
      </w:r>
      <w:r>
        <w:rPr>
          <w:rFonts w:ascii="inter" w:hAnsi="inter" w:eastAsia="inter" w:cs="inter"/>
          <w:color w:val="000000"/>
          <w:sz w:val="21"/>
        </w:rPr>
        <w:t>典型的一等奖课程常采用项目式学习、问题导向学习、案例教学、翻转课堂、小组合作等多种教学策略的组合，以适应不同学习偏好并促进高阶认知活动。</w:t>
      </w:r>
      <w:bookmarkStart w:id="105" w:name="fnref8_5"/>
      <w:bookmarkEnd w:id="10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06" w:name="fnref14_6"/>
      <w:bookmarkEnd w:id="106"/>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107" w:name="fnref6_13"/>
      <w:bookmarkEnd w:id="107"/>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根据世界银行教育发展报告的经验研究，多样化、互动式的学习活动通常与更高的学习成效与公平性相关联。</w:t>
      </w:r>
      <w:bookmarkStart w:id="108" w:name="fnref8_6"/>
      <w:bookmarkEnd w:id="10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D0A853E">
      <w:pPr>
        <w:numPr>
          <w:ilvl w:val="0"/>
          <w:numId w:val="10"/>
        </w:numPr>
        <w:spacing w:after="210" w:line="360" w:lineRule="auto"/>
      </w:pPr>
      <w:r>
        <w:rPr>
          <w:rFonts w:ascii="inter" w:hAnsi="inter" w:eastAsia="inter" w:cs="inter"/>
          <w:color w:val="000000"/>
          <w:sz w:val="21"/>
        </w:rPr>
        <w:t>形成性评价闭环与学习证据链构建</w:t>
      </w:r>
      <w:r>
        <w:rPr>
          <w:rFonts w:ascii="inter" w:hAnsi="inter" w:eastAsia="inter" w:cs="inter"/>
          <w:color w:val="000000"/>
          <w:sz w:val="21"/>
        </w:rPr>
        <w:br w:type="textWrapping"/>
      </w:r>
      <w:r>
        <w:rPr>
          <w:rFonts w:ascii="inter" w:hAnsi="inter" w:eastAsia="inter" w:cs="inter"/>
          <w:color w:val="000000"/>
          <w:sz w:val="21"/>
        </w:rPr>
        <w:t>一等奖课程普遍设计互评、小测、学习日志、学习档案袋等多元形成性评价工具，并利用学习平台数据构建“学习证据链”，实现从结果评价向过程质量监测的转型。</w:t>
      </w:r>
      <w:bookmarkStart w:id="109" w:name="fnref17_3"/>
      <w:bookmarkEnd w:id="10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110" w:name="fnref18_1"/>
      <w:bookmarkEnd w:id="110"/>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111" w:name="fnref6_14"/>
      <w:bookmarkEnd w:id="11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部分思政与通识课程探索了“评估—干预—再评估”的精准教学闭环，有研究指出，AI驱动的精准教学在思政课中可通过情感分析和行为数据实现个性化学习任务推送。</w:t>
      </w:r>
      <w:bookmarkStart w:id="112" w:name="fnref18_2"/>
      <w:bookmarkEnd w:id="112"/>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6AD91377">
      <w:pPr>
        <w:spacing w:before="315" w:after="105" w:line="360" w:lineRule="auto"/>
        <w:ind w:left="-30"/>
        <w:jc w:val="left"/>
      </w:pPr>
      <w:bookmarkStart w:id="113" w:name="二_成功要素分解表_示意"/>
      <w:r>
        <w:rPr>
          <w:rFonts w:ascii="inter" w:hAnsi="inter" w:eastAsia="inter" w:cs="inter"/>
          <w:b/>
          <w:color w:val="000000"/>
          <w:sz w:val="24"/>
        </w:rPr>
        <w:t>（二）成功要素分解表（示意）</w:t>
      </w:r>
      <w:bookmarkEnd w:id="113"/>
    </w:p>
    <w:p w14:paraId="3198930E">
      <w:pPr>
        <w:spacing w:after="210" w:line="360" w:lineRule="auto"/>
      </w:pPr>
      <w:r>
        <w:rPr>
          <w:rFonts w:ascii="inter" w:hAnsi="inter" w:eastAsia="inter" w:cs="inter"/>
          <w:color w:val="000000"/>
        </w:rPr>
        <w:t>为便于高校在课程建设中进行“对标-诊断-重构”，可以将一等奖课程的成功要素进行模块化拆解。</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45"/>
        <w:gridCol w:w="4740"/>
        <w:gridCol w:w="2535"/>
      </w:tblGrid>
      <w:tr w14:paraId="338779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2FC4418">
            <w:pPr>
              <w:spacing w:after="0" w:line="360" w:lineRule="auto"/>
            </w:pPr>
            <w:r>
              <w:rPr>
                <w:rFonts w:ascii="inter" w:hAnsi="inter" w:eastAsia="inter" w:cs="inter"/>
                <w:color w:val="000000"/>
                <w:sz w:val="17"/>
              </w:rPr>
              <w:t>成功要素模块</w:t>
            </w:r>
          </w:p>
        </w:tc>
        <w:tc>
          <w:tcPr>
            <w:tcBorders>
              <w:top w:val="single" w:color="000000" w:sz="0" w:space="0"/>
              <w:bottom w:val="single" w:color="000000" w:sz="0" w:space="0"/>
              <w:right w:val="single" w:color="000000" w:sz="0" w:space="0"/>
            </w:tcBorders>
          </w:tcPr>
          <w:p w14:paraId="35B5B34D">
            <w:pPr>
              <w:spacing w:after="0" w:line="360" w:lineRule="auto"/>
            </w:pPr>
            <w:r>
              <w:rPr>
                <w:rFonts w:ascii="inter" w:hAnsi="inter" w:eastAsia="inter" w:cs="inter"/>
                <w:color w:val="000000"/>
                <w:sz w:val="17"/>
              </w:rPr>
              <w:t>关键表现（创新赛/青教赛共性）</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r>
              <w:fldChar w:fldCharType="begin"/>
            </w:r>
            <w:r>
              <w:instrText xml:space="preserve"> HYPERLINK \l "fn12" \h </w:instrText>
            </w:r>
            <w:r>
              <w:fldChar w:fldCharType="separate"/>
            </w:r>
            <w:r>
              <w:rPr>
                <w:rFonts w:ascii="inter" w:hAnsi="inter" w:eastAsia="inter" w:cs="inter"/>
                <w:color w:val="000000"/>
                <w:sz w:val="17"/>
                <w:u w:val="single"/>
                <w:vertAlign w:val="superscript"/>
              </w:rPr>
              <w:t>[12]</w:t>
            </w:r>
            <w:r>
              <w:rPr>
                <w:rFonts w:ascii="inter" w:hAnsi="inter" w:eastAsia="inter" w:cs="inter"/>
                <w:color w:val="000000"/>
                <w:sz w:val="17"/>
                <w:u w:val="single"/>
                <w:vertAlign w:val="superscript"/>
              </w:rPr>
              <w:fldChar w:fldCharType="end"/>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C2F146B">
            <w:pPr>
              <w:spacing w:after="0" w:line="360" w:lineRule="auto"/>
            </w:pPr>
            <w:r>
              <w:rPr>
                <w:rFonts w:ascii="inter" w:hAnsi="inter" w:eastAsia="inter" w:cs="inter"/>
                <w:color w:val="000000"/>
                <w:sz w:val="17"/>
              </w:rPr>
              <w:t>对应理论支点</w:t>
            </w:r>
          </w:p>
        </w:tc>
      </w:tr>
      <w:tr w14:paraId="240B13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3B38043">
            <w:pPr>
              <w:spacing w:after="0" w:line="360" w:lineRule="auto"/>
            </w:pPr>
            <w:r>
              <w:rPr>
                <w:rFonts w:ascii="inter" w:hAnsi="inter" w:eastAsia="inter" w:cs="inter"/>
                <w:color w:val="000000"/>
                <w:sz w:val="17"/>
              </w:rPr>
              <w:t>目标设计</w:t>
            </w:r>
          </w:p>
        </w:tc>
        <w:tc>
          <w:tcPr>
            <w:tcBorders>
              <w:top w:val="single" w:color="000000" w:sz="0" w:space="0"/>
              <w:bottom w:val="single" w:color="000000" w:sz="0" w:space="0"/>
              <w:right w:val="single" w:color="000000" w:sz="0" w:space="0"/>
            </w:tcBorders>
          </w:tcPr>
          <w:p w14:paraId="5B82C1CE">
            <w:pPr>
              <w:spacing w:after="0" w:line="360" w:lineRule="auto"/>
            </w:pPr>
            <w:r>
              <w:rPr>
                <w:rFonts w:ascii="inter" w:hAnsi="inter" w:eastAsia="inter" w:cs="inter"/>
                <w:color w:val="000000"/>
                <w:sz w:val="17"/>
              </w:rPr>
              <w:t>明确三维目标，融入学科核心素养与价值观目标</w:t>
            </w:r>
          </w:p>
        </w:tc>
        <w:tc>
          <w:tcPr>
            <w:tcBorders>
              <w:top w:val="single" w:color="000000" w:sz="0" w:space="0"/>
              <w:bottom w:val="single" w:color="000000" w:sz="0" w:space="0"/>
            </w:tcBorders>
          </w:tcPr>
          <w:p w14:paraId="7D1FD1CE">
            <w:pPr>
              <w:spacing w:after="0" w:line="360" w:lineRule="auto"/>
            </w:pPr>
            <w:r>
              <w:rPr>
                <w:rFonts w:ascii="inter" w:hAnsi="inter" w:eastAsia="inter" w:cs="inter"/>
                <w:color w:val="000000"/>
                <w:sz w:val="17"/>
              </w:rPr>
              <w:t>目标导向教学理论、学习科学</w:t>
            </w:r>
          </w:p>
        </w:tc>
      </w:tr>
      <w:tr w14:paraId="1C0647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BFCC43">
            <w:pPr>
              <w:spacing w:after="0" w:line="360" w:lineRule="auto"/>
            </w:pPr>
            <w:r>
              <w:rPr>
                <w:rFonts w:ascii="inter" w:hAnsi="inter" w:eastAsia="inter" w:cs="inter"/>
                <w:color w:val="000000"/>
                <w:sz w:val="17"/>
              </w:rPr>
              <w:t>内容选择</w:t>
            </w:r>
          </w:p>
        </w:tc>
        <w:tc>
          <w:tcPr>
            <w:tcBorders>
              <w:top w:val="single" w:color="000000" w:sz="0" w:space="0"/>
              <w:bottom w:val="single" w:color="000000" w:sz="0" w:space="0"/>
              <w:right w:val="single" w:color="000000" w:sz="0" w:space="0"/>
            </w:tcBorders>
          </w:tcPr>
          <w:p w14:paraId="40DDEF3E">
            <w:pPr>
              <w:spacing w:after="0" w:line="360" w:lineRule="auto"/>
            </w:pPr>
            <w:r>
              <w:rPr>
                <w:rFonts w:ascii="inter" w:hAnsi="inter" w:eastAsia="inter" w:cs="inter"/>
                <w:color w:val="000000"/>
                <w:sz w:val="17"/>
              </w:rPr>
              <w:t>聚焦学科前沿、高阶难度任务、真实问题情境</w:t>
            </w:r>
          </w:p>
        </w:tc>
        <w:tc>
          <w:tcPr>
            <w:tcBorders>
              <w:top w:val="single" w:color="000000" w:sz="0" w:space="0"/>
              <w:bottom w:val="single" w:color="000000" w:sz="0" w:space="0"/>
            </w:tcBorders>
          </w:tcPr>
          <w:p w14:paraId="713F4EC7">
            <w:pPr>
              <w:spacing w:after="0" w:line="360" w:lineRule="auto"/>
            </w:pPr>
            <w:r>
              <w:rPr>
                <w:rFonts w:ascii="inter" w:hAnsi="inter" w:eastAsia="inter" w:cs="inter"/>
                <w:color w:val="000000"/>
                <w:sz w:val="17"/>
              </w:rPr>
              <w:t>建构主义、情境学习</w:t>
            </w:r>
          </w:p>
        </w:tc>
      </w:tr>
      <w:tr w14:paraId="0A1C8B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E30D206">
            <w:pPr>
              <w:spacing w:after="0" w:line="360" w:lineRule="auto"/>
            </w:pPr>
            <w:r>
              <w:rPr>
                <w:rFonts w:ascii="inter" w:hAnsi="inter" w:eastAsia="inter" w:cs="inter"/>
                <w:color w:val="000000"/>
                <w:sz w:val="17"/>
              </w:rPr>
              <w:t>方法策略</w:t>
            </w:r>
          </w:p>
        </w:tc>
        <w:tc>
          <w:tcPr>
            <w:tcBorders>
              <w:top w:val="single" w:color="000000" w:sz="0" w:space="0"/>
              <w:bottom w:val="single" w:color="000000" w:sz="0" w:space="0"/>
              <w:right w:val="single" w:color="000000" w:sz="0" w:space="0"/>
            </w:tcBorders>
          </w:tcPr>
          <w:p w14:paraId="16399798">
            <w:pPr>
              <w:spacing w:after="0" w:line="360" w:lineRule="auto"/>
            </w:pPr>
            <w:r>
              <w:rPr>
                <w:rFonts w:ascii="inter" w:hAnsi="inter" w:eastAsia="inter" w:cs="inter"/>
                <w:color w:val="000000"/>
                <w:sz w:val="17"/>
              </w:rPr>
              <w:t>项目式、问题导向、小组合作、翻转课堂等多策略组合</w:t>
            </w:r>
          </w:p>
        </w:tc>
        <w:tc>
          <w:tcPr>
            <w:tcBorders>
              <w:top w:val="single" w:color="000000" w:sz="0" w:space="0"/>
              <w:bottom w:val="single" w:color="000000" w:sz="0" w:space="0"/>
            </w:tcBorders>
          </w:tcPr>
          <w:p w14:paraId="6714B53A">
            <w:pPr>
              <w:spacing w:after="0" w:line="360" w:lineRule="auto"/>
            </w:pPr>
            <w:r>
              <w:rPr>
                <w:rFonts w:ascii="inter" w:hAnsi="inter" w:eastAsia="inter" w:cs="inter"/>
                <w:color w:val="000000"/>
                <w:sz w:val="17"/>
              </w:rPr>
              <w:t>建构主义、合作学习</w:t>
            </w:r>
          </w:p>
        </w:tc>
      </w:tr>
      <w:tr w14:paraId="788C67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6DE08B">
            <w:pPr>
              <w:spacing w:after="0" w:line="360" w:lineRule="auto"/>
            </w:pPr>
            <w:r>
              <w:rPr>
                <w:rFonts w:ascii="inter" w:hAnsi="inter" w:eastAsia="inter" w:cs="inter"/>
                <w:color w:val="000000"/>
                <w:sz w:val="17"/>
              </w:rPr>
              <w:t>资源形态</w:t>
            </w:r>
          </w:p>
        </w:tc>
        <w:tc>
          <w:tcPr>
            <w:tcBorders>
              <w:top w:val="single" w:color="000000" w:sz="0" w:space="0"/>
              <w:bottom w:val="single" w:color="000000" w:sz="0" w:space="0"/>
              <w:right w:val="single" w:color="000000" w:sz="0" w:space="0"/>
            </w:tcBorders>
          </w:tcPr>
          <w:p w14:paraId="33547A17">
            <w:pPr>
              <w:spacing w:after="0" w:line="360" w:lineRule="auto"/>
            </w:pPr>
            <w:r>
              <w:rPr>
                <w:rFonts w:ascii="inter" w:hAnsi="inter" w:eastAsia="inter" w:cs="inter"/>
                <w:color w:val="000000"/>
                <w:sz w:val="17"/>
              </w:rPr>
              <w:t>线上线下融合、多模态资源、虚拟仿真与案例库</w:t>
            </w:r>
          </w:p>
        </w:tc>
        <w:tc>
          <w:tcPr>
            <w:tcBorders>
              <w:top w:val="single" w:color="000000" w:sz="0" w:space="0"/>
              <w:bottom w:val="single" w:color="000000" w:sz="0" w:space="0"/>
            </w:tcBorders>
          </w:tcPr>
          <w:p w14:paraId="68E45E6E">
            <w:pPr>
              <w:spacing w:after="0" w:line="360" w:lineRule="auto"/>
            </w:pPr>
            <w:r>
              <w:rPr>
                <w:rFonts w:ascii="inter" w:hAnsi="inter" w:eastAsia="inter" w:cs="inter"/>
                <w:color w:val="000000"/>
                <w:sz w:val="17"/>
              </w:rPr>
              <w:t>教育技术与多媒体学习理论</w:t>
            </w:r>
          </w:p>
        </w:tc>
      </w:tr>
      <w:tr w14:paraId="5D3E44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E88E98">
            <w:pPr>
              <w:spacing w:after="0" w:line="360" w:lineRule="auto"/>
            </w:pPr>
            <w:r>
              <w:rPr>
                <w:rFonts w:ascii="inter" w:hAnsi="inter" w:eastAsia="inter" w:cs="inter"/>
                <w:color w:val="000000"/>
                <w:sz w:val="17"/>
              </w:rPr>
              <w:t>评价方式</w:t>
            </w:r>
          </w:p>
        </w:tc>
        <w:tc>
          <w:tcPr>
            <w:tcBorders>
              <w:top w:val="single" w:color="000000" w:sz="0" w:space="0"/>
              <w:bottom w:val="single" w:color="000000" w:sz="0" w:space="0"/>
              <w:right w:val="single" w:color="000000" w:sz="0" w:space="0"/>
            </w:tcBorders>
          </w:tcPr>
          <w:p w14:paraId="4FEBC2FE">
            <w:pPr>
              <w:spacing w:after="0" w:line="360" w:lineRule="auto"/>
            </w:pPr>
            <w:r>
              <w:rPr>
                <w:rFonts w:ascii="inter" w:hAnsi="inter" w:eastAsia="inter" w:cs="inter"/>
                <w:color w:val="000000"/>
                <w:sz w:val="17"/>
              </w:rPr>
              <w:t>多元主体、多种形式的形成性与终结性评价，数据驱动干预</w:t>
            </w:r>
          </w:p>
        </w:tc>
        <w:tc>
          <w:tcPr>
            <w:tcBorders>
              <w:top w:val="single" w:color="000000" w:sz="0" w:space="0"/>
              <w:bottom w:val="single" w:color="000000" w:sz="0" w:space="0"/>
            </w:tcBorders>
          </w:tcPr>
          <w:p w14:paraId="3A6C86F2">
            <w:pPr>
              <w:spacing w:after="0" w:line="360" w:lineRule="auto"/>
            </w:pPr>
            <w:r>
              <w:rPr>
                <w:rFonts w:ascii="inter" w:hAnsi="inter" w:eastAsia="inter" w:cs="inter"/>
                <w:color w:val="000000"/>
                <w:sz w:val="17"/>
              </w:rPr>
              <w:t>形成性评价理论、学习分析</w:t>
            </w:r>
          </w:p>
        </w:tc>
      </w:tr>
      <w:tr w14:paraId="398C68F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CC1DE29">
            <w:pPr>
              <w:spacing w:after="0" w:line="360" w:lineRule="auto"/>
            </w:pPr>
            <w:r>
              <w:rPr>
                <w:rFonts w:ascii="inter" w:hAnsi="inter" w:eastAsia="inter" w:cs="inter"/>
                <w:color w:val="000000"/>
                <w:sz w:val="17"/>
              </w:rPr>
              <w:t>教师发展</w:t>
            </w:r>
          </w:p>
        </w:tc>
        <w:tc>
          <w:tcPr>
            <w:tcBorders>
              <w:top w:val="single" w:color="000000" w:sz="0" w:space="0"/>
              <w:bottom w:val="single" w:color="000000" w:sz="0" w:space="0"/>
              <w:right w:val="single" w:color="000000" w:sz="0" w:space="0"/>
            </w:tcBorders>
          </w:tcPr>
          <w:p w14:paraId="56479B5B">
            <w:pPr>
              <w:spacing w:after="0" w:line="360" w:lineRule="auto"/>
            </w:pPr>
            <w:r>
              <w:rPr>
                <w:rFonts w:ascii="inter" w:hAnsi="inter" w:eastAsia="inter" w:cs="inter"/>
                <w:color w:val="000000"/>
                <w:sz w:val="17"/>
              </w:rPr>
              <w:t>团队协作备课、反思性实践、持续改进机制</w:t>
            </w:r>
          </w:p>
        </w:tc>
        <w:tc>
          <w:tcPr>
            <w:tcBorders>
              <w:top w:val="single" w:color="000000" w:sz="0" w:space="0"/>
              <w:bottom w:val="single" w:color="000000" w:sz="0" w:space="0"/>
            </w:tcBorders>
          </w:tcPr>
          <w:p w14:paraId="1C3BBB65">
            <w:pPr>
              <w:spacing w:after="0" w:line="360" w:lineRule="auto"/>
            </w:pPr>
            <w:r>
              <w:rPr>
                <w:rFonts w:ascii="inter" w:hAnsi="inter" w:eastAsia="inter" w:cs="inter"/>
                <w:color w:val="000000"/>
                <w:sz w:val="17"/>
              </w:rPr>
              <w:t>专业发展理论</w:t>
            </w:r>
          </w:p>
        </w:tc>
      </w:tr>
    </w:tbl>
    <w:p w14:paraId="33A195C4"/>
    <w:p w14:paraId="7EC4CD4D">
      <w:pPr>
        <w:spacing w:before="315" w:after="105" w:line="360" w:lineRule="auto"/>
        <w:ind w:left="-30"/>
        <w:jc w:val="left"/>
      </w:pPr>
      <w:bookmarkStart w:id="114" w:name="三_潜在局限与边界"/>
      <w:r>
        <w:rPr>
          <w:rFonts w:ascii="inter" w:hAnsi="inter" w:eastAsia="inter" w:cs="inter"/>
          <w:b/>
          <w:color w:val="000000"/>
          <w:sz w:val="24"/>
        </w:rPr>
        <w:t>（三）潜在局限与边界</w:t>
      </w:r>
      <w:bookmarkEnd w:id="114"/>
    </w:p>
    <w:p w14:paraId="16A4BB9B">
      <w:pPr>
        <w:spacing w:after="210" w:line="360" w:lineRule="auto"/>
      </w:pPr>
      <w:r>
        <w:rPr>
          <w:rFonts w:ascii="inter" w:hAnsi="inter" w:eastAsia="inter" w:cs="inter"/>
          <w:color w:val="000000"/>
        </w:rPr>
        <w:t>尽管上述成功要素具有较强的示范意义，但在推广过程中应注意：</w:t>
      </w:r>
    </w:p>
    <w:p w14:paraId="3B5C145F">
      <w:pPr>
        <w:numPr>
          <w:ilvl w:val="0"/>
          <w:numId w:val="11"/>
        </w:numPr>
        <w:spacing w:after="210" w:line="360" w:lineRule="auto"/>
      </w:pPr>
      <w:r>
        <w:rPr>
          <w:rFonts w:ascii="inter" w:hAnsi="inter" w:eastAsia="inter" w:cs="inter"/>
          <w:color w:val="000000"/>
          <w:sz w:val="21"/>
        </w:rPr>
        <w:t>“高配范式”向“适配范式”的必要转化</w:t>
      </w:r>
      <w:r>
        <w:rPr>
          <w:rFonts w:ascii="inter" w:hAnsi="inter" w:eastAsia="inter" w:cs="inter"/>
          <w:color w:val="000000"/>
          <w:sz w:val="21"/>
        </w:rPr>
        <w:br w:type="textWrapping"/>
      </w:r>
      <w:r>
        <w:rPr>
          <w:rFonts w:ascii="inter" w:hAnsi="inter" w:eastAsia="inter" w:cs="inter"/>
          <w:color w:val="000000"/>
          <w:sz w:val="21"/>
        </w:rPr>
        <w:t>在资源与支持不足的环境中，建议高校优先聚焦“目标重构—评价优化—关键活动设计”等低成本高收益环节，而非一味追求全套“高配方案”，以避免教学创新沦为形式主义。</w:t>
      </w:r>
    </w:p>
    <w:p w14:paraId="0A463151">
      <w:pPr>
        <w:numPr>
          <w:ilvl w:val="0"/>
          <w:numId w:val="11"/>
        </w:numPr>
        <w:spacing w:after="210" w:line="360" w:lineRule="auto"/>
      </w:pPr>
      <w:r>
        <w:rPr>
          <w:rFonts w:ascii="inter" w:hAnsi="inter" w:eastAsia="inter" w:cs="inter"/>
          <w:color w:val="000000"/>
          <w:sz w:val="21"/>
        </w:rPr>
        <w:t>跨学科与类型差异</w:t>
      </w:r>
      <w:r>
        <w:rPr>
          <w:rFonts w:ascii="inter" w:hAnsi="inter" w:eastAsia="inter" w:cs="inter"/>
          <w:color w:val="000000"/>
          <w:sz w:val="21"/>
        </w:rPr>
        <w:br w:type="textWrapping"/>
      </w:r>
      <w:r>
        <w:rPr>
          <w:rFonts w:ascii="inter" w:hAnsi="inter" w:eastAsia="inter" w:cs="inter"/>
          <w:color w:val="000000"/>
          <w:sz w:val="21"/>
        </w:rPr>
        <w:t>文科通识课程、工科实践课程、医科临床课程在情境真实性、评价工具、资源构建方式上均有差异，需要在一等奖课程的基础上做“类型化二次设计”，避免“一刀切”推广。</w:t>
      </w:r>
    </w:p>
    <w:p w14:paraId="41E8F99F">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0395513">
      <w:pPr>
        <w:spacing w:before="315" w:after="105" w:line="360" w:lineRule="auto"/>
        <w:ind w:left="-30"/>
        <w:jc w:val="left"/>
      </w:pPr>
      <w:bookmarkStart w:id="115" w:name="五_资源生态分析_从_教学资源包_到_开放共享生态"/>
      <w:r>
        <w:rPr>
          <w:rFonts w:ascii="inter" w:hAnsi="inter" w:eastAsia="inter" w:cs="inter"/>
          <w:b/>
          <w:color w:val="000000"/>
          <w:sz w:val="24"/>
        </w:rPr>
        <w:t>五、资源生态分析：从“教学资源包”到“开放共享生态”</w:t>
      </w:r>
      <w:bookmarkEnd w:id="115"/>
    </w:p>
    <w:p w14:paraId="19274538">
      <w:pPr>
        <w:spacing w:before="315" w:after="105" w:line="360" w:lineRule="auto"/>
        <w:ind w:left="-30"/>
        <w:jc w:val="left"/>
      </w:pPr>
      <w:bookmarkStart w:id="116" w:name="一_多模态教学资源形态"/>
      <w:r>
        <w:rPr>
          <w:rFonts w:ascii="inter" w:hAnsi="inter" w:eastAsia="inter" w:cs="inter"/>
          <w:b/>
          <w:color w:val="000000"/>
          <w:sz w:val="24"/>
        </w:rPr>
        <w:t>（一）多模态教学资源形态</w:t>
      </w:r>
      <w:bookmarkEnd w:id="116"/>
    </w:p>
    <w:p w14:paraId="07DBA847">
      <w:pPr>
        <w:spacing w:after="210" w:line="360" w:lineRule="auto"/>
      </w:pPr>
      <w:r>
        <w:rPr>
          <w:rFonts w:ascii="inter" w:hAnsi="inter" w:eastAsia="inter" w:cs="inter"/>
          <w:color w:val="000000"/>
        </w:rPr>
        <w:t>“多模态教学资源”通常指在教学过程中综合运用文本、图像、音频、视频、虚拟仿真、交互式组件等多种媒介形式，为学生提供多通道信息输入和任务支持的一组教学资源系统。创新赛与青教赛全国一等奖课程背后，往往存在高度结构化的多模态资源群。</w:t>
      </w:r>
      <w:bookmarkStart w:id="117" w:name="fnref4_12"/>
      <w:bookmarkEnd w:id="11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18" w:name="fnref6_16"/>
      <w:bookmarkEnd w:id="11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19" w:name="fnref7_5"/>
      <w:bookmarkEnd w:id="11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20" w:name="fnref15_5"/>
      <w:bookmarkEnd w:id="12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2ECB0E9A">
      <w:pPr>
        <w:numPr>
          <w:ilvl w:val="0"/>
          <w:numId w:val="12"/>
        </w:numPr>
        <w:spacing w:after="210" w:line="360" w:lineRule="auto"/>
      </w:pPr>
      <w:r>
        <w:rPr>
          <w:rFonts w:ascii="inter" w:hAnsi="inter" w:eastAsia="inter" w:cs="inter"/>
          <w:color w:val="000000"/>
          <w:sz w:val="21"/>
        </w:rPr>
        <w:t>创新赛一等奖课程的资源形态</w:t>
      </w:r>
      <w:r>
        <w:rPr>
          <w:rFonts w:ascii="inter" w:hAnsi="inter" w:eastAsia="inter" w:cs="inter"/>
          <w:color w:val="000000"/>
          <w:sz w:val="21"/>
        </w:rPr>
        <w:br w:type="textWrapping"/>
      </w:r>
      <w:r>
        <w:rPr>
          <w:rFonts w:ascii="inter" w:hAnsi="inter" w:eastAsia="inter" w:cs="inter"/>
          <w:color w:val="000000"/>
          <w:sz w:val="21"/>
        </w:rPr>
        <w:t>据创新赛组织方案与多门获奖课程展示，典型资源形态包括：</w:t>
      </w:r>
    </w:p>
    <w:p w14:paraId="0275285B">
      <w:pPr>
        <w:numPr>
          <w:ilvl w:val="1"/>
          <w:numId w:val="12"/>
        </w:numPr>
        <w:spacing w:before="105" w:after="105" w:line="360" w:lineRule="auto"/>
      </w:pPr>
      <w:r>
        <w:rPr>
          <w:rFonts w:ascii="inter" w:hAnsi="inter" w:eastAsia="inter" w:cs="inter"/>
          <w:color w:val="000000"/>
          <w:sz w:val="21"/>
        </w:rPr>
        <w:t>课堂教学实录视频与精编教学片段；</w:t>
      </w:r>
    </w:p>
    <w:p w14:paraId="0ADBED42">
      <w:pPr>
        <w:numPr>
          <w:ilvl w:val="1"/>
          <w:numId w:val="12"/>
        </w:numPr>
        <w:spacing w:before="105" w:after="105" w:line="360" w:lineRule="auto"/>
      </w:pPr>
      <w:r>
        <w:rPr>
          <w:rFonts w:ascii="inter" w:hAnsi="inter" w:eastAsia="inter" w:cs="inter"/>
          <w:color w:val="000000"/>
          <w:sz w:val="21"/>
        </w:rPr>
        <w:t>完整教学设计文档与教学创新成果报告；</w:t>
      </w:r>
    </w:p>
    <w:p w14:paraId="02670968">
      <w:pPr>
        <w:numPr>
          <w:ilvl w:val="1"/>
          <w:numId w:val="12"/>
        </w:numPr>
        <w:spacing w:before="105" w:after="105" w:line="360" w:lineRule="auto"/>
      </w:pPr>
      <w:r>
        <w:rPr>
          <w:rFonts w:ascii="inter" w:hAnsi="inter" w:eastAsia="inter" w:cs="inter"/>
          <w:color w:val="000000"/>
          <w:sz w:val="21"/>
        </w:rPr>
        <w:t>课程思政案例库、行业与社会问题案例库；</w:t>
      </w:r>
    </w:p>
    <w:p w14:paraId="549B5754">
      <w:pPr>
        <w:numPr>
          <w:ilvl w:val="1"/>
          <w:numId w:val="12"/>
        </w:numPr>
        <w:spacing w:before="105" w:after="105" w:line="360" w:lineRule="auto"/>
      </w:pPr>
      <w:r>
        <w:rPr>
          <w:rFonts w:ascii="inter" w:hAnsi="inter" w:eastAsia="inter" w:cs="inter"/>
          <w:color w:val="000000"/>
          <w:sz w:val="21"/>
        </w:rPr>
        <w:t>项目任务书、实验与实践指导书；</w:t>
      </w:r>
    </w:p>
    <w:p w14:paraId="3F35CD23">
      <w:pPr>
        <w:numPr>
          <w:ilvl w:val="1"/>
          <w:numId w:val="12"/>
        </w:numPr>
        <w:spacing w:before="105" w:after="105" w:line="360" w:lineRule="auto"/>
      </w:pPr>
      <w:r>
        <w:rPr>
          <w:rFonts w:ascii="inter" w:hAnsi="inter" w:eastAsia="inter" w:cs="inter"/>
          <w:color w:val="000000"/>
          <w:sz w:val="21"/>
        </w:rPr>
        <w:t>慕课/SPOC课程视频与考试题库；</w:t>
      </w:r>
    </w:p>
    <w:p w14:paraId="40334545">
      <w:pPr>
        <w:numPr>
          <w:ilvl w:val="1"/>
          <w:numId w:val="12"/>
        </w:numPr>
        <w:spacing w:before="105" w:after="105" w:line="360" w:lineRule="auto"/>
      </w:pPr>
      <w:r>
        <w:rPr>
          <w:rFonts w:ascii="inter" w:hAnsi="inter" w:eastAsia="inter" w:cs="inter"/>
          <w:color w:val="000000"/>
          <w:sz w:val="21"/>
        </w:rPr>
        <w:t>数据驱动的学习分析仪表盘和反馈报告。</w:t>
      </w:r>
      <w:bookmarkStart w:id="121" w:name="fnref5_5"/>
      <w:bookmarkEnd w:id="121"/>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22" w:name="fnref6_17"/>
      <w:bookmarkEnd w:id="12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23" w:name="fnref7_6"/>
      <w:bookmarkEnd w:id="12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24" w:name="fnref4_13"/>
      <w:bookmarkEnd w:id="124"/>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6E971E58">
      <w:pPr>
        <w:numPr>
          <w:ilvl w:val="0"/>
          <w:numId w:val="12"/>
        </w:numPr>
        <w:spacing w:after="210" w:line="360" w:lineRule="auto"/>
      </w:pPr>
      <w:r>
        <w:rPr>
          <w:rFonts w:ascii="inter" w:hAnsi="inter" w:eastAsia="inter" w:cs="inter"/>
          <w:color w:val="000000"/>
          <w:sz w:val="21"/>
        </w:rPr>
        <w:t>青教赛一等奖课程的资源形态</w:t>
      </w:r>
      <w:r>
        <w:rPr>
          <w:rFonts w:ascii="inter" w:hAnsi="inter" w:eastAsia="inter" w:cs="inter"/>
          <w:color w:val="000000"/>
          <w:sz w:val="21"/>
        </w:rPr>
        <w:br w:type="textWrapping"/>
      </w:r>
      <w:r>
        <w:rPr>
          <w:rFonts w:ascii="inter" w:hAnsi="inter" w:eastAsia="inter" w:cs="inter"/>
          <w:color w:val="000000"/>
          <w:sz w:val="21"/>
        </w:rPr>
        <w:t>青教赛则更强调微观教学资源的精细度，例如：</w:t>
      </w:r>
    </w:p>
    <w:p w14:paraId="100F5CE4">
      <w:pPr>
        <w:numPr>
          <w:ilvl w:val="1"/>
          <w:numId w:val="12"/>
        </w:numPr>
        <w:spacing w:before="105" w:after="105" w:line="360" w:lineRule="auto"/>
      </w:pPr>
      <w:r>
        <w:rPr>
          <w:rFonts w:ascii="inter" w:hAnsi="inter" w:eastAsia="inter" w:cs="inter"/>
          <w:color w:val="000000"/>
          <w:sz w:val="21"/>
        </w:rPr>
        <w:t>单节课教案与板书设计方案；</w:t>
      </w:r>
    </w:p>
    <w:p w14:paraId="330F43DE">
      <w:pPr>
        <w:numPr>
          <w:ilvl w:val="1"/>
          <w:numId w:val="12"/>
        </w:numPr>
        <w:spacing w:before="105" w:after="105" w:line="360" w:lineRule="auto"/>
      </w:pPr>
      <w:r>
        <w:rPr>
          <w:rFonts w:ascii="inter" w:hAnsi="inter" w:eastAsia="inter" w:cs="inter"/>
          <w:color w:val="000000"/>
          <w:sz w:val="21"/>
        </w:rPr>
        <w:t>高质量课例视频（含不同教学片段）;</w:t>
      </w:r>
    </w:p>
    <w:p w14:paraId="314D40F6">
      <w:pPr>
        <w:numPr>
          <w:ilvl w:val="1"/>
          <w:numId w:val="12"/>
        </w:numPr>
        <w:spacing w:before="105" w:after="105" w:line="360" w:lineRule="auto"/>
      </w:pPr>
      <w:r>
        <w:rPr>
          <w:rFonts w:ascii="inter" w:hAnsi="inter" w:eastAsia="inter" w:cs="inter"/>
          <w:color w:val="000000"/>
          <w:sz w:val="21"/>
        </w:rPr>
        <w:t>多轮迭代的PPT课件版本与设计说明；</w:t>
      </w:r>
    </w:p>
    <w:p w14:paraId="77B3940B">
      <w:pPr>
        <w:numPr>
          <w:ilvl w:val="1"/>
          <w:numId w:val="12"/>
        </w:numPr>
        <w:spacing w:before="105" w:after="105" w:line="360" w:lineRule="auto"/>
      </w:pPr>
      <w:r>
        <w:rPr>
          <w:rFonts w:ascii="inter" w:hAnsi="inter" w:eastAsia="inter" w:cs="inter"/>
          <w:color w:val="000000"/>
          <w:sz w:val="21"/>
        </w:rPr>
        <w:t>小测题库与即时反馈工具；</w:t>
      </w:r>
    </w:p>
    <w:p w14:paraId="513471B7">
      <w:pPr>
        <w:numPr>
          <w:ilvl w:val="1"/>
          <w:numId w:val="12"/>
        </w:numPr>
        <w:spacing w:before="105" w:after="105" w:line="360" w:lineRule="auto"/>
      </w:pPr>
      <w:r>
        <w:rPr>
          <w:rFonts w:ascii="inter" w:hAnsi="inter" w:eastAsia="inter" w:cs="inter"/>
          <w:color w:val="000000"/>
          <w:sz w:val="21"/>
        </w:rPr>
        <w:t>教学反思报告与个人成长档案。</w:t>
      </w:r>
      <w:bookmarkStart w:id="125" w:name="fnref10_9"/>
      <w:bookmarkEnd w:id="125"/>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26" w:name="fnref12_9"/>
      <w:bookmarkEnd w:id="126"/>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27" w:name="fnref13_11"/>
      <w:bookmarkEnd w:id="127"/>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128" w:name="fnref7_7"/>
      <w:bookmarkEnd w:id="128"/>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3AFCAAE4">
      <w:pPr>
        <w:spacing w:before="315" w:after="105" w:line="360" w:lineRule="auto"/>
        <w:ind w:left="-30"/>
        <w:jc w:val="left"/>
      </w:pPr>
      <w:bookmarkStart w:id="129" w:name="二_资源类型_获取途径矩阵"/>
      <w:r>
        <w:rPr>
          <w:rFonts w:ascii="inter" w:hAnsi="inter" w:eastAsia="inter" w:cs="inter"/>
          <w:b/>
          <w:color w:val="000000"/>
          <w:sz w:val="24"/>
        </w:rPr>
        <w:t>（二）资源类型—获取途径矩阵</w:t>
      </w:r>
      <w:bookmarkEnd w:id="129"/>
    </w:p>
    <w:p w14:paraId="66522C56">
      <w:pPr>
        <w:spacing w:after="210" w:line="360" w:lineRule="auto"/>
      </w:pPr>
      <w:r>
        <w:rPr>
          <w:rFonts w:ascii="inter" w:hAnsi="inter" w:eastAsia="inter" w:cs="inter"/>
          <w:color w:val="000000"/>
        </w:rPr>
        <w:t>基于现有资料，可构建“教学资源类型—获取途径”矩阵，用以描述一等奖课程资源生态的主要支撑路径。</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39"/>
        <w:gridCol w:w="2027"/>
        <w:gridCol w:w="2520"/>
        <w:gridCol w:w="2272"/>
        <w:gridCol w:w="1782"/>
      </w:tblGrid>
      <w:tr w14:paraId="1246C2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2E42C8F">
            <w:pPr>
              <w:spacing w:after="0" w:line="360" w:lineRule="auto"/>
            </w:pPr>
            <w:r>
              <w:rPr>
                <w:rFonts w:ascii="inter" w:hAnsi="inter" w:eastAsia="inter" w:cs="inter"/>
                <w:color w:val="000000"/>
                <w:sz w:val="17"/>
              </w:rPr>
              <w:t>资源类型</w:t>
            </w:r>
          </w:p>
        </w:tc>
        <w:tc>
          <w:tcPr>
            <w:tcBorders>
              <w:top w:val="single" w:color="000000" w:sz="0" w:space="0"/>
              <w:bottom w:val="single" w:color="000000" w:sz="0" w:space="0"/>
              <w:right w:val="single" w:color="000000" w:sz="0" w:space="0"/>
            </w:tcBorders>
          </w:tcPr>
          <w:p w14:paraId="56A96D85">
            <w:pPr>
              <w:spacing w:after="0" w:line="360" w:lineRule="auto"/>
            </w:pPr>
            <w:r>
              <w:rPr>
                <w:rFonts w:ascii="inter" w:hAnsi="inter" w:eastAsia="inter" w:cs="inter"/>
                <w:color w:val="000000"/>
                <w:sz w:val="17"/>
              </w:rPr>
              <w:t>自主建设（课程团队）</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21DBD739">
            <w:pPr>
              <w:spacing w:after="0" w:line="360" w:lineRule="auto"/>
            </w:pPr>
            <w:r>
              <w:rPr>
                <w:rFonts w:ascii="inter" w:hAnsi="inter" w:eastAsia="inter" w:cs="inter"/>
                <w:color w:val="000000"/>
                <w:sz w:val="17"/>
              </w:rPr>
              <w:t>校内支持平台</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79ED0509">
            <w:pPr>
              <w:spacing w:after="0" w:line="360" w:lineRule="auto"/>
            </w:pPr>
            <w:r>
              <w:rPr>
                <w:rFonts w:ascii="inter" w:hAnsi="inter" w:eastAsia="inter" w:cs="inter"/>
                <w:color w:val="000000"/>
                <w:sz w:val="17"/>
              </w:rPr>
              <w:t>国家/区域平台与项目</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"fn21" \h </w:instrText>
            </w:r>
            <w:r>
              <w:fldChar w:fldCharType="separate"/>
            </w:r>
            <w:r>
              <w:rPr>
                <w:rFonts w:ascii="inter" w:hAnsi="inter" w:eastAsia="inter" w:cs="inter"/>
                <w:color w:val="000000"/>
                <w:sz w:val="17"/>
                <w:u w:val="single"/>
                <w:vertAlign w:val="superscript"/>
              </w:rPr>
              <w:t>[21]</w:t>
            </w:r>
            <w:r>
              <w:rPr>
                <w:rFonts w:ascii="inter" w:hAnsi="inter" w:eastAsia="inter" w:cs="inter"/>
                <w:color w:val="000000"/>
                <w:sz w:val="17"/>
                <w:u w:val="single"/>
                <w:vertAlign w:val="superscript"/>
              </w:rPr>
              <w:fldChar w:fldCharType="end"/>
            </w:r>
            <w:r>
              <w:fldChar w:fldCharType="begin"/>
            </w:r>
            <w:r>
              <w:instrText xml:space="preserve"> HYPERLINK \l "fn22" \h </w:instrText>
            </w:r>
            <w:r>
              <w:fldChar w:fldCharType="separate"/>
            </w:r>
            <w:r>
              <w:rPr>
                <w:rFonts w:ascii="inter" w:hAnsi="inter" w:eastAsia="inter" w:cs="inter"/>
                <w:color w:val="000000"/>
                <w:sz w:val="17"/>
                <w:u w:val="single"/>
                <w:vertAlign w:val="superscript"/>
              </w:rPr>
              <w:t>[22]</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1214B04">
            <w:pPr>
              <w:spacing w:after="0" w:line="360" w:lineRule="auto"/>
            </w:pPr>
            <w:r>
              <w:rPr>
                <w:rFonts w:ascii="inter" w:hAnsi="inter" w:eastAsia="inter" w:cs="inter"/>
                <w:color w:val="000000"/>
                <w:sz w:val="17"/>
              </w:rPr>
              <w:t>业界与社会资源</w:t>
            </w:r>
            <w:r>
              <w:fldChar w:fldCharType="begin"/>
            </w:r>
            <w:r>
              <w:instrText xml:space="preserve"> HYPERLINK \l "fn6" \h </w:instrText>
            </w:r>
            <w:r>
              <w:fldChar w:fldCharType="separate"/>
            </w:r>
            <w:r>
              <w:rPr>
                <w:rFonts w:ascii="inter" w:hAnsi="inter" w:eastAsia="inter" w:cs="inter"/>
                <w:color w:val="000000"/>
                <w:sz w:val="17"/>
                <w:u w:val="single"/>
                <w:vertAlign w:val="superscript"/>
              </w:rPr>
              <w:t>[6]</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r>
      <w:tr w14:paraId="37ABEB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4EB7A9D">
            <w:pPr>
              <w:spacing w:after="0" w:line="360" w:lineRule="auto"/>
            </w:pPr>
            <w:r>
              <w:rPr>
                <w:rFonts w:ascii="inter" w:hAnsi="inter" w:eastAsia="inter" w:cs="inter"/>
                <w:color w:val="000000"/>
                <w:sz w:val="17"/>
              </w:rPr>
              <w:t>课程视频与课例</w:t>
            </w:r>
          </w:p>
        </w:tc>
        <w:tc>
          <w:tcPr>
            <w:tcBorders>
              <w:top w:val="single" w:color="000000" w:sz="0" w:space="0"/>
              <w:bottom w:val="single" w:color="000000" w:sz="0" w:space="0"/>
              <w:right w:val="single" w:color="000000" w:sz="0" w:space="0"/>
            </w:tcBorders>
          </w:tcPr>
          <w:p w14:paraId="22BBE2DD">
            <w:pPr>
              <w:spacing w:after="0" w:line="360" w:lineRule="auto"/>
            </w:pPr>
            <w:r>
              <w:rPr>
                <w:rFonts w:ascii="inter" w:hAnsi="inter" w:eastAsia="inter" w:cs="inter"/>
                <w:color w:val="000000"/>
                <w:sz w:val="17"/>
              </w:rPr>
              <w:t>录制课堂、微课制作</w:t>
            </w:r>
          </w:p>
        </w:tc>
        <w:tc>
          <w:tcPr>
            <w:tcBorders>
              <w:top w:val="single" w:color="000000" w:sz="0" w:space="0"/>
              <w:bottom w:val="single" w:color="000000" w:sz="0" w:space="0"/>
              <w:right w:val="single" w:color="000000" w:sz="0" w:space="0"/>
            </w:tcBorders>
          </w:tcPr>
          <w:p w14:paraId="1BA92B41">
            <w:pPr>
              <w:spacing w:after="0" w:line="360" w:lineRule="auto"/>
            </w:pPr>
            <w:r>
              <w:rPr>
                <w:rFonts w:ascii="inter" w:hAnsi="inter" w:eastAsia="inter" w:cs="inter"/>
                <w:color w:val="000000"/>
                <w:sz w:val="17"/>
              </w:rPr>
              <w:t>校内录播教室、教学发展中心技术支持</w:t>
            </w:r>
          </w:p>
        </w:tc>
        <w:tc>
          <w:tcPr>
            <w:tcBorders>
              <w:top w:val="single" w:color="000000" w:sz="0" w:space="0"/>
              <w:bottom w:val="single" w:color="000000" w:sz="0" w:space="0"/>
              <w:right w:val="single" w:color="000000" w:sz="0" w:space="0"/>
            </w:tcBorders>
          </w:tcPr>
          <w:p w14:paraId="48F304AC">
            <w:pPr>
              <w:spacing w:after="0" w:line="360" w:lineRule="auto"/>
            </w:pPr>
            <w:r>
              <w:rPr>
                <w:rFonts w:ascii="inter" w:hAnsi="inter" w:eastAsia="inter" w:cs="inter"/>
                <w:color w:val="000000"/>
                <w:sz w:val="17"/>
              </w:rPr>
              <w:t>国家精品课程、国家一流课程平台</w:t>
            </w:r>
          </w:p>
        </w:tc>
        <w:tc>
          <w:tcPr>
            <w:tcBorders>
              <w:top w:val="single" w:color="000000" w:sz="0" w:space="0"/>
              <w:bottom w:val="single" w:color="000000" w:sz="0" w:space="0"/>
            </w:tcBorders>
          </w:tcPr>
          <w:p w14:paraId="2BE804FF">
            <w:pPr>
              <w:spacing w:after="0" w:line="360" w:lineRule="auto"/>
            </w:pPr>
            <w:r>
              <w:rPr>
                <w:rFonts w:ascii="inter" w:hAnsi="inter" w:eastAsia="inter" w:cs="inter"/>
                <w:color w:val="000000"/>
                <w:sz w:val="17"/>
              </w:rPr>
              <w:t>企业开放课程、公开讲座</w:t>
            </w:r>
          </w:p>
        </w:tc>
      </w:tr>
      <w:tr w14:paraId="7C8E74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8D9C64E">
            <w:pPr>
              <w:spacing w:after="0" w:line="360" w:lineRule="auto"/>
            </w:pPr>
            <w:r>
              <w:rPr>
                <w:rFonts w:ascii="inter" w:hAnsi="inter" w:eastAsia="inter" w:cs="inter"/>
                <w:color w:val="000000"/>
                <w:sz w:val="17"/>
              </w:rPr>
              <w:t>教材与案例</w:t>
            </w:r>
          </w:p>
        </w:tc>
        <w:tc>
          <w:tcPr>
            <w:tcBorders>
              <w:top w:val="single" w:color="000000" w:sz="0" w:space="0"/>
              <w:bottom w:val="single" w:color="000000" w:sz="0" w:space="0"/>
              <w:right w:val="single" w:color="000000" w:sz="0" w:space="0"/>
            </w:tcBorders>
          </w:tcPr>
          <w:p w14:paraId="6A994172">
            <w:pPr>
              <w:spacing w:after="0" w:line="360" w:lineRule="auto"/>
            </w:pPr>
            <w:r>
              <w:rPr>
                <w:rFonts w:ascii="inter" w:hAnsi="inter" w:eastAsia="inter" w:cs="inter"/>
                <w:color w:val="000000"/>
                <w:sz w:val="17"/>
              </w:rPr>
              <w:t>自主编写讲义、案例开发</w:t>
            </w:r>
          </w:p>
        </w:tc>
        <w:tc>
          <w:tcPr>
            <w:tcBorders>
              <w:top w:val="single" w:color="000000" w:sz="0" w:space="0"/>
              <w:bottom w:val="single" w:color="000000" w:sz="0" w:space="0"/>
              <w:right w:val="single" w:color="000000" w:sz="0" w:space="0"/>
            </w:tcBorders>
          </w:tcPr>
          <w:p w14:paraId="3AF71263">
            <w:pPr>
              <w:spacing w:after="0" w:line="360" w:lineRule="auto"/>
            </w:pPr>
            <w:r>
              <w:rPr>
                <w:rFonts w:ascii="inter" w:hAnsi="inter" w:eastAsia="inter" w:cs="inter"/>
                <w:color w:val="000000"/>
                <w:sz w:val="17"/>
              </w:rPr>
              <w:t>校级案例库建设</w:t>
            </w:r>
          </w:p>
        </w:tc>
        <w:tc>
          <w:tcPr>
            <w:tcBorders>
              <w:top w:val="single" w:color="000000" w:sz="0" w:space="0"/>
              <w:bottom w:val="single" w:color="000000" w:sz="0" w:space="0"/>
              <w:right w:val="single" w:color="000000" w:sz="0" w:space="0"/>
            </w:tcBorders>
          </w:tcPr>
          <w:p w14:paraId="3B64582C">
            <w:pPr>
              <w:spacing w:after="0" w:line="360" w:lineRule="auto"/>
            </w:pPr>
            <w:r>
              <w:rPr>
                <w:rFonts w:ascii="inter" w:hAnsi="inter" w:eastAsia="inter" w:cs="inter"/>
                <w:color w:val="000000"/>
                <w:sz w:val="17"/>
              </w:rPr>
              <w:t>国家级案例库与教指委资源</w:t>
            </w:r>
          </w:p>
        </w:tc>
        <w:tc>
          <w:tcPr>
            <w:tcBorders>
              <w:top w:val="single" w:color="000000" w:sz="0" w:space="0"/>
              <w:bottom w:val="single" w:color="000000" w:sz="0" w:space="0"/>
            </w:tcBorders>
          </w:tcPr>
          <w:p w14:paraId="36A96BD8">
            <w:pPr>
              <w:spacing w:after="0" w:line="360" w:lineRule="auto"/>
            </w:pPr>
            <w:r>
              <w:rPr>
                <w:rFonts w:ascii="inter" w:hAnsi="inter" w:eastAsia="inter" w:cs="inter"/>
                <w:color w:val="000000"/>
                <w:sz w:val="17"/>
              </w:rPr>
              <w:t>行业报告、政策文件</w:t>
            </w:r>
          </w:p>
        </w:tc>
      </w:tr>
      <w:tr w14:paraId="1850CF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C98C3E5">
            <w:pPr>
              <w:spacing w:after="0" w:line="360" w:lineRule="auto"/>
            </w:pPr>
            <w:r>
              <w:rPr>
                <w:rFonts w:ascii="inter" w:hAnsi="inter" w:eastAsia="inter" w:cs="inter"/>
                <w:color w:val="000000"/>
                <w:sz w:val="17"/>
              </w:rPr>
              <w:t>虚拟仿真与实践</w:t>
            </w:r>
          </w:p>
        </w:tc>
        <w:tc>
          <w:tcPr>
            <w:tcBorders>
              <w:top w:val="single" w:color="000000" w:sz="0" w:space="0"/>
              <w:bottom w:val="single" w:color="000000" w:sz="0" w:space="0"/>
              <w:right w:val="single" w:color="000000" w:sz="0" w:space="0"/>
            </w:tcBorders>
          </w:tcPr>
          <w:p w14:paraId="0B143EDF">
            <w:pPr>
              <w:spacing w:after="0" w:line="360" w:lineRule="auto"/>
            </w:pPr>
            <w:r>
              <w:rPr>
                <w:rFonts w:ascii="inter" w:hAnsi="inter" w:eastAsia="inter" w:cs="inter"/>
                <w:color w:val="000000"/>
                <w:sz w:val="17"/>
              </w:rPr>
              <w:t>自建小规模仿真项目</w:t>
            </w:r>
          </w:p>
        </w:tc>
        <w:tc>
          <w:tcPr>
            <w:tcBorders>
              <w:top w:val="single" w:color="000000" w:sz="0" w:space="0"/>
              <w:bottom w:val="single" w:color="000000" w:sz="0" w:space="0"/>
              <w:right w:val="single" w:color="000000" w:sz="0" w:space="0"/>
            </w:tcBorders>
          </w:tcPr>
          <w:p w14:paraId="1752C502">
            <w:pPr>
              <w:spacing w:after="0" w:line="360" w:lineRule="auto"/>
            </w:pPr>
            <w:r>
              <w:rPr>
                <w:rFonts w:ascii="inter" w:hAnsi="inter" w:eastAsia="inter" w:cs="inter"/>
                <w:color w:val="000000"/>
                <w:sz w:val="17"/>
              </w:rPr>
              <w:t>校级虚拟仿真实验中心</w:t>
            </w:r>
          </w:p>
        </w:tc>
        <w:tc>
          <w:tcPr>
            <w:tcBorders>
              <w:top w:val="single" w:color="000000" w:sz="0" w:space="0"/>
              <w:bottom w:val="single" w:color="000000" w:sz="0" w:space="0"/>
              <w:right w:val="single" w:color="000000" w:sz="0" w:space="0"/>
            </w:tcBorders>
          </w:tcPr>
          <w:p w14:paraId="662A96F0">
            <w:pPr>
              <w:spacing w:after="0" w:line="360" w:lineRule="auto"/>
            </w:pPr>
            <w:r>
              <w:rPr>
                <w:rFonts w:ascii="inter" w:hAnsi="inter" w:eastAsia="inter" w:cs="inter"/>
                <w:color w:val="000000"/>
                <w:sz w:val="17"/>
              </w:rPr>
              <w:t>国家级虚拟仿真项目、示范中心</w:t>
            </w:r>
          </w:p>
        </w:tc>
        <w:tc>
          <w:tcPr>
            <w:tcBorders>
              <w:top w:val="single" w:color="000000" w:sz="0" w:space="0"/>
              <w:bottom w:val="single" w:color="000000" w:sz="0" w:space="0"/>
            </w:tcBorders>
          </w:tcPr>
          <w:p w14:paraId="376AF454">
            <w:pPr>
              <w:spacing w:after="0" w:line="360" w:lineRule="auto"/>
            </w:pPr>
            <w:r>
              <w:rPr>
                <w:rFonts w:ascii="inter" w:hAnsi="inter" w:eastAsia="inter" w:cs="inter"/>
                <w:color w:val="000000"/>
                <w:sz w:val="17"/>
              </w:rPr>
              <w:t>企业仿真软件、实验基地</w:t>
            </w:r>
          </w:p>
        </w:tc>
      </w:tr>
      <w:tr w14:paraId="17DF13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53708F2">
            <w:pPr>
              <w:spacing w:after="0" w:line="360" w:lineRule="auto"/>
            </w:pPr>
            <w:r>
              <w:rPr>
                <w:rFonts w:ascii="inter" w:hAnsi="inter" w:eastAsia="inter" w:cs="inter"/>
                <w:color w:val="000000"/>
                <w:sz w:val="17"/>
              </w:rPr>
              <w:t>测评与题库</w:t>
            </w:r>
          </w:p>
        </w:tc>
        <w:tc>
          <w:tcPr>
            <w:tcBorders>
              <w:top w:val="single" w:color="000000" w:sz="0" w:space="0"/>
              <w:bottom w:val="single" w:color="000000" w:sz="0" w:space="0"/>
              <w:right w:val="single" w:color="000000" w:sz="0" w:space="0"/>
            </w:tcBorders>
          </w:tcPr>
          <w:p w14:paraId="26388976">
            <w:pPr>
              <w:spacing w:after="0" w:line="360" w:lineRule="auto"/>
            </w:pPr>
            <w:r>
              <w:rPr>
                <w:rFonts w:ascii="inter" w:hAnsi="inter" w:eastAsia="inter" w:cs="inter"/>
                <w:color w:val="000000"/>
                <w:sz w:val="17"/>
              </w:rPr>
              <w:t>教师自建题库</w:t>
            </w:r>
          </w:p>
        </w:tc>
        <w:tc>
          <w:tcPr>
            <w:tcBorders>
              <w:top w:val="single" w:color="000000" w:sz="0" w:space="0"/>
              <w:bottom w:val="single" w:color="000000" w:sz="0" w:space="0"/>
              <w:right w:val="single" w:color="000000" w:sz="0" w:space="0"/>
            </w:tcBorders>
          </w:tcPr>
          <w:p w14:paraId="5A8D2662">
            <w:pPr>
              <w:spacing w:after="0" w:line="360" w:lineRule="auto"/>
            </w:pPr>
            <w:r>
              <w:rPr>
                <w:rFonts w:ascii="inter" w:hAnsi="inter" w:eastAsia="inter" w:cs="inter"/>
                <w:color w:val="000000"/>
                <w:sz w:val="17"/>
              </w:rPr>
              <w:t>校级在线学习平台</w:t>
            </w:r>
          </w:p>
        </w:tc>
        <w:tc>
          <w:tcPr>
            <w:tcBorders>
              <w:top w:val="single" w:color="000000" w:sz="0" w:space="0"/>
              <w:bottom w:val="single" w:color="000000" w:sz="0" w:space="0"/>
              <w:right w:val="single" w:color="000000" w:sz="0" w:space="0"/>
            </w:tcBorders>
          </w:tcPr>
          <w:p w14:paraId="021E629D">
            <w:pPr>
              <w:spacing w:after="0" w:line="360" w:lineRule="auto"/>
            </w:pPr>
            <w:r>
              <w:rPr>
                <w:rFonts w:ascii="inter" w:hAnsi="inter" w:eastAsia="inter" w:cs="inter"/>
                <w:color w:val="000000"/>
                <w:sz w:val="17"/>
              </w:rPr>
              <w:t>区域共享题库、国赛训练平台</w:t>
            </w:r>
          </w:p>
        </w:tc>
        <w:tc>
          <w:tcPr>
            <w:tcBorders>
              <w:top w:val="single" w:color="000000" w:sz="0" w:space="0"/>
              <w:bottom w:val="single" w:color="000000" w:sz="0" w:space="0"/>
            </w:tcBorders>
          </w:tcPr>
          <w:p w14:paraId="5BCB038F">
            <w:pPr>
              <w:spacing w:after="0" w:line="360" w:lineRule="auto"/>
            </w:pPr>
            <w:r>
              <w:rPr>
                <w:rFonts w:ascii="inter" w:hAnsi="inter" w:eastAsia="inter" w:cs="inter"/>
                <w:color w:val="000000"/>
                <w:sz w:val="17"/>
              </w:rPr>
              <w:t>职业资格考试题库</w:t>
            </w:r>
          </w:p>
        </w:tc>
      </w:tr>
      <w:tr w14:paraId="072632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60D635">
            <w:pPr>
              <w:spacing w:after="0" w:line="360" w:lineRule="auto"/>
            </w:pPr>
            <w:r>
              <w:rPr>
                <w:rFonts w:ascii="inter" w:hAnsi="inter" w:eastAsia="inter" w:cs="inter"/>
                <w:color w:val="000000"/>
                <w:sz w:val="17"/>
              </w:rPr>
              <w:t>学习分析与数据</w:t>
            </w:r>
          </w:p>
        </w:tc>
        <w:tc>
          <w:tcPr>
            <w:tcBorders>
              <w:top w:val="single" w:color="000000" w:sz="0" w:space="0"/>
              <w:bottom w:val="single" w:color="000000" w:sz="0" w:space="0"/>
              <w:right w:val="single" w:color="000000" w:sz="0" w:space="0"/>
            </w:tcBorders>
          </w:tcPr>
          <w:p w14:paraId="038FBC78">
            <w:pPr>
              <w:spacing w:after="0" w:line="360" w:lineRule="auto"/>
            </w:pPr>
            <w:r>
              <w:rPr>
                <w:rFonts w:ascii="inter" w:hAnsi="inter" w:eastAsia="inter" w:cs="inter"/>
                <w:color w:val="000000"/>
                <w:sz w:val="17"/>
              </w:rPr>
              <w:t>平台导出原始数据</w:t>
            </w:r>
          </w:p>
        </w:tc>
        <w:tc>
          <w:tcPr>
            <w:tcBorders>
              <w:top w:val="single" w:color="000000" w:sz="0" w:space="0"/>
              <w:bottom w:val="single" w:color="000000" w:sz="0" w:space="0"/>
              <w:right w:val="single" w:color="000000" w:sz="0" w:space="0"/>
            </w:tcBorders>
          </w:tcPr>
          <w:p w14:paraId="4D049D50">
            <w:pPr>
              <w:spacing w:after="0" w:line="360" w:lineRule="auto"/>
            </w:pPr>
            <w:r>
              <w:rPr>
                <w:rFonts w:ascii="inter" w:hAnsi="inter" w:eastAsia="inter" w:cs="inter"/>
                <w:color w:val="000000"/>
                <w:sz w:val="17"/>
              </w:rPr>
              <w:t>校级数据中台、教务数据</w:t>
            </w:r>
          </w:p>
        </w:tc>
        <w:tc>
          <w:tcPr>
            <w:tcBorders>
              <w:top w:val="single" w:color="000000" w:sz="0" w:space="0"/>
              <w:bottom w:val="single" w:color="000000" w:sz="0" w:space="0"/>
              <w:right w:val="single" w:color="000000" w:sz="0" w:space="0"/>
            </w:tcBorders>
          </w:tcPr>
          <w:p w14:paraId="3482341E">
            <w:pPr>
              <w:spacing w:after="0" w:line="360" w:lineRule="auto"/>
            </w:pPr>
            <w:r>
              <w:rPr>
                <w:rFonts w:ascii="inter" w:hAnsi="inter" w:eastAsia="inter" w:cs="inter"/>
                <w:color w:val="000000"/>
                <w:sz w:val="17"/>
              </w:rPr>
              <w:t>国家级学习大数据平台（探索中）</w:t>
            </w:r>
          </w:p>
        </w:tc>
        <w:tc>
          <w:tcPr>
            <w:tcBorders>
              <w:top w:val="single" w:color="000000" w:sz="0" w:space="0"/>
              <w:bottom w:val="single" w:color="000000" w:sz="0" w:space="0"/>
            </w:tcBorders>
          </w:tcPr>
          <w:p w14:paraId="0040B8FE">
            <w:pPr>
              <w:spacing w:after="0" w:line="360" w:lineRule="auto"/>
            </w:pPr>
            <w:r>
              <w:rPr>
                <w:rFonts w:ascii="inter" w:hAnsi="inter" w:eastAsia="inter" w:cs="inter"/>
                <w:color w:val="000000"/>
                <w:sz w:val="17"/>
              </w:rPr>
              <w:t>第三方学习工具数据</w:t>
            </w:r>
          </w:p>
        </w:tc>
      </w:tr>
    </w:tbl>
    <w:p w14:paraId="75E6732D"/>
    <w:p w14:paraId="65754D14">
      <w:pPr>
        <w:spacing w:after="210" w:line="360" w:lineRule="auto"/>
      </w:pPr>
      <w:r>
        <w:rPr>
          <w:rFonts w:ascii="inter" w:hAnsi="inter" w:eastAsia="inter" w:cs="inter"/>
          <w:color w:val="000000"/>
        </w:rPr>
        <w:t>据中国高等教育学会发布的竞赛清单与相关数据平台信息，全国高校学生竞赛与教师发展数据平台已初步搭建起跨校共享机制，为教师教学竞赛和课程资源提供在线支撑。</w:t>
      </w:r>
      <w:bookmarkStart w:id="130" w:name="fnref2_4"/>
      <w:bookmarkEnd w:id="13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31" w:name="fnref21_1"/>
      <w:bookmarkEnd w:id="131"/>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132" w:name="fnref22_1"/>
      <w:bookmarkEnd w:id="132"/>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2FB02D70">
      <w:pPr>
        <w:spacing w:before="315" w:after="105" w:line="360" w:lineRule="auto"/>
        <w:ind w:left="-30"/>
        <w:jc w:val="left"/>
      </w:pPr>
      <w:bookmarkStart w:id="133" w:name="三_资源生产与维护机制"/>
      <w:r>
        <w:rPr>
          <w:rFonts w:ascii="inter" w:hAnsi="inter" w:eastAsia="inter" w:cs="inter"/>
          <w:b/>
          <w:color w:val="000000"/>
          <w:sz w:val="24"/>
        </w:rPr>
        <w:t>（三）资源生产与维护机制</w:t>
      </w:r>
      <w:bookmarkEnd w:id="133"/>
    </w:p>
    <w:p w14:paraId="51506EA7">
      <w:pPr>
        <w:numPr>
          <w:ilvl w:val="0"/>
          <w:numId w:val="13"/>
        </w:numPr>
        <w:spacing w:after="210" w:line="360" w:lineRule="auto"/>
      </w:pPr>
      <w:r>
        <w:rPr>
          <w:rFonts w:ascii="inter" w:hAnsi="inter" w:eastAsia="inter" w:cs="inter"/>
          <w:color w:val="000000"/>
          <w:sz w:val="21"/>
        </w:rPr>
        <w:t>“赛事—项目—课程”的联动机制</w:t>
      </w:r>
      <w:r>
        <w:rPr>
          <w:rFonts w:ascii="inter" w:hAnsi="inter" w:eastAsia="inter" w:cs="inter"/>
          <w:color w:val="000000"/>
          <w:sz w:val="21"/>
        </w:rPr>
        <w:br w:type="textWrapping"/>
      </w:r>
      <w:r>
        <w:rPr>
          <w:rFonts w:ascii="inter" w:hAnsi="inter" w:eastAsia="inter" w:cs="inter"/>
          <w:color w:val="000000"/>
          <w:sz w:val="21"/>
        </w:rPr>
        <w:t>多所高校将教师获奖课程与国家和省级一流课程、教学改革项目、公费培训项目等进行联动，将竞赛过程形成的资源系统化沉淀到课程建设与专业认证中。</w:t>
      </w:r>
      <w:bookmarkStart w:id="134" w:name="fnref1_5"/>
      <w:bookmarkEnd w:id="13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35" w:name="fnref3_2"/>
      <w:bookmarkEnd w:id="135"/>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136" w:name="fnref6_20"/>
      <w:bookmarkEnd w:id="136"/>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37" w:name="fnref7_11"/>
      <w:bookmarkEnd w:id="13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这种机制在一定程度上缓解了竞赛资源“用后即弃”的风险，有助于形成“赛事驱动—项目支撑—课程落地”的资源生产链条。</w:t>
      </w:r>
    </w:p>
    <w:p w14:paraId="7D7E36F5">
      <w:pPr>
        <w:numPr>
          <w:ilvl w:val="0"/>
          <w:numId w:val="13"/>
        </w:numPr>
        <w:spacing w:after="210" w:line="360" w:lineRule="auto"/>
      </w:pPr>
      <w:r>
        <w:rPr>
          <w:rFonts w:ascii="inter" w:hAnsi="inter" w:eastAsia="inter" w:cs="inter"/>
          <w:color w:val="000000"/>
          <w:sz w:val="21"/>
        </w:rPr>
        <w:t>开放共享与知识产权平衡</w:t>
      </w:r>
      <w:r>
        <w:rPr>
          <w:rFonts w:ascii="inter" w:hAnsi="inter" w:eastAsia="inter" w:cs="inter"/>
          <w:color w:val="000000"/>
          <w:sz w:val="21"/>
        </w:rPr>
        <w:br w:type="textWrapping"/>
      </w:r>
      <w:r>
        <w:rPr>
          <w:rFonts w:ascii="inter" w:hAnsi="inter" w:eastAsia="inter" w:cs="inter"/>
          <w:color w:val="000000"/>
          <w:sz w:val="21"/>
        </w:rPr>
        <w:t>在推进资源共享方面，中国高等教育学会与多家平台倡导基于知识产权保护框架下的开放共享，鼓励高校通过国家精品在线开放课程平台、区域联盟平台分享课程资源。</w:t>
      </w:r>
      <w:bookmarkStart w:id="138" w:name="fnref2_5"/>
      <w:bookmarkEnd w:id="138"/>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139" w:name="fnref21_2"/>
      <w:bookmarkEnd w:id="139"/>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140" w:name="fnref22_2"/>
      <w:bookmarkEnd w:id="140"/>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r>
        <w:rPr>
          <w:rFonts w:ascii="inter" w:hAnsi="inter" w:eastAsia="inter" w:cs="inter"/>
          <w:color w:val="000000"/>
          <w:sz w:val="21"/>
        </w:rPr>
        <w:br w:type="textWrapping"/>
      </w:r>
      <w:r>
        <w:rPr>
          <w:rFonts w:ascii="inter" w:hAnsi="inter" w:eastAsia="inter" w:cs="inter"/>
          <w:color w:val="000000"/>
          <w:sz w:val="21"/>
        </w:rPr>
        <w:t>但在实际操作中，部分高校仍因知识产权、竞争优势等考量对核心资源持谨慎态度，导致全国一等奖课程的完整资源生态尚未实现广泛开放。</w:t>
      </w:r>
    </w:p>
    <w:p w14:paraId="7357F8C9">
      <w:pPr>
        <w:spacing w:before="315" w:after="105" w:line="360" w:lineRule="auto"/>
        <w:ind w:left="-30"/>
        <w:jc w:val="left"/>
      </w:pPr>
      <w:bookmarkStart w:id="141" w:name="四_潜在局限与边界"/>
      <w:r>
        <w:rPr>
          <w:rFonts w:ascii="inter" w:hAnsi="inter" w:eastAsia="inter" w:cs="inter"/>
          <w:b/>
          <w:color w:val="000000"/>
          <w:sz w:val="24"/>
        </w:rPr>
        <w:t>（四）潜在局限与边界</w:t>
      </w:r>
      <w:bookmarkEnd w:id="141"/>
    </w:p>
    <w:p w14:paraId="34C2957E">
      <w:pPr>
        <w:numPr>
          <w:ilvl w:val="0"/>
          <w:numId w:val="14"/>
        </w:numPr>
        <w:spacing w:after="210" w:line="360" w:lineRule="auto"/>
      </w:pPr>
      <w:r>
        <w:rPr>
          <w:rFonts w:ascii="inter" w:hAnsi="inter" w:eastAsia="inter" w:cs="inter"/>
          <w:color w:val="000000"/>
          <w:sz w:val="21"/>
        </w:rPr>
        <w:t>高成本与可持续性问题</w:t>
      </w:r>
      <w:r>
        <w:rPr>
          <w:rFonts w:ascii="inter" w:hAnsi="inter" w:eastAsia="inter" w:cs="inter"/>
          <w:color w:val="000000"/>
          <w:sz w:val="21"/>
        </w:rPr>
        <w:br w:type="textWrapping"/>
      </w:r>
      <w:r>
        <w:rPr>
          <w:rFonts w:ascii="inter" w:hAnsi="inter" w:eastAsia="inter" w:cs="inter"/>
          <w:color w:val="000000"/>
          <w:sz w:val="21"/>
        </w:rPr>
        <w:t>一等奖课程的资源生产成本普遍较高，若缺乏持续的经费与团队支撑，资源维护更新容易滞后，难以持续保持前沿性。这在技术更新快速的工科和信息类课程中尤为突出。</w:t>
      </w:r>
      <w:bookmarkStart w:id="142" w:name="fnref6_21"/>
      <w:bookmarkEnd w:id="142"/>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43" w:name="fnref23"/>
      <w:bookmarkEnd w:id="143"/>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144" w:name="fnref19_1"/>
      <w:bookmarkEnd w:id="144"/>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7069D4A3">
      <w:pPr>
        <w:numPr>
          <w:ilvl w:val="0"/>
          <w:numId w:val="14"/>
        </w:numPr>
        <w:spacing w:after="210" w:line="360" w:lineRule="auto"/>
      </w:pPr>
      <w:r>
        <w:rPr>
          <w:rFonts w:ascii="inter" w:hAnsi="inter" w:eastAsia="inter" w:cs="inter"/>
          <w:color w:val="000000"/>
          <w:sz w:val="21"/>
        </w:rPr>
        <w:t>校际共享的不均衡</w:t>
      </w:r>
      <w:r>
        <w:rPr>
          <w:rFonts w:ascii="inter" w:hAnsi="inter" w:eastAsia="inter" w:cs="inter"/>
          <w:color w:val="000000"/>
          <w:sz w:val="21"/>
        </w:rPr>
        <w:br w:type="textWrapping"/>
      </w:r>
      <w:r>
        <w:rPr>
          <w:rFonts w:ascii="inter" w:hAnsi="inter" w:eastAsia="inter" w:cs="inter"/>
          <w:color w:val="000000"/>
          <w:sz w:val="21"/>
        </w:rPr>
        <w:t>当前资源开放共享仍呈现“头部高校集中贡献，中西部及地方高校受益有限”的结构特征，世界银行与国内报告均强调，若不通过制度设计和财政支持改善区域与校际差距，竞赛驱动型创新可能加剧高等教育不平衡。</w:t>
      </w:r>
      <w:bookmarkStart w:id="145" w:name="fnref1_6"/>
      <w:bookmarkEnd w:id="145"/>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46" w:name="fnref3_3"/>
      <w:bookmarkEnd w:id="146"/>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147" w:name="fnref8_9"/>
      <w:bookmarkEnd w:id="147"/>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9163181">
      <w:pPr>
        <w:numPr>
          <w:ilvl w:val="0"/>
          <w:numId w:val="14"/>
        </w:numPr>
        <w:spacing w:after="210" w:line="360" w:lineRule="auto"/>
      </w:pPr>
      <w:r>
        <w:rPr>
          <w:rFonts w:ascii="inter" w:hAnsi="inter" w:eastAsia="inter" w:cs="inter"/>
          <w:color w:val="000000"/>
          <w:sz w:val="21"/>
        </w:rPr>
        <w:t>最佳适用条件与边界</w:t>
      </w:r>
      <w:r>
        <w:rPr>
          <w:rFonts w:ascii="inter" w:hAnsi="inter" w:eastAsia="inter" w:cs="inter"/>
          <w:color w:val="000000"/>
          <w:sz w:val="21"/>
        </w:rPr>
        <w:br w:type="textWrapping"/>
      </w:r>
      <w:r>
        <w:rPr>
          <w:rFonts w:ascii="inter" w:hAnsi="inter" w:eastAsia="inter" w:cs="inter"/>
          <w:color w:val="000000"/>
          <w:sz w:val="21"/>
        </w:rPr>
        <w:t>完整复制一等奖课程资源生态更适用于：</w:t>
      </w:r>
    </w:p>
    <w:p w14:paraId="29C1C0A7">
      <w:pPr>
        <w:numPr>
          <w:ilvl w:val="1"/>
          <w:numId w:val="14"/>
        </w:numPr>
        <w:spacing w:before="105" w:after="105" w:line="360" w:lineRule="auto"/>
      </w:pPr>
      <w:r>
        <w:rPr>
          <w:rFonts w:ascii="inter" w:hAnsi="inter" w:eastAsia="inter" w:cs="inter"/>
          <w:color w:val="000000"/>
          <w:sz w:val="21"/>
        </w:rPr>
        <w:t>具备较强信息化基础与教学支持队伍的高校；</w:t>
      </w:r>
    </w:p>
    <w:p w14:paraId="45D1452B">
      <w:pPr>
        <w:numPr>
          <w:ilvl w:val="1"/>
          <w:numId w:val="14"/>
        </w:numPr>
        <w:spacing w:before="105" w:after="105" w:line="360" w:lineRule="auto"/>
      </w:pPr>
      <w:r>
        <w:rPr>
          <w:rFonts w:ascii="inter" w:hAnsi="inter" w:eastAsia="inter" w:cs="inter"/>
          <w:color w:val="000000"/>
          <w:sz w:val="21"/>
        </w:rPr>
        <w:t>有稳定教学团队和经常性项目支持的课程群；</w:t>
      </w:r>
    </w:p>
    <w:p w14:paraId="0D87617C">
      <w:pPr>
        <w:numPr>
          <w:ilvl w:val="1"/>
          <w:numId w:val="14"/>
        </w:numPr>
        <w:spacing w:before="105" w:after="105" w:line="360" w:lineRule="auto"/>
      </w:pPr>
      <w:r>
        <w:rPr>
          <w:rFonts w:ascii="inter" w:hAnsi="inter" w:eastAsia="inter" w:cs="inter"/>
          <w:color w:val="000000"/>
          <w:sz w:val="21"/>
        </w:rPr>
        <w:t>面向全国开放共享、承担示范任务的标杆院校。</w:t>
      </w:r>
      <w:r>
        <w:rPr>
          <w:rFonts w:ascii="inter" w:hAnsi="inter" w:eastAsia="inter" w:cs="inter"/>
          <w:color w:val="000000"/>
          <w:sz w:val="21"/>
        </w:rPr>
        <w:br w:type="textWrapping"/>
      </w:r>
      <w:r>
        <w:rPr>
          <w:rFonts w:ascii="inter" w:hAnsi="inter" w:eastAsia="inter" w:cs="inter"/>
          <w:color w:val="000000"/>
          <w:sz w:val="21"/>
        </w:rPr>
        <w:t>对于资源条件有限的高校，建议采取“轻量级资源生态策略”，如先聚焦高质量课例视频与典型任务包建设，再逐步扩展到虚拟仿真与学习分析系统。</w:t>
      </w:r>
    </w:p>
    <w:p w14:paraId="260A5553">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6F8E08A8">
      <w:pPr>
        <w:spacing w:before="315" w:after="105" w:line="360" w:lineRule="auto"/>
        <w:ind w:left="-30"/>
        <w:jc w:val="left"/>
      </w:pPr>
      <w:bookmarkStart w:id="148" w:name="六_教学设计流程与典型路径_从一等奖样本到可复制方案"/>
      <w:r>
        <w:rPr>
          <w:rFonts w:ascii="inter" w:hAnsi="inter" w:eastAsia="inter" w:cs="inter"/>
          <w:b/>
          <w:color w:val="000000"/>
          <w:sz w:val="24"/>
        </w:rPr>
        <w:t>六、教学设计流程与典型路径：从一等奖样本到可复制方案</w:t>
      </w:r>
      <w:bookmarkEnd w:id="148"/>
    </w:p>
    <w:p w14:paraId="46A1F029">
      <w:pPr>
        <w:spacing w:before="315" w:after="105" w:line="360" w:lineRule="auto"/>
        <w:ind w:left="-30"/>
        <w:jc w:val="left"/>
      </w:pPr>
      <w:bookmarkStart w:id="149" w:name="一_逆向教学设计与课程重构路径"/>
      <w:r>
        <w:rPr>
          <w:rFonts w:ascii="inter" w:hAnsi="inter" w:eastAsia="inter" w:cs="inter"/>
          <w:b/>
          <w:color w:val="000000"/>
          <w:sz w:val="24"/>
        </w:rPr>
        <w:t>（一）逆向教学设计与课程重构路径</w:t>
      </w:r>
      <w:bookmarkEnd w:id="149"/>
    </w:p>
    <w:p w14:paraId="72AC9475">
      <w:pPr>
        <w:spacing w:after="210" w:line="360" w:lineRule="auto"/>
      </w:pPr>
      <w:r>
        <w:rPr>
          <w:rFonts w:ascii="inter" w:hAnsi="inter" w:eastAsia="inter" w:cs="inter"/>
          <w:color w:val="000000"/>
        </w:rPr>
        <w:t>据华南师范大学“面向精准教学的逆向教学设计模式构建与实证研究”指出，逆向教学设计通常包含三个步骤：一是明确期望结果（目标）；二是确定可接受的证据（评价）；三是规划学习经历与教学活动。一等奖课程普遍体现了这一逻辑。</w:t>
      </w:r>
      <w:bookmarkStart w:id="150" w:name="fnref17_5"/>
      <w:bookmarkEnd w:id="15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6F0C01C1">
      <w:pPr>
        <w:spacing w:after="210" w:line="360" w:lineRule="auto"/>
      </w:pPr>
      <w:r>
        <w:rPr>
          <w:rFonts w:ascii="inter" w:hAnsi="inter" w:eastAsia="inter" w:cs="inter"/>
          <w:color w:val="000000"/>
        </w:rPr>
        <w:t>在此基础上，可抽象出适用于创新赛导向的一般化教学设计流程（文字示意）：</w:t>
      </w:r>
    </w:p>
    <w:p w14:paraId="196A5E5D">
      <w:pPr>
        <w:numPr>
          <w:ilvl w:val="0"/>
          <w:numId w:val="15"/>
        </w:numPr>
        <w:spacing w:before="105" w:after="105" w:line="360" w:lineRule="auto"/>
      </w:pPr>
      <w:r>
        <w:rPr>
          <w:rFonts w:ascii="inter" w:hAnsi="inter" w:eastAsia="inter" w:cs="inter"/>
          <w:color w:val="000000"/>
          <w:sz w:val="21"/>
        </w:rPr>
        <w:t>明确对接“四新建设”与课程思政的总体目标。</w:t>
      </w:r>
    </w:p>
    <w:p w14:paraId="7E500CCB">
      <w:pPr>
        <w:numPr>
          <w:ilvl w:val="0"/>
          <w:numId w:val="15"/>
        </w:numPr>
        <w:spacing w:before="105" w:after="105" w:line="360" w:lineRule="auto"/>
      </w:pPr>
      <w:r>
        <w:rPr>
          <w:rFonts w:ascii="inter" w:hAnsi="inter" w:eastAsia="inter" w:cs="inter"/>
          <w:color w:val="000000"/>
          <w:sz w:val="21"/>
        </w:rPr>
        <w:t>基于专业认证与学科核心素养要求，重构课程学习结果框架。</w:t>
      </w:r>
    </w:p>
    <w:p w14:paraId="09959B0E">
      <w:pPr>
        <w:numPr>
          <w:ilvl w:val="0"/>
          <w:numId w:val="15"/>
        </w:numPr>
        <w:spacing w:before="105" w:after="105" w:line="360" w:lineRule="auto"/>
      </w:pPr>
      <w:r>
        <w:rPr>
          <w:rFonts w:ascii="inter" w:hAnsi="inter" w:eastAsia="inter" w:cs="inter"/>
          <w:color w:val="000000"/>
          <w:sz w:val="21"/>
        </w:rPr>
        <w:t>设计多元评价任务与学习证据链（含过程与结果）。</w:t>
      </w:r>
    </w:p>
    <w:p w14:paraId="2A67CD70">
      <w:pPr>
        <w:numPr>
          <w:ilvl w:val="0"/>
          <w:numId w:val="15"/>
        </w:numPr>
        <w:spacing w:before="105" w:after="105" w:line="360" w:lineRule="auto"/>
      </w:pPr>
      <w:r>
        <w:rPr>
          <w:rFonts w:ascii="inter" w:hAnsi="inter" w:eastAsia="inter" w:cs="inter"/>
          <w:color w:val="000000"/>
          <w:sz w:val="21"/>
        </w:rPr>
        <w:t>围绕评价任务逆向重组教学内容与学习活动。</w:t>
      </w:r>
    </w:p>
    <w:p w14:paraId="16018128">
      <w:pPr>
        <w:numPr>
          <w:ilvl w:val="0"/>
          <w:numId w:val="15"/>
        </w:numPr>
        <w:spacing w:before="105" w:after="105" w:line="360" w:lineRule="auto"/>
      </w:pPr>
      <w:r>
        <w:rPr>
          <w:rFonts w:ascii="inter" w:hAnsi="inter" w:eastAsia="inter" w:cs="inter"/>
          <w:color w:val="000000"/>
          <w:sz w:val="21"/>
        </w:rPr>
        <w:t>选择与开发多模态教学资源与数字平台支持。</w:t>
      </w:r>
    </w:p>
    <w:p w14:paraId="2CFFDB14">
      <w:pPr>
        <w:numPr>
          <w:ilvl w:val="0"/>
          <w:numId w:val="15"/>
        </w:numPr>
        <w:spacing w:before="105" w:after="105" w:line="360" w:lineRule="auto"/>
      </w:pPr>
      <w:r>
        <w:rPr>
          <w:rFonts w:ascii="inter" w:hAnsi="inter" w:eastAsia="inter" w:cs="inter"/>
          <w:color w:val="000000"/>
          <w:sz w:val="21"/>
        </w:rPr>
        <w:t>开展形成性评价与学习分析，实施精准教学干预。</w:t>
      </w:r>
    </w:p>
    <w:p w14:paraId="3A12E9C1">
      <w:pPr>
        <w:numPr>
          <w:ilvl w:val="0"/>
          <w:numId w:val="15"/>
        </w:numPr>
        <w:spacing w:before="105" w:after="105" w:line="360" w:lineRule="auto"/>
      </w:pPr>
      <w:r>
        <w:rPr>
          <w:rFonts w:ascii="inter" w:hAnsi="inter" w:eastAsia="inter" w:cs="inter"/>
          <w:color w:val="000000"/>
          <w:sz w:val="21"/>
        </w:rPr>
        <w:t>基于数据与反思进行课程持续改进。</w:t>
      </w:r>
    </w:p>
    <w:p w14:paraId="2A5B9055">
      <w:pPr>
        <w:spacing w:after="210" w:line="360" w:lineRule="auto"/>
      </w:pPr>
      <w:r>
        <w:rPr>
          <w:rFonts w:ascii="inter" w:hAnsi="inter" w:eastAsia="inter" w:cs="inter"/>
          <w:color w:val="000000"/>
        </w:rPr>
        <w:t>这一流程与创新赛评审中对“教学创新成果报告”和“教学设计创新汇报”的结构要求高度一致。</w:t>
      </w:r>
      <w:bookmarkStart w:id="151" w:name="fnref4_15"/>
      <w:bookmarkEnd w:id="15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52" w:name="fnref5_6"/>
      <w:bookmarkEnd w:id="15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53" w:name="fnref6_22"/>
      <w:bookmarkEnd w:id="15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5C05B1DE">
      <w:pPr>
        <w:spacing w:before="315" w:after="105" w:line="360" w:lineRule="auto"/>
        <w:ind w:left="-30"/>
        <w:jc w:val="left"/>
      </w:pPr>
      <w:bookmarkStart w:id="154" w:name="二_课堂微观设计与教学片段打磨路径"/>
      <w:r>
        <w:rPr>
          <w:rFonts w:ascii="inter" w:hAnsi="inter" w:eastAsia="inter" w:cs="inter"/>
          <w:b/>
          <w:color w:val="000000"/>
          <w:sz w:val="24"/>
        </w:rPr>
        <w:t>（二）课堂微观设计与教学片段打磨路径</w:t>
      </w:r>
      <w:bookmarkEnd w:id="154"/>
    </w:p>
    <w:p w14:paraId="3AEE36A6">
      <w:pPr>
        <w:spacing w:after="210" w:line="360" w:lineRule="auto"/>
      </w:pPr>
      <w:r>
        <w:rPr>
          <w:rFonts w:ascii="inter" w:hAnsi="inter" w:eastAsia="inter" w:cs="inter"/>
          <w:color w:val="000000"/>
        </w:rPr>
        <w:t>青教赛一等奖教师的经验普遍表明，微观课堂设计的典型路径包括：</w:t>
      </w:r>
      <w:bookmarkStart w:id="155" w:name="fnref16_5"/>
      <w:bookmarkEnd w:id="15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156" w:name="fnref10_10"/>
      <w:bookmarkEnd w:id="15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57" w:name="fnref12_10"/>
      <w:bookmarkEnd w:id="157"/>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158" w:name="fnref13_12"/>
      <w:bookmarkEnd w:id="158"/>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159" w:name="fnref7_12"/>
      <w:bookmarkEnd w:id="15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60" w:name="fnref15_6"/>
      <w:bookmarkEnd w:id="16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5CBB0B95">
      <w:pPr>
        <w:numPr>
          <w:ilvl w:val="0"/>
          <w:numId w:val="16"/>
        </w:numPr>
        <w:spacing w:before="105" w:after="105" w:line="360" w:lineRule="auto"/>
      </w:pPr>
      <w:r>
        <w:rPr>
          <w:rFonts w:ascii="inter" w:hAnsi="inter" w:eastAsia="inter" w:cs="inter"/>
          <w:color w:val="000000"/>
          <w:sz w:val="21"/>
        </w:rPr>
        <w:t>选取“有代表性的关键概念或方法”作为教学片段核心。</w:t>
      </w:r>
    </w:p>
    <w:p w14:paraId="71A52519">
      <w:pPr>
        <w:numPr>
          <w:ilvl w:val="0"/>
          <w:numId w:val="16"/>
        </w:numPr>
        <w:spacing w:before="105" w:after="105" w:line="360" w:lineRule="auto"/>
      </w:pPr>
      <w:r>
        <w:rPr>
          <w:rFonts w:ascii="inter" w:hAnsi="inter" w:eastAsia="inter" w:cs="inter"/>
          <w:color w:val="000000"/>
          <w:sz w:val="21"/>
        </w:rPr>
        <w:t>从学生的认知起点与误解可能出发，设计认知冲突情境。</w:t>
      </w:r>
    </w:p>
    <w:p w14:paraId="2D06514C">
      <w:pPr>
        <w:numPr>
          <w:ilvl w:val="0"/>
          <w:numId w:val="16"/>
        </w:numPr>
        <w:spacing w:before="105" w:after="105" w:line="360" w:lineRule="auto"/>
      </w:pPr>
      <w:r>
        <w:rPr>
          <w:rFonts w:ascii="inter" w:hAnsi="inter" w:eastAsia="inter" w:cs="inter"/>
          <w:color w:val="000000"/>
          <w:sz w:val="21"/>
        </w:rPr>
        <w:t>构建“故事化或问题链式”的知识展开结构。</w:t>
      </w:r>
    </w:p>
    <w:p w14:paraId="477E14F1">
      <w:pPr>
        <w:numPr>
          <w:ilvl w:val="0"/>
          <w:numId w:val="16"/>
        </w:numPr>
        <w:spacing w:before="105" w:after="105" w:line="360" w:lineRule="auto"/>
      </w:pPr>
      <w:r>
        <w:rPr>
          <w:rFonts w:ascii="inter" w:hAnsi="inter" w:eastAsia="inter" w:cs="inter"/>
          <w:color w:val="000000"/>
          <w:sz w:val="21"/>
        </w:rPr>
        <w:t>精心设计提问、讨论、演示与板书节奏。</w:t>
      </w:r>
    </w:p>
    <w:p w14:paraId="28740CD7">
      <w:pPr>
        <w:numPr>
          <w:ilvl w:val="0"/>
          <w:numId w:val="16"/>
        </w:numPr>
        <w:spacing w:before="105" w:after="105" w:line="360" w:lineRule="auto"/>
      </w:pPr>
      <w:r>
        <w:rPr>
          <w:rFonts w:ascii="inter" w:hAnsi="inter" w:eastAsia="inter" w:cs="inter"/>
          <w:color w:val="000000"/>
          <w:sz w:val="21"/>
        </w:rPr>
        <w:t>预设与应对课堂生成性问题。</w:t>
      </w:r>
    </w:p>
    <w:p w14:paraId="11154B25">
      <w:pPr>
        <w:numPr>
          <w:ilvl w:val="0"/>
          <w:numId w:val="16"/>
        </w:numPr>
        <w:spacing w:before="105" w:after="105" w:line="360" w:lineRule="auto"/>
      </w:pPr>
      <w:r>
        <w:rPr>
          <w:rFonts w:ascii="inter" w:hAnsi="inter" w:eastAsia="inter" w:cs="inter"/>
          <w:color w:val="000000"/>
          <w:sz w:val="21"/>
        </w:rPr>
        <w:t>课后进行详细教学反思与改进。</w:t>
      </w:r>
    </w:p>
    <w:p w14:paraId="3610BCBC">
      <w:pPr>
        <w:spacing w:after="210" w:line="360" w:lineRule="auto"/>
      </w:pPr>
      <w:r>
        <w:rPr>
          <w:rFonts w:ascii="inter" w:hAnsi="inter" w:eastAsia="inter" w:cs="inter"/>
          <w:color w:val="000000"/>
        </w:rPr>
        <w:t>这一路径与“课堂教学基本功训练”高度契合，可为高校青年教师培养方案提供操作性较强的模板。</w:t>
      </w:r>
    </w:p>
    <w:p w14:paraId="05E8F3E3">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01730061">
      <w:pPr>
        <w:spacing w:before="315" w:after="105" w:line="360" w:lineRule="auto"/>
        <w:ind w:left="-30"/>
        <w:jc w:val="left"/>
      </w:pPr>
      <w:bookmarkStart w:id="161" w:name="七_战略对接_与国家教育发展战略的协同路径"/>
      <w:r>
        <w:rPr>
          <w:rFonts w:ascii="inter" w:hAnsi="inter" w:eastAsia="inter" w:cs="inter"/>
          <w:b/>
          <w:color w:val="000000"/>
          <w:sz w:val="24"/>
        </w:rPr>
        <w:t>七、战略对接：与国家教育发展战略的协同路径</w:t>
      </w:r>
      <w:bookmarkEnd w:id="161"/>
    </w:p>
    <w:p w14:paraId="7C27ECEA">
      <w:pPr>
        <w:spacing w:before="315" w:after="105" w:line="360" w:lineRule="auto"/>
        <w:ind w:left="-30"/>
        <w:jc w:val="left"/>
      </w:pPr>
      <w:bookmarkStart w:id="162" w:name="一_对_教育数字化战略行动_的支撑路径"/>
      <w:r>
        <w:rPr>
          <w:rFonts w:ascii="inter" w:hAnsi="inter" w:eastAsia="inter" w:cs="inter"/>
          <w:b/>
          <w:color w:val="000000"/>
          <w:sz w:val="24"/>
        </w:rPr>
        <w:t>（一）对“教育数字化战略行动”的支撑路径</w:t>
      </w:r>
      <w:bookmarkEnd w:id="162"/>
    </w:p>
    <w:p w14:paraId="5EFB0295">
      <w:pPr>
        <w:spacing w:after="210" w:line="360" w:lineRule="auto"/>
      </w:pPr>
      <w:r>
        <w:rPr>
          <w:rFonts w:ascii="inter" w:hAnsi="inter" w:eastAsia="inter" w:cs="inter"/>
          <w:color w:val="000000"/>
        </w:rPr>
        <w:t>教育部“教育数字化战略行动”强调以国家智慧教育平台建设为抓手，推动教育教学从“经验驱动”转向“数据驱动”，提升教育公平与质量。创新赛与青教赛全国一等奖课程的数字化特征，在一定条件下可成为落实该战略的重要抓手。</w:t>
      </w:r>
      <w:bookmarkStart w:id="163" w:name="fnref4_16"/>
      <w:bookmarkEnd w:id="163"/>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64" w:name="fnref1_7"/>
      <w:bookmarkEnd w:id="16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65" w:name="fnref6_23"/>
      <w:bookmarkEnd w:id="16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66" w:name="fnref17_6"/>
      <w:bookmarkEnd w:id="16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167" w:name="fnref18_4"/>
      <w:bookmarkEnd w:id="167"/>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2C493196">
      <w:pPr>
        <w:numPr>
          <w:ilvl w:val="0"/>
          <w:numId w:val="17"/>
        </w:numPr>
        <w:spacing w:after="210" w:line="360" w:lineRule="auto"/>
      </w:pPr>
      <w:r>
        <w:rPr>
          <w:rFonts w:ascii="inter" w:hAnsi="inter" w:eastAsia="inter" w:cs="inter"/>
          <w:color w:val="000000"/>
          <w:sz w:val="21"/>
        </w:rPr>
        <w:t>数据驱动的精准教学实践</w:t>
      </w:r>
      <w:r>
        <w:rPr>
          <w:rFonts w:ascii="inter" w:hAnsi="inter" w:eastAsia="inter" w:cs="inter"/>
          <w:color w:val="000000"/>
          <w:sz w:val="21"/>
        </w:rPr>
        <w:br w:type="textWrapping"/>
      </w:r>
      <w:r>
        <w:rPr>
          <w:rFonts w:ascii="inter" w:hAnsi="inter" w:eastAsia="inter" w:cs="inter"/>
          <w:color w:val="000000"/>
          <w:sz w:val="21"/>
        </w:rPr>
        <w:t>一等奖课程通过学习平台采集学习行为数据、作业与测评结果，为精准教学干预与个性化学习支持提供基础。思政课中“AI驱动精准教学”的探索显示，“评估—干预—再评估”的闭环机制可显著提升教学针对性与学生参与度。</w:t>
      </w:r>
      <w:bookmarkStart w:id="168" w:name="fnref18_5"/>
      <w:bookmarkEnd w:id="168"/>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711A0DE9">
      <w:pPr>
        <w:numPr>
          <w:ilvl w:val="0"/>
          <w:numId w:val="17"/>
        </w:numPr>
        <w:spacing w:after="210" w:line="360" w:lineRule="auto"/>
      </w:pPr>
      <w:r>
        <w:rPr>
          <w:rFonts w:ascii="inter" w:hAnsi="inter" w:eastAsia="inter" w:cs="inter"/>
          <w:color w:val="000000"/>
          <w:sz w:val="21"/>
        </w:rPr>
        <w:t>高质量数字资源供给</w:t>
      </w:r>
      <w:r>
        <w:rPr>
          <w:rFonts w:ascii="inter" w:hAnsi="inter" w:eastAsia="inter" w:cs="inter"/>
          <w:color w:val="000000"/>
          <w:sz w:val="21"/>
        </w:rPr>
        <w:br w:type="textWrapping"/>
      </w:r>
      <w:r>
        <w:rPr>
          <w:rFonts w:ascii="inter" w:hAnsi="inter" w:eastAsia="inter" w:cs="inter"/>
          <w:color w:val="000000"/>
          <w:sz w:val="21"/>
        </w:rPr>
        <w:t>全国一等奖课程平台化汇聚后，可成为国家智慧教育平台上的“标杆课程资源”，带动各高校按照高标准进行课程建设与改造，实现“以优带全”的数字资源供给格局。</w:t>
      </w:r>
    </w:p>
    <w:p w14:paraId="17FBF902">
      <w:pPr>
        <w:spacing w:before="315" w:after="105" w:line="360" w:lineRule="auto"/>
        <w:ind w:left="-30"/>
        <w:jc w:val="left"/>
      </w:pPr>
      <w:bookmarkStart w:id="169" w:name="二_对_四新建设_新工科_新文科等_的协同价值"/>
      <w:r>
        <w:rPr>
          <w:rFonts w:ascii="inter" w:hAnsi="inter" w:eastAsia="inter" w:cs="inter"/>
          <w:b/>
          <w:color w:val="000000"/>
          <w:sz w:val="24"/>
        </w:rPr>
        <w:t>（二）对“四新建设”（新工科/新文科等）的协同价值</w:t>
      </w:r>
      <w:bookmarkEnd w:id="169"/>
    </w:p>
    <w:p w14:paraId="11E87350">
      <w:pPr>
        <w:spacing w:after="210" w:line="360" w:lineRule="auto"/>
      </w:pPr>
      <w:r>
        <w:rPr>
          <w:rFonts w:ascii="inter" w:hAnsi="inter" w:eastAsia="inter" w:cs="inter"/>
          <w:color w:val="000000"/>
        </w:rPr>
        <w:t>教育部与中国高等教育学会在多轮文件中强调，以新工科、新文科、新医科、新农科为代表的“四新建设”需要以教学模式创新和课程体系重构为核心抓手。</w:t>
      </w:r>
      <w:bookmarkStart w:id="170" w:name="fnref4_17"/>
      <w:bookmarkEnd w:id="17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71" w:name="fnref1_8"/>
      <w:bookmarkEnd w:id="17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72" w:name="fnref8_10"/>
      <w:bookmarkEnd w:id="17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04CB384">
      <w:pPr>
        <w:numPr>
          <w:ilvl w:val="0"/>
          <w:numId w:val="18"/>
        </w:numPr>
        <w:spacing w:after="210" w:line="360" w:lineRule="auto"/>
      </w:pPr>
      <w:r>
        <w:rPr>
          <w:rFonts w:ascii="inter" w:hAnsi="inter" w:eastAsia="inter" w:cs="inter"/>
          <w:color w:val="000000"/>
          <w:sz w:val="21"/>
        </w:rPr>
        <w:t>新工科背景下的项目式与产教融合课程</w:t>
      </w:r>
      <w:r>
        <w:rPr>
          <w:rFonts w:ascii="inter" w:hAnsi="inter" w:eastAsia="inter" w:cs="inter"/>
          <w:color w:val="000000"/>
          <w:sz w:val="21"/>
        </w:rPr>
        <w:br w:type="textWrapping"/>
      </w:r>
      <w:r>
        <w:rPr>
          <w:rFonts w:ascii="inter" w:hAnsi="inter" w:eastAsia="inter" w:cs="inter"/>
          <w:color w:val="000000"/>
          <w:sz w:val="21"/>
        </w:rPr>
        <w:t>创新赛一等奖课程中的工程类与软件类课程，通常通过项目式学习、工程实践和产教融合任务推进“知识—能力—素养”一体化，这与新工科强调的工程实践能力与创新能力培养高度一致。</w:t>
      </w:r>
      <w:bookmarkStart w:id="173" w:name="fnref6_24"/>
      <w:bookmarkEnd w:id="173"/>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74" w:name="fnref23_1"/>
      <w:bookmarkEnd w:id="174"/>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0D736A20">
      <w:pPr>
        <w:numPr>
          <w:ilvl w:val="0"/>
          <w:numId w:val="18"/>
        </w:numPr>
        <w:spacing w:after="210" w:line="360" w:lineRule="auto"/>
      </w:pPr>
      <w:r>
        <w:rPr>
          <w:rFonts w:ascii="inter" w:hAnsi="inter" w:eastAsia="inter" w:cs="inter"/>
          <w:color w:val="000000"/>
          <w:sz w:val="21"/>
        </w:rPr>
        <w:t>新文科背景下的跨学科与问题导向课程</w:t>
      </w:r>
      <w:r>
        <w:rPr>
          <w:rFonts w:ascii="inter" w:hAnsi="inter" w:eastAsia="inter" w:cs="inter"/>
          <w:color w:val="000000"/>
          <w:sz w:val="21"/>
        </w:rPr>
        <w:br w:type="textWrapping"/>
      </w:r>
      <w:r>
        <w:rPr>
          <w:rFonts w:ascii="inter" w:hAnsi="inter" w:eastAsia="inter" w:cs="inter"/>
          <w:color w:val="000000"/>
          <w:sz w:val="21"/>
        </w:rPr>
        <w:t>新文科建设研究表明，将学科竞赛与创新创业活动嵌入实践教学体系，有助于提升学生实践能力和团队协作能力。相关一等奖课程通过社会调研、公共议题分析与跨域文本解读，推动人文社科类专业实现“知识—情怀—担当”的综合育人。</w:t>
      </w:r>
      <w:bookmarkStart w:id="175" w:name="fnref8_11"/>
      <w:bookmarkEnd w:id="17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02E26046">
      <w:pPr>
        <w:spacing w:before="315" w:after="105" w:line="360" w:lineRule="auto"/>
        <w:ind w:left="-30"/>
        <w:jc w:val="left"/>
      </w:pPr>
      <w:bookmarkStart w:id="176" w:name="三_对_课程思政高质量推进_的示范引领"/>
      <w:r>
        <w:rPr>
          <w:rFonts w:ascii="inter" w:hAnsi="inter" w:eastAsia="inter" w:cs="inter"/>
          <w:b/>
          <w:color w:val="000000"/>
          <w:sz w:val="24"/>
        </w:rPr>
        <w:t>（三）对“课程思政高质量推进”的示范引领</w:t>
      </w:r>
      <w:bookmarkEnd w:id="176"/>
    </w:p>
    <w:p w14:paraId="503A1292">
      <w:pPr>
        <w:spacing w:after="210" w:line="360" w:lineRule="auto"/>
      </w:pPr>
      <w:r>
        <w:rPr>
          <w:rFonts w:ascii="inter" w:hAnsi="inter" w:eastAsia="inter" w:cs="inter"/>
          <w:color w:val="000000"/>
        </w:rPr>
        <w:t>创新赛评分标准将课程思政作为重要评价维度，要求教师深度挖掘课程思想政治教育资源。大量一等奖课程在知识传授的同时，通过案例与任务植入理想信念、家国情怀、职业伦理等价值元素。</w:t>
      </w:r>
      <w:bookmarkStart w:id="177" w:name="fnref4_18"/>
      <w:bookmarkEnd w:id="17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思政类一等奖课程还探索了AI与数据技术支持下的精准思政教学，体现了“技术赋能价值教育”的路径。</w:t>
      </w:r>
      <w:bookmarkStart w:id="178" w:name="fnref6_25"/>
      <w:bookmarkEnd w:id="17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79" w:name="fnref18_6"/>
      <w:bookmarkEnd w:id="179"/>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3ED2C330">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0B6B86B2">
      <w:pPr>
        <w:spacing w:before="315" w:after="105" w:line="360" w:lineRule="auto"/>
        <w:ind w:left="-30"/>
        <w:jc w:val="left"/>
      </w:pPr>
      <w:bookmarkStart w:id="180" w:name="八_面向决策的综合建议_从样本到体系"/>
      <w:r>
        <w:rPr>
          <w:rFonts w:ascii="inter" w:hAnsi="inter" w:eastAsia="inter" w:cs="inter"/>
          <w:b/>
          <w:color w:val="000000"/>
          <w:sz w:val="24"/>
        </w:rPr>
        <w:t>八、面向决策的综合建议：从样本到体系</w:t>
      </w:r>
      <w:bookmarkEnd w:id="180"/>
    </w:p>
    <w:p w14:paraId="13787DEB">
      <w:pPr>
        <w:spacing w:before="315" w:after="105" w:line="360" w:lineRule="auto"/>
        <w:ind w:left="-30"/>
        <w:jc w:val="left"/>
      </w:pPr>
      <w:bookmarkStart w:id="181" w:name="一_国家层面_制度设计与平台建设"/>
      <w:r>
        <w:rPr>
          <w:rFonts w:ascii="inter" w:hAnsi="inter" w:eastAsia="inter" w:cs="inter"/>
          <w:b/>
          <w:color w:val="000000"/>
          <w:sz w:val="24"/>
        </w:rPr>
        <w:t>（一）国家层面：制度设计与平台建设</w:t>
      </w:r>
      <w:bookmarkEnd w:id="181"/>
    </w:p>
    <w:p w14:paraId="00F2F2A1">
      <w:pPr>
        <w:numPr>
          <w:ilvl w:val="0"/>
          <w:numId w:val="19"/>
        </w:numPr>
        <w:spacing w:before="105" w:after="105" w:line="360" w:lineRule="auto"/>
      </w:pPr>
      <w:r>
        <w:rPr>
          <w:rFonts w:ascii="inter" w:hAnsi="inter" w:eastAsia="inter" w:cs="inter"/>
          <w:color w:val="000000"/>
          <w:sz w:val="21"/>
        </w:rPr>
        <w:t>建议教育行政部门与中国高等教育学会在现有《全国普通高校教师教学竞赛分析报告》基础上，开展“全国一等奖课程教学范式与资源生态专题研究”，形成具有代表性的范式类型图谱，为高校提供可对照的政策工具。</w:t>
      </w:r>
      <w:bookmarkStart w:id="182" w:name="fnref1_9"/>
      <w:bookmarkEnd w:id="182"/>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83" w:name="fnref2_6"/>
      <w:bookmarkEnd w:id="18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184" w:name="fnref3_4"/>
      <w:bookmarkEnd w:id="184"/>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37E4215B">
      <w:pPr>
        <w:numPr>
          <w:ilvl w:val="0"/>
          <w:numId w:val="19"/>
        </w:numPr>
        <w:spacing w:before="105" w:after="105" w:line="360" w:lineRule="auto"/>
      </w:pPr>
      <w:r>
        <w:rPr>
          <w:rFonts w:ascii="inter" w:hAnsi="inter" w:eastAsia="inter" w:cs="inter"/>
          <w:color w:val="000000"/>
          <w:sz w:val="21"/>
        </w:rPr>
        <w:t>建议将创新赛与青教赛全国一等奖课程资源系统化纳入国家智慧教育平台，构建面向不同学科门类与类型高校的示范课程库，并通过财政与项目支持鼓励中西部与应用型高校优先使用与本地化改造。</w:t>
      </w:r>
      <w:bookmarkStart w:id="185" w:name="fnref21_3"/>
      <w:bookmarkEnd w:id="185"/>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186" w:name="fnref22_3"/>
      <w:bookmarkEnd w:id="186"/>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bookmarkStart w:id="187" w:name="fnref8_12"/>
      <w:bookmarkEnd w:id="187"/>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88" w:name="fnref1_10"/>
      <w:bookmarkEnd w:id="188"/>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352895D7">
      <w:pPr>
        <w:numPr>
          <w:ilvl w:val="0"/>
          <w:numId w:val="19"/>
        </w:numPr>
        <w:spacing w:before="105" w:after="105" w:line="360" w:lineRule="auto"/>
      </w:pPr>
      <w:r>
        <w:rPr>
          <w:rFonts w:ascii="inter" w:hAnsi="inter" w:eastAsia="inter" w:cs="inter"/>
          <w:color w:val="000000"/>
          <w:sz w:val="21"/>
        </w:rPr>
        <w:t>建议探索全国层面的“教师教学范式创新实验区”，以若干高校为试点，将竞赛成果与教师发展、课程认证、质量评估协同推进。</w:t>
      </w:r>
    </w:p>
    <w:p w14:paraId="7418C2B3">
      <w:pPr>
        <w:spacing w:before="315" w:after="105" w:line="360" w:lineRule="auto"/>
        <w:ind w:left="-30"/>
        <w:jc w:val="left"/>
      </w:pPr>
      <w:bookmarkStart w:id="189" w:name="二_高校层面_顶层设计与组织实施"/>
      <w:r>
        <w:rPr>
          <w:rFonts w:ascii="inter" w:hAnsi="inter" w:eastAsia="inter" w:cs="inter"/>
          <w:b/>
          <w:color w:val="000000"/>
          <w:sz w:val="24"/>
        </w:rPr>
        <w:t>（二）高校层面：顶层设计与组织实施</w:t>
      </w:r>
      <w:bookmarkEnd w:id="189"/>
    </w:p>
    <w:p w14:paraId="4012D764">
      <w:pPr>
        <w:numPr>
          <w:ilvl w:val="0"/>
          <w:numId w:val="20"/>
        </w:numPr>
        <w:spacing w:after="210" w:line="360" w:lineRule="auto"/>
      </w:pPr>
      <w:r>
        <w:rPr>
          <w:rFonts w:ascii="inter" w:hAnsi="inter" w:eastAsia="inter" w:cs="inter"/>
          <w:color w:val="000000"/>
          <w:sz w:val="21"/>
        </w:rPr>
        <w:t>一体化设计“竞赛—课程—教师发展”体系</w:t>
      </w:r>
      <w:r>
        <w:rPr>
          <w:rFonts w:ascii="inter" w:hAnsi="inter" w:eastAsia="inter" w:cs="inter"/>
          <w:color w:val="000000"/>
          <w:sz w:val="21"/>
        </w:rPr>
        <w:br w:type="textWrapping"/>
      </w:r>
      <w:r>
        <w:rPr>
          <w:rFonts w:ascii="inter" w:hAnsi="inter" w:eastAsia="inter" w:cs="inter"/>
          <w:color w:val="000000"/>
          <w:sz w:val="21"/>
        </w:rPr>
        <w:t>根据中国高等教育学会与多校实践经验，通常而言，最佳路径是将创新赛与青教赛纳入学校教师发展总体规划，构建“校赛—省赛—国赛—课程重构—教学研究”的发展路径，而非仅将竞赛视为单次荣誉事件。</w:t>
      </w:r>
      <w:bookmarkStart w:id="190" w:name="fnref16_6"/>
      <w:bookmarkEnd w:id="190"/>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191" w:name="fnref2_7"/>
      <w:bookmarkEnd w:id="19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192" w:name="fnref3_5"/>
      <w:bookmarkEnd w:id="19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193" w:name="fnref6_26"/>
      <w:bookmarkEnd w:id="193"/>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94" w:name="fnref7_13"/>
      <w:bookmarkEnd w:id="194"/>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206244DC">
      <w:pPr>
        <w:numPr>
          <w:ilvl w:val="0"/>
          <w:numId w:val="20"/>
        </w:numPr>
        <w:spacing w:after="210" w:line="360" w:lineRule="auto"/>
      </w:pPr>
      <w:r>
        <w:rPr>
          <w:rFonts w:ascii="inter" w:hAnsi="inter" w:eastAsia="inter" w:cs="inter"/>
          <w:color w:val="000000"/>
          <w:sz w:val="21"/>
        </w:rPr>
        <w:t>类型化采用不同竞赛范式</w:t>
      </w:r>
    </w:p>
    <w:p w14:paraId="42E4EB5D">
      <w:pPr>
        <w:numPr>
          <w:ilvl w:val="1"/>
          <w:numId w:val="20"/>
        </w:numPr>
        <w:spacing w:before="105" w:after="105" w:line="360" w:lineRule="auto"/>
      </w:pPr>
      <w:r>
        <w:rPr>
          <w:rFonts w:ascii="inter" w:hAnsi="inter" w:eastAsia="inter" w:cs="inter"/>
          <w:color w:val="000000"/>
          <w:sz w:val="21"/>
        </w:rPr>
        <w:t>对标高水平大学和研究型高校：建议重点对接创新赛范式，推动课程整体重构与资源生态建设。</w:t>
      </w:r>
    </w:p>
    <w:p w14:paraId="7981D7E6">
      <w:pPr>
        <w:numPr>
          <w:ilvl w:val="1"/>
          <w:numId w:val="20"/>
        </w:numPr>
        <w:spacing w:before="105" w:after="105" w:line="360" w:lineRule="auto"/>
      </w:pPr>
      <w:r>
        <w:rPr>
          <w:rFonts w:ascii="inter" w:hAnsi="inter" w:eastAsia="inter" w:cs="inter"/>
          <w:color w:val="000000"/>
          <w:sz w:val="21"/>
        </w:rPr>
        <w:t>对标应用型和高职院校：建议优先利用青教赛范式提升课堂教学质量，再逐步引入创新赛范式推进课程群建设与产教融合。</w:t>
      </w:r>
    </w:p>
    <w:p w14:paraId="7B37666C">
      <w:pPr>
        <w:numPr>
          <w:ilvl w:val="0"/>
          <w:numId w:val="20"/>
        </w:numPr>
        <w:spacing w:after="210" w:line="360" w:lineRule="auto"/>
      </w:pPr>
      <w:r>
        <w:rPr>
          <w:rFonts w:ascii="inter" w:hAnsi="inter" w:eastAsia="inter" w:cs="inter"/>
          <w:color w:val="000000"/>
          <w:sz w:val="21"/>
        </w:rPr>
        <w:t>加强教学发展中心功能</w:t>
      </w:r>
      <w:r>
        <w:rPr>
          <w:rFonts w:ascii="inter" w:hAnsi="inter" w:eastAsia="inter" w:cs="inter"/>
          <w:color w:val="000000"/>
          <w:sz w:val="21"/>
        </w:rPr>
        <w:br w:type="textWrapping"/>
      </w:r>
      <w:r>
        <w:rPr>
          <w:rFonts w:ascii="inter" w:hAnsi="inter" w:eastAsia="inter" w:cs="inter"/>
          <w:color w:val="000000"/>
          <w:sz w:val="21"/>
        </w:rPr>
        <w:t>建议高校教师发展中心承担起“范式翻译者”角色，将全国一等奖课程拆解为可操作的工作坊、模板与工具包，例如“逆向教学设计工作坊”“形成性评价闭环实践营”“青教赛课堂设计工作坊”等。</w:t>
      </w:r>
      <w:bookmarkStart w:id="195" w:name="fnref6_27"/>
      <w:bookmarkEnd w:id="195"/>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96" w:name="fnref7_14"/>
      <w:bookmarkEnd w:id="19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97" w:name="fnref15_7"/>
      <w:bookmarkEnd w:id="197"/>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198" w:name="fnref19_2"/>
      <w:bookmarkEnd w:id="198"/>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662899A9">
      <w:pPr>
        <w:spacing w:before="315" w:after="105" w:line="360" w:lineRule="auto"/>
        <w:ind w:left="-30"/>
        <w:jc w:val="left"/>
      </w:pPr>
      <w:bookmarkStart w:id="199" w:name="三_课程与教师层面_可行路径与边界意识"/>
      <w:r>
        <w:rPr>
          <w:rFonts w:ascii="inter" w:hAnsi="inter" w:eastAsia="inter" w:cs="inter"/>
          <w:b/>
          <w:color w:val="000000"/>
          <w:sz w:val="24"/>
        </w:rPr>
        <w:t>（三）课程与教师层面：可行路径与边界意识</w:t>
      </w:r>
      <w:bookmarkEnd w:id="199"/>
    </w:p>
    <w:p w14:paraId="114AF9AA">
      <w:pPr>
        <w:numPr>
          <w:ilvl w:val="0"/>
          <w:numId w:val="21"/>
        </w:numPr>
        <w:spacing w:after="210" w:line="360" w:lineRule="auto"/>
      </w:pPr>
      <w:r>
        <w:rPr>
          <w:rFonts w:ascii="inter" w:hAnsi="inter" w:eastAsia="inter" w:cs="inter"/>
          <w:color w:val="000000"/>
          <w:sz w:val="21"/>
        </w:rPr>
        <w:t>一种可行的课程层面路径是：</w:t>
      </w:r>
    </w:p>
    <w:p w14:paraId="587F917D">
      <w:pPr>
        <w:numPr>
          <w:ilvl w:val="1"/>
          <w:numId w:val="21"/>
        </w:numPr>
        <w:spacing w:before="105" w:after="105" w:line="360" w:lineRule="auto"/>
      </w:pPr>
      <w:r>
        <w:rPr>
          <w:rFonts w:ascii="inter" w:hAnsi="inter" w:eastAsia="inter" w:cs="inter"/>
          <w:color w:val="000000"/>
          <w:sz w:val="21"/>
        </w:rPr>
        <w:t>第一阶段：在现有课程中引入形成性评价闭环与小规模教学活动重构。</w:t>
      </w:r>
    </w:p>
    <w:p w14:paraId="7F83EFB6">
      <w:pPr>
        <w:numPr>
          <w:ilvl w:val="1"/>
          <w:numId w:val="21"/>
        </w:numPr>
        <w:spacing w:before="105" w:after="105" w:line="360" w:lineRule="auto"/>
      </w:pPr>
      <w:r>
        <w:rPr>
          <w:rFonts w:ascii="inter" w:hAnsi="inter" w:eastAsia="inter" w:cs="inter"/>
          <w:color w:val="000000"/>
          <w:sz w:val="21"/>
        </w:rPr>
        <w:t>第二阶段：基于逆向教学设计对若干关键模块进行重构，适度引入多模态资源与数据支持。</w:t>
      </w:r>
    </w:p>
    <w:p w14:paraId="3E4853D9">
      <w:pPr>
        <w:numPr>
          <w:ilvl w:val="1"/>
          <w:numId w:val="21"/>
        </w:numPr>
        <w:spacing w:before="105" w:after="105" w:line="360" w:lineRule="auto"/>
      </w:pPr>
      <w:r>
        <w:rPr>
          <w:rFonts w:ascii="inter" w:hAnsi="inter" w:eastAsia="inter" w:cs="inter"/>
          <w:color w:val="000000"/>
          <w:sz w:val="21"/>
        </w:rPr>
        <w:t>第三阶段：在稳定基础上整体重构课程，并对接一流课程与教学竞赛申报。</w:t>
      </w:r>
    </w:p>
    <w:p w14:paraId="3019897D">
      <w:pPr>
        <w:numPr>
          <w:ilvl w:val="0"/>
          <w:numId w:val="21"/>
        </w:numPr>
        <w:spacing w:after="210" w:line="360" w:lineRule="auto"/>
      </w:pPr>
      <w:r>
        <w:rPr>
          <w:rFonts w:ascii="inter" w:hAnsi="inter" w:eastAsia="inter" w:cs="inter"/>
          <w:color w:val="000000"/>
          <w:sz w:val="21"/>
        </w:rPr>
        <w:t>教师个人层面，建议青年教师在参与青教赛时，将“比赛课堂”作为反思镜像，将其中可持续的教学设计要素迁移到日常课堂，同时结合学习科学与建构主义理论进行持续学习，避免因短期备赛压力造成职业倦怠。</w:t>
      </w:r>
      <w:bookmarkStart w:id="200" w:name="fnref16_7"/>
      <w:bookmarkEnd w:id="200"/>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201" w:name="fnref10_11"/>
      <w:bookmarkEnd w:id="201"/>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02" w:name="fnref12_11"/>
      <w:bookmarkEnd w:id="202"/>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03" w:name="fnref13_13"/>
      <w:bookmarkEnd w:id="203"/>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0615C4C0">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3F6F754D">
      <w:pPr>
        <w:spacing w:before="315" w:after="105" w:line="360" w:lineRule="auto"/>
        <w:ind w:left="-30"/>
        <w:jc w:val="left"/>
      </w:pPr>
      <w:bookmarkStart w:id="204" w:name="九_结语_以_范式_驱动的高质量教育体系构建"/>
      <w:r>
        <w:rPr>
          <w:rFonts w:ascii="inter" w:hAnsi="inter" w:eastAsia="inter" w:cs="inter"/>
          <w:b/>
          <w:color w:val="000000"/>
          <w:sz w:val="24"/>
        </w:rPr>
        <w:t>九、结语：以“范式”驱动的高质量教育体系构建</w:t>
      </w:r>
      <w:bookmarkEnd w:id="204"/>
    </w:p>
    <w:p w14:paraId="18B16797">
      <w:pPr>
        <w:spacing w:after="210" w:line="360" w:lineRule="auto"/>
      </w:pPr>
      <w:r>
        <w:rPr>
          <w:rFonts w:ascii="inter" w:hAnsi="inter" w:eastAsia="inter" w:cs="inter"/>
          <w:color w:val="000000"/>
        </w:rPr>
        <w:t>综合教育部与中国高等教育学会的多份报告以及世界银行教育发展报告的共识性观点，高质量教师队伍与高水平课堂教学是建设高质量教育体系的关键支点。创新赛与青教赛全国一等奖课程，在一定程度上呈现了面向未来的高校教学范式样本与资源生态雏形。</w:t>
      </w:r>
      <w:bookmarkStart w:id="205" w:name="fnref4_19"/>
      <w:bookmarkEnd w:id="20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206" w:name="fnref1_11"/>
      <w:bookmarkEnd w:id="20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207" w:name="fnref3_6"/>
      <w:bookmarkEnd w:id="20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08" w:name="fnref8_13"/>
      <w:bookmarkEnd w:id="208"/>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7382153">
      <w:pPr>
        <w:spacing w:after="210" w:line="360" w:lineRule="auto"/>
      </w:pPr>
      <w:r>
        <w:rPr>
          <w:rFonts w:ascii="inter" w:hAnsi="inter" w:eastAsia="inter" w:cs="inter"/>
          <w:color w:val="000000"/>
        </w:rPr>
        <w:t>在未来发展中，若能在国家、学校与教师三个层面协同推进，从“竞赛事件”走向“范式普及”，从“资源孤岛”走向“开放生态”，则这些一等奖课程所代表的教学创新实践，可能在“教育数字化战略行动”“新工科/新文科建设”“课程思政高质量推进”等国家战略框架下，形成可持续放大的系统性效应，为构建具有中国特色、世界水平的高质量高等教育体系提供坚实支撑。</w:t>
      </w:r>
      <w:r>
        <w:rPr>
          <w:rFonts w:ascii="inter" w:hAnsi="inter" w:eastAsia="inter" w:cs="inter"/>
          <w:color w:val="000000"/>
        </w:rPr>
        <w:br w:type="textWrapping"/>
      </w:r>
    </w:p>
    <w:p w14:paraId="6EAC7CBD">
      <w:pPr>
        <w:spacing w:line="360" w:lineRule="auto"/>
      </w:pPr>
      <w:r>
        <w:rPr>
          <w:rFonts w:ascii="inter" w:hAnsi="inter" w:eastAsia="inter" w:cs="inter"/>
          <w:color w:val="000000"/>
        </w:rPr>
        <w:t>⁂</w:t>
      </w:r>
    </w:p>
    <w:p w14:paraId="2677367C">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667568D4">
      <w:pPr>
        <w:numPr>
          <w:ilvl w:val="0"/>
          <w:numId w:val="22"/>
        </w:numPr>
        <w:spacing w:after="210" w:line="360" w:lineRule="auto"/>
      </w:pPr>
      <w:bookmarkStart w:id="209" w:name="fn1"/>
      <w:bookmarkEnd w:id="209"/>
      <w:r>
        <w:fldChar w:fldCharType="begin"/>
      </w:r>
      <w:r>
        <w:instrText xml:space="preserve"> HYPERLINK "https://www.csust.edu.cn/xww2017/info/1005/40975.htm" \h </w:instrText>
      </w:r>
      <w:r>
        <w:fldChar w:fldCharType="separate"/>
      </w:r>
      <w:r>
        <w:rPr>
          <w:rFonts w:ascii="inter" w:hAnsi="inter" w:eastAsia="inter" w:cs="inter"/>
          <w:color w:val="000000"/>
          <w:sz w:val="18"/>
          <w:u w:val="single"/>
        </w:rPr>
        <w:t>https://www.csust.edu.cn/xww2017/info/1005/40975.htm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498AB7">
      <w:pPr>
        <w:numPr>
          <w:ilvl w:val="0"/>
          <w:numId w:val="22"/>
        </w:numPr>
        <w:spacing w:after="210" w:line="360" w:lineRule="auto"/>
      </w:pPr>
      <w:bookmarkStart w:id="210" w:name="fn2"/>
      <w:bookmarkEnd w:id="210"/>
      <w:r>
        <w:fldChar w:fldCharType="begin"/>
      </w:r>
      <w:r>
        <w:instrText xml:space="preserve"> HYPERLINK "https://cftd.usst.edu.cn/2021/0323/c5867a243888/page.htm" \h </w:instrText>
      </w:r>
      <w:r>
        <w:fldChar w:fldCharType="separate"/>
      </w:r>
      <w:r>
        <w:rPr>
          <w:rFonts w:ascii="inter" w:hAnsi="inter" w:eastAsia="inter" w:cs="inter"/>
          <w:color w:val="000000"/>
          <w:sz w:val="18"/>
          <w:u w:val="single"/>
        </w:rPr>
        <w:t>https://cftd.usst.edu.cn/2021/0323/c5867a243888/page.htm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0364B6">
      <w:pPr>
        <w:numPr>
          <w:ilvl w:val="0"/>
          <w:numId w:val="22"/>
        </w:numPr>
        <w:spacing w:after="210" w:line="360" w:lineRule="auto"/>
      </w:pPr>
      <w:bookmarkStart w:id="211" w:name="fn3"/>
      <w:bookmarkEnd w:id="211"/>
      <w:r>
        <w:fldChar w:fldCharType="begin"/>
      </w:r>
      <w:r>
        <w:instrText xml:space="preserve"> HYPERLINK "https://yjsy.hfut.edu.cn/info/1004/1063.htm" \h </w:instrText>
      </w:r>
      <w:r>
        <w:fldChar w:fldCharType="separate"/>
      </w:r>
      <w:r>
        <w:rPr>
          <w:rFonts w:ascii="inter" w:hAnsi="inter" w:eastAsia="inter" w:cs="inter"/>
          <w:color w:val="000000"/>
          <w:sz w:val="18"/>
          <w:u w:val="single"/>
        </w:rPr>
        <w:t>https://yjsy.hfut.edu.cn/info/1004/1063.htm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334FCA">
      <w:pPr>
        <w:numPr>
          <w:ilvl w:val="0"/>
          <w:numId w:val="22"/>
        </w:numPr>
        <w:spacing w:after="210" w:line="360" w:lineRule="auto"/>
      </w:pPr>
      <w:bookmarkStart w:id="212" w:name="fn4"/>
      <w:bookmarkEnd w:id="212"/>
      <w:r>
        <w:fldChar w:fldCharType="begin"/>
      </w:r>
      <w:r>
        <w:instrText xml:space="preserve"> HYPERLINK "https://jwc.nepu.edu.cn/fujian134xin.pdf" \h </w:instrText>
      </w:r>
      <w:r>
        <w:fldChar w:fldCharType="separate"/>
      </w:r>
      <w:r>
        <w:rPr>
          <w:rFonts w:ascii="inter" w:hAnsi="inter" w:eastAsia="inter" w:cs="inter"/>
          <w:color w:val="000000"/>
          <w:sz w:val="18"/>
          <w:u w:val="single"/>
        </w:rPr>
        <w:t>https://jwc.nepu.edu.cn/fujian134xin.pdf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B96240">
      <w:pPr>
        <w:numPr>
          <w:ilvl w:val="0"/>
          <w:numId w:val="22"/>
        </w:numPr>
        <w:spacing w:after="210" w:line="360" w:lineRule="auto"/>
      </w:pPr>
      <w:bookmarkStart w:id="213" w:name="fn5"/>
      <w:bookmarkEnd w:id="213"/>
      <w:r>
        <w:fldChar w:fldCharType="begin"/>
      </w:r>
      <w:r>
        <w:instrText xml:space="preserve"> HYPERLINK "https://www.teach.ustc.edu.cn/wp-content/uploads/2025/12/%E5%85%B3%E4%BA%8E%E4%B8%BE%E5%8A%9E%E7%AC%AC%E4%BA%94%E5%B1%8A%E5%85%A8%E5%9B%BD%E9%AB%98%E6%A0%A1%E6%95%99%E5%B8%88%E6%95%99%E5%AD%A6%E5%88%9B%E6%96%B0%E5%A4%A7%E8%B5%9B%E7%9A%84%E9%80%9A%E7%9F%A5.pdf" \h </w:instrText>
      </w:r>
      <w:r>
        <w:fldChar w:fldCharType="separate"/>
      </w:r>
      <w:r>
        <w:rPr>
          <w:rFonts w:ascii="inter" w:hAnsi="inter" w:eastAsia="inter" w:cs="inter"/>
          <w:color w:val="000000"/>
          <w:sz w:val="18"/>
          <w:u w:val="single"/>
        </w:rPr>
        <w:t>https://www.teach.ustc.edu.cn/wp-content/uploads/2025/12/关于举办第五届全国高校教师教学创新大赛的通知.pdf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08B9BF">
      <w:pPr>
        <w:numPr>
          <w:ilvl w:val="0"/>
          <w:numId w:val="22"/>
        </w:numPr>
        <w:spacing w:after="210" w:line="360" w:lineRule="auto"/>
      </w:pPr>
      <w:bookmarkStart w:id="214" w:name="fn6"/>
      <w:bookmarkEnd w:id="214"/>
      <w:r>
        <w:fldChar w:fldCharType="begin"/>
      </w:r>
      <w:r>
        <w:instrText xml:space="preserve"> HYPERLINK "https://se.bit.edu.cn/xyxw/ccb18833dea54d17b517affa3d824702.htm" \h </w:instrText>
      </w:r>
      <w:r>
        <w:fldChar w:fldCharType="separate"/>
      </w:r>
      <w:r>
        <w:rPr>
          <w:rFonts w:ascii="inter" w:hAnsi="inter" w:eastAsia="inter" w:cs="inter"/>
          <w:color w:val="000000"/>
          <w:sz w:val="18"/>
          <w:u w:val="single"/>
        </w:rPr>
        <w:t>https://se.bit.edu.cn/xyxw/ccb18833dea54d17b517affa3d824702.htm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C6022C">
      <w:pPr>
        <w:numPr>
          <w:ilvl w:val="0"/>
          <w:numId w:val="22"/>
        </w:numPr>
        <w:spacing w:after="210" w:line="360" w:lineRule="auto"/>
      </w:pPr>
      <w:bookmarkStart w:id="215" w:name="fn7"/>
      <w:bookmarkEnd w:id="215"/>
      <w:r>
        <w:fldChar w:fldCharType="begin"/>
      </w:r>
      <w:r>
        <w:instrText xml:space="preserve"> HYPERLINK "https://jsfzzx.hnuahe.edu.cn/jxjs.htm" \h </w:instrText>
      </w:r>
      <w:r>
        <w:fldChar w:fldCharType="separate"/>
      </w:r>
      <w:r>
        <w:rPr>
          <w:rFonts w:ascii="inter" w:hAnsi="inter" w:eastAsia="inter" w:cs="inter"/>
          <w:color w:val="000000"/>
          <w:sz w:val="18"/>
          <w:u w:val="single"/>
        </w:rPr>
        <w:t>https://jsfzzx.hnuahe.edu.cn/jxjs.htm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642081">
      <w:pPr>
        <w:numPr>
          <w:ilvl w:val="0"/>
          <w:numId w:val="22"/>
        </w:numPr>
        <w:spacing w:after="210" w:line="360" w:lineRule="auto"/>
      </w:pPr>
      <w:bookmarkStart w:id="216" w:name="fn8"/>
      <w:bookmarkEnd w:id="216"/>
      <w:r>
        <w:fldChar w:fldCharType="begin"/>
      </w:r>
      <w:r>
        <w:instrText xml:space="preserve"> HYPERLINK "https://hebei.eol.cn/hebgd/202210/t20221017_2250535.shtml" \h </w:instrText>
      </w:r>
      <w:r>
        <w:fldChar w:fldCharType="separate"/>
      </w:r>
      <w:r>
        <w:rPr>
          <w:rFonts w:ascii="inter" w:hAnsi="inter" w:eastAsia="inter" w:cs="inter"/>
          <w:color w:val="000000"/>
          <w:sz w:val="18"/>
          <w:u w:val="single"/>
        </w:rPr>
        <w:t>https://hebei.eol.cn/hebgd/202210/t20221017_2250535.shtml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9EE37B">
      <w:pPr>
        <w:numPr>
          <w:ilvl w:val="0"/>
          <w:numId w:val="22"/>
        </w:numPr>
        <w:spacing w:after="210" w:line="360" w:lineRule="auto"/>
      </w:pPr>
      <w:bookmarkStart w:id="217" w:name="fn9"/>
      <w:bookmarkEnd w:id="217"/>
      <w:r>
        <w:fldChar w:fldCharType="begin"/>
      </w:r>
      <w:r>
        <w:instrText xml:space="preserve"> HYPERLINK "http://www.zggzzk.com/redianzixun/shownews.php?id=859" \h </w:instrText>
      </w:r>
      <w:r>
        <w:fldChar w:fldCharType="separate"/>
      </w:r>
      <w:r>
        <w:rPr>
          <w:rFonts w:ascii="inter" w:hAnsi="inter" w:eastAsia="inter" w:cs="inter"/>
          <w:color w:val="000000"/>
          <w:sz w:val="18"/>
          <w:u w:val="single"/>
        </w:rPr>
        <w:t>http://www.zggzzk.com/redianzixun/shownews.php?id=859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A4880C">
      <w:pPr>
        <w:numPr>
          <w:ilvl w:val="0"/>
          <w:numId w:val="22"/>
        </w:numPr>
        <w:spacing w:after="210" w:line="360" w:lineRule="auto"/>
      </w:pPr>
      <w:bookmarkStart w:id="218" w:name="fn10"/>
      <w:bookmarkEnd w:id="218"/>
      <w:r>
        <w:fldChar w:fldCharType="begin"/>
      </w:r>
      <w:r>
        <w:instrText xml:space="preserve"> HYPERLINK "https://bm.cugb.edu.cn/2025jxcgsb/upload/resources/file/2025/11/06/290946.pdf" \h </w:instrText>
      </w:r>
      <w:r>
        <w:fldChar w:fldCharType="separate"/>
      </w:r>
      <w:r>
        <w:rPr>
          <w:rFonts w:ascii="inter" w:hAnsi="inter" w:eastAsia="inter" w:cs="inter"/>
          <w:color w:val="000000"/>
          <w:sz w:val="18"/>
          <w:u w:val="single"/>
        </w:rPr>
        <w:t>https://bm.cugb.edu.cn/2025jxcgsb/upload/resources/file/2025/11/06/290946.pdf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FC3FD2">
      <w:pPr>
        <w:numPr>
          <w:ilvl w:val="0"/>
          <w:numId w:val="22"/>
        </w:numPr>
        <w:spacing w:after="210" w:line="360" w:lineRule="auto"/>
      </w:pPr>
      <w:bookmarkStart w:id="219" w:name="fn11"/>
      <w:bookmarkEnd w:id="219"/>
      <w:r>
        <w:fldChar w:fldCharType="begin"/>
      </w:r>
      <w:r>
        <w:instrText xml:space="preserve"> HYPERLINK "https://s.enaea.edu.cn/h/gxqnjsnlts/xxzl/qjs/" \h </w:instrText>
      </w:r>
      <w:r>
        <w:fldChar w:fldCharType="separate"/>
      </w:r>
      <w:r>
        <w:rPr>
          <w:rFonts w:ascii="inter" w:hAnsi="inter" w:eastAsia="inter" w:cs="inter"/>
          <w:color w:val="000000"/>
          <w:sz w:val="18"/>
          <w:u w:val="single"/>
        </w:rPr>
        <w:t>https://s.enaea.edu.cn/h/gxqnjsnlts/xxzl/qjs/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FBFC30">
      <w:pPr>
        <w:numPr>
          <w:ilvl w:val="0"/>
          <w:numId w:val="22"/>
        </w:numPr>
        <w:spacing w:after="210" w:line="360" w:lineRule="auto"/>
      </w:pPr>
      <w:bookmarkStart w:id="220" w:name="fn12"/>
      <w:bookmarkEnd w:id="220"/>
      <w:r>
        <w:fldChar w:fldCharType="begin"/>
      </w:r>
      <w:r>
        <w:instrText xml:space="preserve"> HYPERLINK "https://mqikan.cqvip.com/Article/ArticleDetail?id=7113242758&amp;from=Article_Index" \h </w:instrText>
      </w:r>
      <w:r>
        <w:fldChar w:fldCharType="separate"/>
      </w:r>
      <w:r>
        <w:rPr>
          <w:rFonts w:ascii="inter" w:hAnsi="inter" w:eastAsia="inter" w:cs="inter"/>
          <w:color w:val="000000"/>
          <w:sz w:val="18"/>
          <w:u w:val="single"/>
        </w:rPr>
        <w:t>https://mqikan.cqvip.com/Article/ArticleDetail?id=7113242758&amp;from=Article_Index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824C18">
      <w:pPr>
        <w:numPr>
          <w:ilvl w:val="0"/>
          <w:numId w:val="22"/>
        </w:numPr>
        <w:spacing w:after="210" w:line="360" w:lineRule="auto"/>
      </w:pPr>
      <w:bookmarkStart w:id="221" w:name="fn13"/>
      <w:bookmarkEnd w:id="221"/>
      <w:r>
        <w:fldChar w:fldCharType="begin"/>
      </w:r>
      <w:r>
        <w:instrText xml:space="preserve"> HYPERLINK "https://zs.njust.edu.cn/2f/44/c4621a339780/page.htm" \h </w:instrText>
      </w:r>
      <w:r>
        <w:fldChar w:fldCharType="separate"/>
      </w:r>
      <w:r>
        <w:rPr>
          <w:rFonts w:ascii="inter" w:hAnsi="inter" w:eastAsia="inter" w:cs="inter"/>
          <w:color w:val="000000"/>
          <w:sz w:val="18"/>
          <w:u w:val="single"/>
        </w:rPr>
        <w:t>https://zs.njust.edu.cn/2f/44/c4621a339780/page.htm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512B1F">
      <w:pPr>
        <w:numPr>
          <w:ilvl w:val="0"/>
          <w:numId w:val="22"/>
        </w:numPr>
        <w:spacing w:after="210" w:line="360" w:lineRule="auto"/>
      </w:pPr>
      <w:bookmarkStart w:id="222" w:name="fn14"/>
      <w:bookmarkEnd w:id="222"/>
      <w:r>
        <w:fldChar w:fldCharType="begin"/>
      </w:r>
      <w:r>
        <w:instrText xml:space="preserve"> HYPERLINK "https://jwc.scu.edu.cn/info/1013/6548.htm" \h </w:instrText>
      </w:r>
      <w:r>
        <w:fldChar w:fldCharType="separate"/>
      </w:r>
      <w:r>
        <w:rPr>
          <w:rFonts w:ascii="inter" w:hAnsi="inter" w:eastAsia="inter" w:cs="inter"/>
          <w:color w:val="000000"/>
          <w:sz w:val="18"/>
          <w:u w:val="single"/>
        </w:rPr>
        <w:t>https://jwc.scu.edu.cn/info/1013/6548.htm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A8A5A4">
      <w:pPr>
        <w:numPr>
          <w:ilvl w:val="0"/>
          <w:numId w:val="22"/>
        </w:numPr>
        <w:spacing w:after="210" w:line="360" w:lineRule="auto"/>
      </w:pPr>
      <w:bookmarkStart w:id="223" w:name="fn15"/>
      <w:bookmarkEnd w:id="223"/>
      <w:r>
        <w:fldChar w:fldCharType="begin"/>
      </w:r>
      <w:r>
        <w:instrText xml:space="preserve"> HYPERLINK "https://s.enaea.edu.cn/h/gxqnjsnlts/" \h </w:instrText>
      </w:r>
      <w:r>
        <w:fldChar w:fldCharType="separate"/>
      </w:r>
      <w:r>
        <w:rPr>
          <w:rFonts w:ascii="inter" w:hAnsi="inter" w:eastAsia="inter" w:cs="inter"/>
          <w:color w:val="000000"/>
          <w:sz w:val="18"/>
          <w:u w:val="single"/>
        </w:rPr>
        <w:t>https://s.enaea.edu.cn/h/gxqnjsnlts/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943F29">
      <w:pPr>
        <w:numPr>
          <w:ilvl w:val="0"/>
          <w:numId w:val="22"/>
        </w:numPr>
        <w:spacing w:after="210" w:line="360" w:lineRule="auto"/>
      </w:pPr>
      <w:bookmarkStart w:id="224" w:name="fn16"/>
      <w:bookmarkEnd w:id="224"/>
      <w:r>
        <w:fldChar w:fldCharType="begin"/>
      </w:r>
      <w:r>
        <w:instrText xml:space="preserve"> HYPERLINK "https://m.weixinverse.com/www.qlshx/info/10445/205504.htm" \h </w:instrText>
      </w:r>
      <w:r>
        <w:fldChar w:fldCharType="separate"/>
      </w:r>
      <w:r>
        <w:rPr>
          <w:rFonts w:ascii="inter" w:hAnsi="inter" w:eastAsia="inter" w:cs="inter"/>
          <w:color w:val="000000"/>
          <w:sz w:val="18"/>
          <w:u w:val="single"/>
        </w:rPr>
        <w:t>https://m.weixinverse.com/www.qlshx/info/10445/205504.htm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766463">
      <w:pPr>
        <w:numPr>
          <w:ilvl w:val="0"/>
          <w:numId w:val="22"/>
        </w:numPr>
        <w:spacing w:after="210" w:line="360" w:lineRule="auto"/>
      </w:pPr>
      <w:bookmarkStart w:id="225" w:name="fn17"/>
      <w:bookmarkEnd w:id="225"/>
      <w:r>
        <w:fldChar w:fldCharType="begin"/>
      </w:r>
      <w:r>
        <w:instrText xml:space="preserve"> HYPERLINK "https://statics.scnu.edu.cn/pics/maths/2022/0308/1646704869110290.pdf" \h </w:instrText>
      </w:r>
      <w:r>
        <w:fldChar w:fldCharType="separate"/>
      </w:r>
      <w:r>
        <w:rPr>
          <w:rFonts w:ascii="inter" w:hAnsi="inter" w:eastAsia="inter" w:cs="inter"/>
          <w:color w:val="000000"/>
          <w:sz w:val="18"/>
          <w:u w:val="single"/>
        </w:rPr>
        <w:t>https://statics.scnu.edu.cn/pics/maths/2022/0308/1646704869110290.pdf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FEB1DC">
      <w:pPr>
        <w:numPr>
          <w:ilvl w:val="0"/>
          <w:numId w:val="22"/>
        </w:numPr>
        <w:spacing w:after="210" w:line="360" w:lineRule="auto"/>
      </w:pPr>
      <w:bookmarkStart w:id="226" w:name="fn18"/>
      <w:bookmarkEnd w:id="226"/>
      <w:r>
        <w:fldChar w:fldCharType="begin"/>
      </w:r>
      <w:r>
        <w:instrText xml:space="preserve"> HYPERLINK "http://epaper.hbjjrb.com/att/202512/18/01ad37fb-52a8-4d65-b56f-3ff7b335944c.pdf" \h </w:instrText>
      </w:r>
      <w:r>
        <w:fldChar w:fldCharType="separate"/>
      </w:r>
      <w:r>
        <w:rPr>
          <w:rFonts w:ascii="inter" w:hAnsi="inter" w:eastAsia="inter" w:cs="inter"/>
          <w:color w:val="000000"/>
          <w:sz w:val="18"/>
          <w:u w:val="single"/>
        </w:rPr>
        <w:t>http://epaper.hbjjrb.com/att/202512/18/01ad37fb-52a8-4d65-b56f-3ff7b335944c.pdf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DFBB3D">
      <w:pPr>
        <w:numPr>
          <w:ilvl w:val="0"/>
          <w:numId w:val="22"/>
        </w:numPr>
        <w:spacing w:after="210" w:line="360" w:lineRule="auto"/>
      </w:pPr>
      <w:bookmarkStart w:id="227" w:name="fn19"/>
      <w:bookmarkEnd w:id="227"/>
      <w:r>
        <w:fldChar w:fldCharType="begin"/>
      </w:r>
      <w:r>
        <w:instrText xml:space="preserve"> HYPERLINK "https://www.jxrtvu.com/2025/1223/c3647a44731/page.htm" \h </w:instrText>
      </w:r>
      <w:r>
        <w:fldChar w:fldCharType="separate"/>
      </w:r>
      <w:r>
        <w:rPr>
          <w:rFonts w:ascii="inter" w:hAnsi="inter" w:eastAsia="inter" w:cs="inter"/>
          <w:color w:val="000000"/>
          <w:sz w:val="18"/>
          <w:u w:val="single"/>
        </w:rPr>
        <w:t>https://www.jxrtvu.com/2025/1223/c3647a44731/page.htm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9806B7">
      <w:pPr>
        <w:numPr>
          <w:ilvl w:val="0"/>
          <w:numId w:val="22"/>
        </w:numPr>
        <w:spacing w:after="210" w:line="360" w:lineRule="auto"/>
      </w:pPr>
      <w:bookmarkStart w:id="228" w:name="fn20"/>
      <w:bookmarkEnd w:id="228"/>
      <w:r>
        <w:fldChar w:fldCharType="begin"/>
      </w:r>
      <w:r>
        <w:instrText xml:space="preserve"> HYPERLINK "https://jwch.fzu.edu.cn/info/1048/13165.htm" \h </w:instrText>
      </w:r>
      <w:r>
        <w:fldChar w:fldCharType="separate"/>
      </w:r>
      <w:r>
        <w:rPr>
          <w:rFonts w:ascii="inter" w:hAnsi="inter" w:eastAsia="inter" w:cs="inter"/>
          <w:color w:val="000000"/>
          <w:sz w:val="18"/>
          <w:u w:val="single"/>
        </w:rPr>
        <w:t>https://jwch.fzu.edu.cn/info/1048/13165.htm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7E3A55">
      <w:pPr>
        <w:numPr>
          <w:ilvl w:val="0"/>
          <w:numId w:val="22"/>
        </w:numPr>
        <w:spacing w:after="210" w:line="360" w:lineRule="auto"/>
      </w:pPr>
      <w:bookmarkStart w:id="229" w:name="fn21"/>
      <w:bookmarkEnd w:id="229"/>
      <w:r>
        <w:fldChar w:fldCharType="begin"/>
      </w:r>
      <w:r>
        <w:instrText xml:space="preserve"> HYPERLINK "https://jw.muc.edu.cn/info/1020/1702.htm" \h </w:instrText>
      </w:r>
      <w:r>
        <w:fldChar w:fldCharType="separate"/>
      </w:r>
      <w:r>
        <w:rPr>
          <w:rFonts w:ascii="inter" w:hAnsi="inter" w:eastAsia="inter" w:cs="inter"/>
          <w:color w:val="000000"/>
          <w:sz w:val="18"/>
          <w:u w:val="single"/>
        </w:rPr>
        <w:t>https://jw.muc.edu.cn/info/1020/1702.htm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906924">
      <w:pPr>
        <w:numPr>
          <w:ilvl w:val="0"/>
          <w:numId w:val="22"/>
        </w:numPr>
        <w:spacing w:after="210" w:line="360" w:lineRule="auto"/>
      </w:pPr>
      <w:bookmarkStart w:id="230" w:name="fn22"/>
      <w:bookmarkEnd w:id="230"/>
      <w:r>
        <w:fldChar w:fldCharType="begin"/>
      </w:r>
      <w:r>
        <w:instrText xml:space="preserve"> HYPERLINK "https://jcb.hnzj.edu.cn/info/1070/2002.htm" \h </w:instrText>
      </w:r>
      <w:r>
        <w:fldChar w:fldCharType="separate"/>
      </w:r>
      <w:r>
        <w:rPr>
          <w:rFonts w:ascii="inter" w:hAnsi="inter" w:eastAsia="inter" w:cs="inter"/>
          <w:color w:val="000000"/>
          <w:sz w:val="18"/>
          <w:u w:val="single"/>
        </w:rPr>
        <w:t>https://jcb.hnzj.edu.cn/info/1070/2002.htm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9DB705">
      <w:pPr>
        <w:numPr>
          <w:ilvl w:val="0"/>
          <w:numId w:val="22"/>
        </w:numPr>
        <w:spacing w:after="210" w:line="360" w:lineRule="auto"/>
      </w:pPr>
      <w:bookmarkStart w:id="231" w:name="fn23"/>
      <w:bookmarkEnd w:id="231"/>
      <w:r>
        <w:fldChar w:fldCharType="begin"/>
      </w:r>
      <w:r>
        <w:instrText xml:space="preserve"> HYPERLINK "https://cet.swjtu.edu.cn/info/2301/55671.htm" \h </w:instrText>
      </w:r>
      <w:r>
        <w:fldChar w:fldCharType="separate"/>
      </w:r>
      <w:r>
        <w:rPr>
          <w:rFonts w:ascii="inter" w:hAnsi="inter" w:eastAsia="inter" w:cs="inter"/>
          <w:color w:val="000000"/>
          <w:sz w:val="18"/>
          <w:u w:val="single"/>
        </w:rPr>
        <w:t>https://cet.swjtu.edu.cn/info/2301/55671.htm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30511C">
      <w:pPr>
        <w:numPr>
          <w:ilvl w:val="0"/>
          <w:numId w:val="22"/>
        </w:numPr>
        <w:spacing w:after="210" w:line="360" w:lineRule="auto"/>
      </w:pPr>
      <w:bookmarkStart w:id="232" w:name="fn24"/>
      <w:bookmarkEnd w:id="232"/>
      <w:r>
        <w:fldChar w:fldCharType="begin"/>
      </w:r>
      <w:r>
        <w:instrText xml:space="preserve"> HYPERLINK "http://www.china-cssc.org/show-13-485-1.html" \h </w:instrText>
      </w:r>
      <w:r>
        <w:fldChar w:fldCharType="separate"/>
      </w:r>
      <w:r>
        <w:rPr>
          <w:rFonts w:ascii="inter" w:hAnsi="inter" w:eastAsia="inter" w:cs="inter"/>
          <w:color w:val="000000"/>
          <w:sz w:val="18"/>
          <w:u w:val="single"/>
        </w:rPr>
        <w:t>http://www.china-cssc.org/show-13-485-1.html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1F8527">
      <w:pPr>
        <w:numPr>
          <w:ilvl w:val="0"/>
          <w:numId w:val="22"/>
        </w:numPr>
        <w:spacing w:after="210" w:line="360" w:lineRule="auto"/>
      </w:pPr>
      <w:bookmarkStart w:id="233" w:name="fn25"/>
      <w:bookmarkEnd w:id="233"/>
      <w:r>
        <w:fldChar w:fldCharType="begin"/>
      </w:r>
      <w:r>
        <w:instrText xml:space="preserve"> HYPERLINK "https://newtc.enetedu.com/Portal/Course/CourseInfo?id=33" \h </w:instrText>
      </w:r>
      <w:r>
        <w:fldChar w:fldCharType="separate"/>
      </w:r>
      <w:r>
        <w:rPr>
          <w:rFonts w:ascii="inter" w:hAnsi="inter" w:eastAsia="inter" w:cs="inter"/>
          <w:color w:val="000000"/>
          <w:sz w:val="18"/>
          <w:u w:val="single"/>
        </w:rPr>
        <w:t>https://newtc.enetedu.com/Portal/Course/CourseInfo?id=33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3AFE50">
      <w:pPr>
        <w:numPr>
          <w:ilvl w:val="0"/>
          <w:numId w:val="22"/>
        </w:numPr>
        <w:spacing w:after="210" w:line="360" w:lineRule="auto"/>
      </w:pPr>
      <w:bookmarkStart w:id="234" w:name="fn26"/>
      <w:bookmarkEnd w:id="234"/>
      <w:r>
        <w:fldChar w:fldCharType="begin"/>
      </w:r>
      <w:r>
        <w:instrText xml:space="preserve"> HYPERLINK "https://www.view.sdu.edu.cn/info/1445/206741.htm" \h </w:instrText>
      </w:r>
      <w:r>
        <w:fldChar w:fldCharType="separate"/>
      </w:r>
      <w:r>
        <w:rPr>
          <w:rFonts w:ascii="inter" w:hAnsi="inter" w:eastAsia="inter" w:cs="inter"/>
          <w:color w:val="000000"/>
          <w:sz w:val="18"/>
          <w:u w:val="single"/>
        </w:rPr>
        <w:t>https://www.view.sdu.edu.cn/info/1445/206741.htm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2ED1B2">
      <w:pPr>
        <w:numPr>
          <w:ilvl w:val="0"/>
          <w:numId w:val="22"/>
        </w:numPr>
        <w:spacing w:after="210" w:line="360" w:lineRule="auto"/>
      </w:pPr>
      <w:bookmarkStart w:id="235" w:name="fn27"/>
      <w:bookmarkEnd w:id="235"/>
      <w:r>
        <w:fldChar w:fldCharType="begin"/>
      </w:r>
      <w:r>
        <w:instrText xml:space="preserve"> HYPERLINK "https://jw.cqjtu.edu.cn/__local/3/BF/44/AE6AD986C4C5A7093FB595BC3EE_4582F9DA_4C952.pdf" \h </w:instrText>
      </w:r>
      <w:r>
        <w:fldChar w:fldCharType="separate"/>
      </w:r>
      <w:r>
        <w:rPr>
          <w:rFonts w:ascii="inter" w:hAnsi="inter" w:eastAsia="inter" w:cs="inter"/>
          <w:color w:val="000000"/>
          <w:sz w:val="18"/>
          <w:u w:val="single"/>
        </w:rPr>
        <w:t>https://jw.cqjtu.edu.cn/__local/3/BF/44/AE6AD986C4C5A7093FB595BC3EE_4582F9DA_4C952.pdf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E08496">
      <w:pPr>
        <w:numPr>
          <w:ilvl w:val="0"/>
          <w:numId w:val="22"/>
        </w:numPr>
        <w:spacing w:after="210" w:line="360" w:lineRule="auto"/>
      </w:pPr>
      <w:bookmarkStart w:id="236" w:name="fn28"/>
      <w:bookmarkEnd w:id="236"/>
      <w:r>
        <w:fldChar w:fldCharType="begin"/>
      </w:r>
      <w:r>
        <w:instrText xml:space="preserve"> HYPERLINK "https://www.caie.edu.cn/info/1027/20191.htm" \h </w:instrText>
      </w:r>
      <w:r>
        <w:fldChar w:fldCharType="separate"/>
      </w:r>
      <w:r>
        <w:rPr>
          <w:rFonts w:ascii="inter" w:hAnsi="inter" w:eastAsia="inter" w:cs="inter"/>
          <w:color w:val="000000"/>
          <w:sz w:val="18"/>
          <w:u w:val="single"/>
        </w:rPr>
        <w:t>https://www.caie.edu.cn/info/1027/20191.htm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E316D8">
      <w:pPr>
        <w:numPr>
          <w:ilvl w:val="0"/>
          <w:numId w:val="22"/>
        </w:numPr>
        <w:spacing w:after="210" w:line="360" w:lineRule="auto"/>
      </w:pPr>
      <w:bookmarkStart w:id="237" w:name="fn29"/>
      <w:bookmarkEnd w:id="237"/>
      <w:r>
        <w:fldChar w:fldCharType="begin"/>
      </w:r>
      <w:r>
        <w:instrText xml:space="preserve"> HYPERLINK "https://jwc.nuc.edu.cn/info/1092/10109.htm" \h </w:instrText>
      </w:r>
      <w:r>
        <w:fldChar w:fldCharType="separate"/>
      </w:r>
      <w:r>
        <w:rPr>
          <w:rFonts w:ascii="inter" w:hAnsi="inter" w:eastAsia="inter" w:cs="inter"/>
          <w:color w:val="000000"/>
          <w:sz w:val="18"/>
          <w:u w:val="single"/>
        </w:rPr>
        <w:t>https://jwc.nuc.edu.cn/info/1092/10109.htm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45871E">
      <w:pPr>
        <w:numPr>
          <w:ilvl w:val="0"/>
          <w:numId w:val="22"/>
        </w:numPr>
        <w:spacing w:after="210" w:line="360" w:lineRule="auto"/>
      </w:pPr>
      <w:bookmarkStart w:id="238" w:name="fn30"/>
      <w:bookmarkEnd w:id="238"/>
      <w:r>
        <w:fldChar w:fldCharType="begin"/>
      </w:r>
      <w:r>
        <w:instrText xml:space="preserve"> HYPERLINK "https://sxy.sdust.edu.cn/__local/3/D8/70/D09E2D1B9C708F557EC94BF6949_9A0C743C_903800.pdf" \h </w:instrText>
      </w:r>
      <w:r>
        <w:fldChar w:fldCharType="separate"/>
      </w:r>
      <w:r>
        <w:rPr>
          <w:rFonts w:ascii="inter" w:hAnsi="inter" w:eastAsia="inter" w:cs="inter"/>
          <w:color w:val="000000"/>
          <w:sz w:val="18"/>
          <w:u w:val="single"/>
        </w:rPr>
        <w:t>https://sxy.sdust.edu.cn/__local/3/D8/70/D09E2D1B9C708F557EC94BF6949_9A0C743C_903800.pdf</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900"/>
        </w:tabs>
        <w:ind w:left="540" w:hanging="360"/>
      </w:pPr>
    </w:lvl>
  </w:abstractNum>
  <w:abstractNum w:abstractNumId="1">
    <w:nsid w:val="9C8AC8EF"/>
    <w:multiLevelType w:val="singleLevel"/>
    <w:tmpl w:val="9C8AC8EF"/>
    <w:lvl w:ilvl="0" w:tentative="0">
      <w:start w:val="1"/>
      <w:numFmt w:val="decimal"/>
      <w:lvlText w:val="%1."/>
      <w:lvlJc w:val="left"/>
      <w:pPr>
        <w:tabs>
          <w:tab w:val="left" w:pos="900"/>
        </w:tabs>
        <w:ind w:left="540" w:hanging="360"/>
      </w:pPr>
    </w:lvl>
  </w:abstractNum>
  <w:abstractNum w:abstractNumId="2">
    <w:nsid w:val="B5E306ED"/>
    <w:multiLevelType w:val="singleLevel"/>
    <w:tmpl w:val="B5E306ED"/>
    <w:lvl w:ilvl="0" w:tentative="0">
      <w:start w:val="1"/>
      <w:numFmt w:val="decimal"/>
      <w:lvlText w:val="%1."/>
      <w:lvlJc w:val="left"/>
      <w:pPr>
        <w:tabs>
          <w:tab w:val="left" w:pos="900"/>
        </w:tabs>
        <w:ind w:left="540" w:hanging="360"/>
      </w:pPr>
    </w:lvl>
  </w:abstractNum>
  <w:abstractNum w:abstractNumId="3">
    <w:nsid w:val="BF205925"/>
    <w:multiLevelType w:val="singleLevel"/>
    <w:tmpl w:val="BF205925"/>
    <w:lvl w:ilvl="0" w:tentative="0">
      <w:start w:val="1"/>
      <w:numFmt w:val="decimal"/>
      <w:lvlText w:val="%1."/>
      <w:lvlJc w:val="left"/>
      <w:pPr>
        <w:tabs>
          <w:tab w:val="left" w:pos="900"/>
        </w:tabs>
        <w:ind w:left="540" w:hanging="360"/>
      </w:pPr>
    </w:lvl>
  </w:abstractNum>
  <w:abstractNum w:abstractNumId="4">
    <w:nsid w:val="C8879AEF"/>
    <w:multiLevelType w:val="singleLevel"/>
    <w:tmpl w:val="C8879AEF"/>
    <w:lvl w:ilvl="0" w:tentative="0">
      <w:start w:val="1"/>
      <w:numFmt w:val="decimal"/>
      <w:lvlText w:val="%1."/>
      <w:lvlJc w:val="left"/>
      <w:pPr>
        <w:tabs>
          <w:tab w:val="left" w:pos="900"/>
        </w:tabs>
        <w:ind w:left="540" w:hanging="360"/>
      </w:pPr>
    </w:lvl>
  </w:abstractNum>
  <w:abstractNum w:abstractNumId="5">
    <w:nsid w:val="CF092B84"/>
    <w:multiLevelType w:val="singleLevel"/>
    <w:tmpl w:val="CF092B84"/>
    <w:lvl w:ilvl="0" w:tentative="0">
      <w:start w:val="1"/>
      <w:numFmt w:val="decimal"/>
      <w:lvlText w:val="%1."/>
      <w:lvlJc w:val="left"/>
      <w:pPr>
        <w:tabs>
          <w:tab w:val="left" w:pos="900"/>
        </w:tabs>
        <w:ind w:left="540" w:hanging="360"/>
      </w:pPr>
    </w:lvl>
  </w:abstractNum>
  <w:abstractNum w:abstractNumId="6">
    <w:nsid w:val="D7F9FE59"/>
    <w:multiLevelType w:val="singleLevel"/>
    <w:tmpl w:val="D7F9FE59"/>
    <w:lvl w:ilvl="0" w:tentative="0">
      <w:start w:val="1"/>
      <w:numFmt w:val="decimal"/>
      <w:lvlText w:val="%1."/>
      <w:lvlJc w:val="left"/>
      <w:pPr>
        <w:tabs>
          <w:tab w:val="left" w:pos="900"/>
        </w:tabs>
        <w:ind w:left="540" w:hanging="360"/>
      </w:pPr>
    </w:lvl>
  </w:abstractNum>
  <w:abstractNum w:abstractNumId="7">
    <w:nsid w:val="DCBA6B53"/>
    <w:multiLevelType w:val="singleLevel"/>
    <w:tmpl w:val="DCBA6B53"/>
    <w:lvl w:ilvl="0" w:tentative="0">
      <w:start w:val="1"/>
      <w:numFmt w:val="decimal"/>
      <w:lvlText w:val="%1."/>
      <w:lvlJc w:val="left"/>
      <w:pPr>
        <w:tabs>
          <w:tab w:val="left" w:pos="900"/>
        </w:tabs>
        <w:ind w:left="540" w:hanging="360"/>
      </w:pPr>
    </w:lvl>
  </w:abstractNum>
  <w:abstractNum w:abstractNumId="8">
    <w:nsid w:val="F4B5D9F5"/>
    <w:multiLevelType w:val="singleLevel"/>
    <w:tmpl w:val="F4B5D9F5"/>
    <w:lvl w:ilvl="0" w:tentative="0">
      <w:start w:val="1"/>
      <w:numFmt w:val="decimal"/>
      <w:lvlText w:val="%1."/>
      <w:lvlJc w:val="left"/>
      <w:pPr>
        <w:tabs>
          <w:tab w:val="left" w:pos="900"/>
        </w:tabs>
        <w:ind w:left="540" w:hanging="360"/>
      </w:pPr>
    </w:lvl>
  </w:abstractNum>
  <w:abstractNum w:abstractNumId="9">
    <w:nsid w:val="0053208E"/>
    <w:multiLevelType w:val="singleLevel"/>
    <w:tmpl w:val="0053208E"/>
    <w:lvl w:ilvl="0" w:tentative="0">
      <w:start w:val="1"/>
      <w:numFmt w:val="decimal"/>
      <w:lvlText w:val="%1."/>
      <w:lvlJc w:val="left"/>
      <w:pPr>
        <w:tabs>
          <w:tab w:val="left" w:pos="900"/>
        </w:tabs>
        <w:ind w:left="540" w:hanging="360"/>
      </w:pPr>
    </w:lvl>
  </w:abstractNum>
  <w:abstractNum w:abstractNumId="10">
    <w:nsid w:val="0248C179"/>
    <w:multiLevelType w:val="multilevel"/>
    <w:tmpl w:val="0248C179"/>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1">
    <w:nsid w:val="03D62ECE"/>
    <w:multiLevelType w:val="singleLevel"/>
    <w:tmpl w:val="03D62ECE"/>
    <w:lvl w:ilvl="0" w:tentative="0">
      <w:start w:val="1"/>
      <w:numFmt w:val="decimal"/>
      <w:lvlText w:val="%1."/>
      <w:lvlJc w:val="left"/>
      <w:pPr>
        <w:tabs>
          <w:tab w:val="left" w:pos="900"/>
        </w:tabs>
        <w:ind w:left="540" w:hanging="360"/>
      </w:pPr>
    </w:lvl>
  </w:abstractNum>
  <w:abstractNum w:abstractNumId="12">
    <w:nsid w:val="0E640482"/>
    <w:multiLevelType w:val="singleLevel"/>
    <w:tmpl w:val="0E640482"/>
    <w:lvl w:ilvl="0" w:tentative="0">
      <w:start w:val="1"/>
      <w:numFmt w:val="decimal"/>
      <w:lvlText w:val="%1."/>
      <w:lvlJc w:val="left"/>
      <w:pPr>
        <w:tabs>
          <w:tab w:val="left" w:pos="900"/>
        </w:tabs>
        <w:ind w:left="540" w:hanging="360"/>
      </w:pPr>
    </w:lvl>
  </w:abstractNum>
  <w:abstractNum w:abstractNumId="13">
    <w:nsid w:val="2470EC97"/>
    <w:multiLevelType w:val="singleLevel"/>
    <w:tmpl w:val="2470EC97"/>
    <w:lvl w:ilvl="0" w:tentative="0">
      <w:start w:val="1"/>
      <w:numFmt w:val="decimal"/>
      <w:lvlText w:val="%1."/>
      <w:lvlJc w:val="left"/>
      <w:pPr>
        <w:tabs>
          <w:tab w:val="left" w:pos="900"/>
        </w:tabs>
        <w:ind w:left="540" w:hanging="360"/>
      </w:pPr>
    </w:lvl>
  </w:abstractNum>
  <w:abstractNum w:abstractNumId="14">
    <w:nsid w:val="25B654F3"/>
    <w:multiLevelType w:val="multilevel"/>
    <w:tmpl w:val="25B654F3"/>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5">
    <w:nsid w:val="2A8F537B"/>
    <w:multiLevelType w:val="singleLevel"/>
    <w:tmpl w:val="2A8F537B"/>
    <w:lvl w:ilvl="0" w:tentative="0">
      <w:start w:val="1"/>
      <w:numFmt w:val="decimal"/>
      <w:lvlText w:val="%1."/>
      <w:lvlJc w:val="left"/>
      <w:pPr>
        <w:tabs>
          <w:tab w:val="left" w:pos="900"/>
        </w:tabs>
        <w:ind w:left="540" w:hanging="360"/>
      </w:pPr>
    </w:lvl>
  </w:abstractNum>
  <w:abstractNum w:abstractNumId="16">
    <w:nsid w:val="4C1BAE26"/>
    <w:multiLevelType w:val="multilevel"/>
    <w:tmpl w:val="4C1BAE26"/>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7">
    <w:nsid w:val="4D4DC07F"/>
    <w:multiLevelType w:val="multilevel"/>
    <w:tmpl w:val="4D4DC07F"/>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8">
    <w:nsid w:val="59ADCABA"/>
    <w:multiLevelType w:val="singleLevel"/>
    <w:tmpl w:val="59ADCABA"/>
    <w:lvl w:ilvl="0" w:tentative="0">
      <w:start w:val="1"/>
      <w:numFmt w:val="decimal"/>
      <w:lvlText w:val="%1."/>
      <w:lvlJc w:val="left"/>
      <w:pPr>
        <w:tabs>
          <w:tab w:val="left" w:pos="900"/>
        </w:tabs>
        <w:ind w:left="540" w:hanging="360"/>
      </w:pPr>
    </w:lvl>
  </w:abstractNum>
  <w:abstractNum w:abstractNumId="19">
    <w:nsid w:val="5A241D34"/>
    <w:multiLevelType w:val="multilevel"/>
    <w:tmpl w:val="5A241D34"/>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0">
    <w:nsid w:val="60382F6E"/>
    <w:multiLevelType w:val="multilevel"/>
    <w:tmpl w:val="60382F6E"/>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1">
    <w:nsid w:val="72183CF9"/>
    <w:multiLevelType w:val="singleLevel"/>
    <w:tmpl w:val="72183CF9"/>
    <w:lvl w:ilvl="0" w:tentative="0">
      <w:start w:val="1"/>
      <w:numFmt w:val="decimal"/>
      <w:lvlText w:val="%1."/>
      <w:lvlJc w:val="left"/>
      <w:pPr>
        <w:tabs>
          <w:tab w:val="left" w:pos="900"/>
        </w:tabs>
        <w:ind w:left="540" w:hanging="360"/>
      </w:p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CC40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1090</Words>
  <Characters>1141</Characters>
  <TotalTime>0</TotalTime>
  <ScaleCrop>false</ScaleCrop>
  <LinksUpToDate>false</LinksUpToDate>
  <CharactersWithSpaces>1143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2026-01-12T16:41:00Z</dcterms:created>
  <dc:creator>html-to-docx</dc:creator>
  <cp:keywords>html-to-docx</cp:keywords>
  <cp:lastModifiedBy>dyx</cp:lastModifiedBy>
  <dcterms:modified xsi:type="dcterms:W3CDTF">2026-01-17T18:12:01Z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942D93F640224455A790103F856AF202_12</vt:lpwstr>
  </property>
</Properties>
</file>