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20" w:right="333"/>
        <w:spacing w:before="91" w:line="215" w:lineRule="auto"/>
        <w:outlineLvl w:val="0"/>
        <w:rPr>
          <w:sz w:val="45"/>
          <w:szCs w:val="45"/>
        </w:rPr>
      </w:pPr>
      <w:r>
        <w:rPr>
          <w:sz w:val="45"/>
          <w:szCs w:val="45"/>
        </w:rPr>
        <w:t>全国高校教师教学创新大赛与全国高校青年教师教</w:t>
      </w:r>
      <w:r>
        <w:rPr>
          <w:sz w:val="45"/>
          <w:szCs w:val="45"/>
          <w:spacing w:val="4"/>
        </w:rPr>
        <w:t xml:space="preserve"> </w:t>
      </w:r>
      <w:r>
        <w:rPr>
          <w:sz w:val="45"/>
          <w:szCs w:val="45"/>
          <w:spacing w:val="-1"/>
        </w:rPr>
        <w:t>学竞赛全国一等奖课程情况与资料汇总报告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125"/>
        <w:spacing w:before="114" w:line="223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1"/>
        </w:rPr>
        <w:t>引言</w:t>
      </w:r>
    </w:p>
    <w:p>
      <w:pPr>
        <w:pStyle w:val="BodyText"/>
        <w:ind w:right="139" w:firstLine="120"/>
        <w:spacing w:before="202" w:line="324" w:lineRule="auto"/>
        <w:jc w:val="both"/>
        <w:rPr/>
      </w:pPr>
      <w:r>
        <w:rPr>
          <w:spacing w:val="-9"/>
        </w:rPr>
        <w:t>本报告针对“全国高校教师教学创新大赛”简称“创新赛”)</w:t>
      </w:r>
      <w:r>
        <w:rPr>
          <w:spacing w:val="-10"/>
        </w:rPr>
        <w:t>和“全国高校青年教师教学竞赛”简称</w:t>
      </w:r>
      <w:r>
        <w:rPr/>
        <w:t xml:space="preserve"> </w:t>
      </w:r>
      <w:r>
        <w:rPr/>
        <w:t>“青教赛”)两类国家级赛事，重点汇总其全国一等奖获奖</w:t>
      </w:r>
      <w:r>
        <w:rPr>
          <w:spacing w:val="-1"/>
        </w:rPr>
        <w:t>课程的相关情况与资料。报告基于公开</w:t>
      </w:r>
      <w:r>
        <w:rPr/>
        <w:t xml:space="preserve"> </w:t>
      </w:r>
      <w:r>
        <w:rPr>
          <w:spacing w:val="-1"/>
        </w:rPr>
        <w:t>渠道信息，旨在为高等教育教学研究提供参考。内容限定于全国级赛事，涵盖竞赛背景、</w:t>
      </w:r>
      <w:r>
        <w:rPr>
          <w:spacing w:val="60"/>
        </w:rPr>
        <w:t xml:space="preserve"> </w:t>
      </w:r>
      <w:r>
        <w:rPr>
          <w:spacing w:val="-1"/>
        </w:rPr>
        <w:t>一等奖</w:t>
      </w:r>
      <w:r>
        <w:rPr/>
        <w:t xml:space="preserve"> </w:t>
      </w:r>
      <w:r>
        <w:rPr>
          <w:spacing w:val="3"/>
        </w:rPr>
        <w:t>课程案例、情况总结、可用资料、异同说明及信息来源。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pStyle w:val="BodyText"/>
        <w:ind w:left="125"/>
        <w:spacing w:before="113" w:line="221" w:lineRule="auto"/>
        <w:outlineLvl w:val="1"/>
        <w:rPr>
          <w:sz w:val="35"/>
          <w:szCs w:val="35"/>
        </w:rPr>
      </w:pPr>
      <w:r>
        <w:rPr>
          <w:sz w:val="35"/>
          <w:szCs w:val="35"/>
          <w:b/>
          <w:bCs/>
          <w:spacing w:val="6"/>
        </w:rPr>
        <w:t>一、竞赛背景介绍</w:t>
      </w:r>
    </w:p>
    <w:p>
      <w:pPr>
        <w:pStyle w:val="BodyText"/>
        <w:ind w:left="124"/>
        <w:spacing w:before="210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3"/>
        </w:rPr>
        <w:t>1.1全国高校教师教学创新大赛(创新赛)</w:t>
      </w:r>
    </w:p>
    <w:p>
      <w:pPr>
        <w:pStyle w:val="BodyText"/>
        <w:ind w:left="119"/>
        <w:spacing w:before="216" w:line="322" w:lineRule="auto"/>
        <w:rPr/>
      </w:pPr>
      <w:r>
        <w:rPr/>
        <w:t>创新赛是由中国高等教育学会主办、教育部高等教育司指导的国家级赛事，旨在推动高校教师教</w:t>
      </w:r>
      <w:r>
        <w:rPr>
          <w:spacing w:val="8"/>
        </w:rPr>
        <w:t xml:space="preserve">  </w:t>
      </w:r>
      <w:r>
        <w:rPr>
          <w:spacing w:val="9"/>
        </w:rPr>
        <w:t>学改革与创新，提升人才培养质量。该赛事自2020年首届起，已</w:t>
      </w:r>
      <w:r>
        <w:rPr>
          <w:spacing w:val="8"/>
        </w:rPr>
        <w:t>举办至第五届(2025年)。近几</w:t>
      </w:r>
      <w:r>
        <w:rPr/>
        <w:t xml:space="preserve"> </w:t>
      </w:r>
      <w:r>
        <w:rPr>
          <w:spacing w:val="9"/>
        </w:rPr>
        <w:t>届情况：第五届(2025年)吸引全国高校</w:t>
      </w:r>
      <w:r>
        <w:rPr>
          <w:spacing w:val="8"/>
        </w:rPr>
        <w:t>广泛参与，经校赛、省赛、全国赛层层选拔，共产生一</w:t>
      </w:r>
      <w:r>
        <w:rPr/>
        <w:t xml:space="preserve"> </w:t>
      </w:r>
      <w:r>
        <w:rPr>
          <w:spacing w:val="5"/>
        </w:rPr>
        <w:t>等奖88个教师(团队)、二等奖205个、三等奖295个。主要比赛目标包括推广“四新”建设(新工</w:t>
      </w:r>
      <w:r>
        <w:rPr>
          <w:spacing w:val="14"/>
        </w:rPr>
        <w:t xml:space="preserve"> </w:t>
      </w:r>
      <w:r>
        <w:rPr/>
        <w:t>科、新医科、新农科、新文科)、基础课程优化、课程思政融入及产教融合。组别设置：分为部属</w:t>
      </w:r>
      <w:r>
        <w:rPr>
          <w:spacing w:val="18"/>
        </w:rPr>
        <w:t xml:space="preserve"> </w:t>
      </w:r>
      <w:r>
        <w:rPr>
          <w:spacing w:val="-6"/>
        </w:rPr>
        <w:t>高校组和地方高校组，下设正高、副高、中级及以下三个职务等级，并按“四新”、基础课程、课</w:t>
      </w:r>
      <w:r>
        <w:rPr>
          <w:spacing w:val="2"/>
        </w:rPr>
        <w:t xml:space="preserve">  </w:t>
      </w:r>
      <w:r>
        <w:rPr>
          <w:spacing w:val="1"/>
        </w:rPr>
        <w:t>程思政、产教融合等赛道分组，共20个组别。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2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7"/>
        </w:rPr>
        <w:t>1.2全国高校青年教师教学竞赛(青教赛)</w:t>
      </w:r>
    </w:p>
    <w:p>
      <w:pPr>
        <w:pStyle w:val="BodyText"/>
        <w:ind w:left="119" w:right="140"/>
        <w:spacing w:before="234" w:line="312" w:lineRule="auto"/>
        <w:rPr/>
      </w:pPr>
      <w:r>
        <w:rPr/>
        <w:t>青教赛是由中华全国总工会、教育部主办，中国教科文卫体工会、教育部教师工作司承办的国家</w:t>
      </w:r>
      <w:r>
        <w:rPr>
          <w:spacing w:val="17"/>
        </w:rPr>
        <w:t xml:space="preserve"> </w:t>
      </w:r>
      <w:r>
        <w:rPr>
          <w:spacing w:val="2"/>
        </w:rPr>
        <w:t>级赛事，聚焦青年教师教学基本功锤炼与师德师风建设。该赛事自2012年起，已举办至第七届</w:t>
      </w:r>
    </w:p>
    <w:p>
      <w:pPr>
        <w:pStyle w:val="BodyText"/>
        <w:ind w:left="119" w:right="30" w:firstLine="169"/>
        <w:spacing w:before="19" w:line="311" w:lineRule="auto"/>
        <w:rPr/>
      </w:pPr>
      <w:r>
        <w:rPr>
          <w:spacing w:val="16"/>
        </w:rPr>
        <w:t>(2024年)。近几届情况：第七届(2</w:t>
      </w:r>
      <w:r>
        <w:rPr>
          <w:spacing w:val="15"/>
        </w:rPr>
        <w:t>024年)有全国31个省(区、市)及新疆生产建设兵团的</w:t>
      </w:r>
      <w:r>
        <w:rPr/>
        <w:t xml:space="preserve">  </w:t>
      </w:r>
      <w:r>
        <w:rPr/>
        <w:t>159名青年教师晋级决赛，平均年龄36.1岁。主要比赛目标为激发青年教师更新教育理念、掌握现</w:t>
      </w:r>
      <w:r>
        <w:rPr>
          <w:spacing w:val="7"/>
        </w:rPr>
        <w:t xml:space="preserve"> </w:t>
      </w:r>
      <w:r>
        <w:rPr>
          <w:spacing w:val="1"/>
        </w:rPr>
        <w:t>代教学方法，提升课堂教学质量。组别设置：分为文</w:t>
      </w:r>
      <w:r>
        <w:rPr/>
        <w:t>科、理科、工科、医科、思想政治课专项五</w:t>
      </w:r>
      <w:r>
        <w:rPr/>
        <w:t xml:space="preserve">  </w:t>
      </w:r>
      <w:r>
        <w:rPr>
          <w:spacing w:val="-2"/>
        </w:rPr>
        <w:t>个组别，每组注重教学设计、课堂教学与教学反思。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25"/>
        <w:spacing w:before="115" w:line="221" w:lineRule="auto"/>
        <w:outlineLvl w:val="1"/>
        <w:rPr>
          <w:sz w:val="35"/>
          <w:szCs w:val="35"/>
        </w:rPr>
      </w:pPr>
      <w:r>
        <w:rPr>
          <w:sz w:val="35"/>
          <w:szCs w:val="35"/>
          <w:b/>
          <w:bCs/>
          <w:spacing w:val="5"/>
        </w:rPr>
        <w:t>二、一等奖课程案例列举</w:t>
      </w:r>
    </w:p>
    <w:p>
      <w:pPr>
        <w:spacing w:line="221" w:lineRule="auto"/>
        <w:sectPr>
          <w:pgSz w:w="12240" w:h="15840"/>
          <w:pgMar w:top="1173" w:right="1020" w:bottom="0" w:left="860" w:header="0" w:footer="0" w:gutter="0"/>
        </w:sectPr>
        <w:rPr>
          <w:sz w:val="35"/>
          <w:szCs w:val="35"/>
        </w:rPr>
      </w:pPr>
    </w:p>
    <w:p>
      <w:pPr>
        <w:pStyle w:val="BodyText"/>
        <w:ind w:left="518"/>
        <w:spacing w:before="41" w:line="405" w:lineRule="auto"/>
        <w:rPr>
          <w:sz w:val="21"/>
          <w:szCs w:val="21"/>
        </w:rPr>
      </w:pPr>
      <w:r>
        <w:rPr>
          <w:sz w:val="21"/>
          <w:szCs w:val="21"/>
          <w:spacing w:val="31"/>
        </w:rPr>
        <w:t>以下为两类竞赛的代表性全国</w:t>
      </w:r>
      <w:r>
        <w:rPr>
          <w:sz w:val="21"/>
          <w:szCs w:val="21"/>
          <w:spacing w:val="-60"/>
        </w:rPr>
        <w:t xml:space="preserve"> </w:t>
      </w:r>
      <w:r>
        <w:rPr>
          <w:sz w:val="21"/>
          <w:szCs w:val="21"/>
          <w:spacing w:val="31"/>
        </w:rPr>
        <w:t>一等奖课程案例，每类列举3个(基于近届获奖名单</w:t>
      </w:r>
      <w:r>
        <w:rPr>
          <w:sz w:val="21"/>
          <w:szCs w:val="21"/>
          <w:spacing w:val="30"/>
        </w:rPr>
        <w:t>选取)。信息包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3"/>
        </w:rPr>
        <w:t>括所属高校、课程名称、主讲教师、所属学科(或</w:t>
      </w:r>
      <w:r>
        <w:rPr>
          <w:sz w:val="21"/>
          <w:szCs w:val="21"/>
          <w:spacing w:val="32"/>
        </w:rPr>
        <w:t>组别)。</w:t>
      </w:r>
    </w:p>
    <w:p>
      <w:pPr>
        <w:pStyle w:val="BodyText"/>
        <w:ind w:left="522"/>
        <w:spacing w:before="276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2.1创新赛一等奖课程案例</w:t>
      </w:r>
    </w:p>
    <w:p>
      <w:pPr>
        <w:spacing w:line="173" w:lineRule="exact"/>
        <w:rPr/>
      </w:pPr>
      <w:r/>
    </w:p>
    <w:p>
      <w:pPr>
        <w:spacing w:line="173" w:lineRule="exact"/>
        <w:sectPr>
          <w:pgSz w:w="12240" w:h="15840"/>
          <w:pgMar w:top="1245" w:right="1162" w:bottom="0" w:left="471" w:header="0" w:footer="0" w:gutter="0"/>
          <w:cols w:equalWidth="0" w:num="1">
            <w:col w:w="10606" w:space="0"/>
          </w:cols>
        </w:sectPr>
        <w:rPr/>
      </w:pPr>
    </w:p>
    <w:p>
      <w:pPr>
        <w:pStyle w:val="BodyText"/>
        <w:ind w:left="518" w:right="341"/>
        <w:spacing w:before="42" w:line="314" w:lineRule="auto"/>
        <w:rPr>
          <w:sz w:val="21"/>
          <w:szCs w:val="21"/>
        </w:rPr>
      </w:pPr>
      <w:r>
        <w:rPr>
          <w:sz w:val="21"/>
          <w:szCs w:val="21"/>
          <w:spacing w:val="-9"/>
        </w:rPr>
        <w:t>序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3"/>
        </w:rPr>
        <w:t>号</w:t>
      </w:r>
    </w:p>
    <w:p>
      <w:pPr>
        <w:ind w:left="518"/>
        <w:spacing w:before="252" w:line="24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spacing w:before="69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5"/>
        </w:rPr>
        <w:t>所属高校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69" w:line="221" w:lineRule="auto"/>
        <w:rPr>
          <w:sz w:val="21"/>
          <w:szCs w:val="21"/>
        </w:rPr>
      </w:pPr>
      <w:r>
        <w:rPr>
          <w:sz w:val="21"/>
          <w:szCs w:val="21"/>
          <w:spacing w:val="2"/>
        </w:rPr>
        <w:t>西南交通大学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9" w:line="22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课程名称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8" w:right="238" w:hanging="9"/>
        <w:spacing w:before="69" w:line="24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土木工程结构设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9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3"/>
        </w:rPr>
        <w:t>主讲教师(团队)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spacing w:before="69" w:line="221" w:lineRule="auto"/>
        <w:rPr>
          <w:sz w:val="21"/>
          <w:szCs w:val="21"/>
        </w:rPr>
      </w:pPr>
      <w:r>
        <w:rPr>
          <w:sz w:val="21"/>
          <w:szCs w:val="21"/>
          <w:spacing w:val="11"/>
        </w:rPr>
        <w:t>富海鹰(团队：未知)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9" w:line="22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所属学科/组别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right="141" w:firstLine="6"/>
        <w:spacing w:before="68" w:line="250" w:lineRule="auto"/>
        <w:rPr>
          <w:sz w:val="21"/>
          <w:szCs w:val="21"/>
        </w:rPr>
      </w:pPr>
      <w:r>
        <w:rPr>
          <w:sz w:val="21"/>
          <w:szCs w:val="21"/>
          <w:spacing w:val="-20"/>
          <w:w w:val="98"/>
        </w:rPr>
        <w:t>工科/“四新”建设赛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道</w:t>
      </w:r>
    </w:p>
    <w:p>
      <w:pPr>
        <w:spacing w:line="250" w:lineRule="auto"/>
        <w:sectPr>
          <w:type w:val="continuous"/>
          <w:pgSz w:w="12240" w:h="15840"/>
          <w:pgMar w:top="1245" w:right="1162" w:bottom="0" w:left="471" w:header="0" w:footer="0" w:gutter="0"/>
          <w:cols w:equalWidth="0" w:num="5">
            <w:col w:w="1062" w:space="100"/>
            <w:col w:w="1708" w:space="100"/>
            <w:col w:w="1700" w:space="100"/>
            <w:col w:w="3834" w:space="100"/>
            <w:col w:w="1904" w:space="0"/>
          </w:cols>
        </w:sectPr>
        <w:rPr>
          <w:sz w:val="21"/>
          <w:szCs w:val="21"/>
        </w:rPr>
      </w:pPr>
    </w:p>
    <w:tbl>
      <w:tblPr>
        <w:tblStyle w:val="TableNormal"/>
        <w:tblW w:w="10080" w:type="dxa"/>
        <w:tblInd w:w="51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75"/>
        <w:gridCol w:w="1815"/>
        <w:gridCol w:w="3920"/>
        <w:gridCol w:w="2070"/>
      </w:tblGrid>
      <w:tr>
        <w:trPr>
          <w:trHeight w:val="935" w:hRule="atLeast"/>
        </w:trPr>
        <w:tc>
          <w:tcPr>
            <w:tcW w:w="227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ind w:left="680" w:right="162" w:hanging="680"/>
              <w:spacing w:before="68" w:line="22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spacing w:val="7"/>
              </w:rPr>
              <w:t xml:space="preserve">     </w:t>
            </w: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广东外语外贸大</w:t>
            </w:r>
            <w:r>
              <w:rPr>
                <w:rFonts w:ascii="SimHei" w:hAnsi="SimHei" w:eastAsia="SimHei" w:cs="SimHei"/>
                <w:sz w:val="21"/>
                <w:szCs w:val="21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</w:rPr>
              <w:t>学</w:t>
            </w:r>
          </w:p>
        </w:tc>
        <w:tc>
          <w:tcPr>
            <w:tcW w:w="18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ind w:left="175"/>
              <w:spacing w:before="68" w:line="218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2"/>
              </w:rPr>
              <w:t>英语教学方法论</w:t>
            </w:r>
          </w:p>
        </w:tc>
        <w:tc>
          <w:tcPr>
            <w:tcW w:w="39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ind w:left="238" w:right="160" w:hanging="79"/>
              <w:spacing w:before="68" w:line="22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7"/>
              </w:rPr>
              <w:t>范栩颖(团队：李惠胤、张学进、吕剑</w:t>
            </w:r>
            <w:r>
              <w:rPr>
                <w:rFonts w:ascii="SimHei" w:hAnsi="SimHei" w:eastAsia="SimHei" w:cs="SimHei"/>
                <w:sz w:val="21"/>
                <w:szCs w:val="21"/>
                <w:spacing w:val="14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spacing w:val="-4"/>
              </w:rPr>
              <w:t>涛</w:t>
            </w:r>
            <w:r>
              <w:rPr>
                <w:rFonts w:ascii="SimHei" w:hAnsi="SimHei" w:eastAsia="SimHei" w:cs="SimHei"/>
                <w:sz w:val="21"/>
                <w:szCs w:val="21"/>
                <w:spacing w:val="16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spacing w:val="-4"/>
              </w:rPr>
              <w:t>)</w:t>
            </w:r>
          </w:p>
        </w:tc>
        <w:tc>
          <w:tcPr>
            <w:tcW w:w="20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ind w:left="180"/>
              <w:spacing w:before="68" w:line="218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文科/基础课程组</w:t>
            </w:r>
          </w:p>
        </w:tc>
      </w:tr>
    </w:tbl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518"/>
        <w:spacing w:before="68" w:line="222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3     </w:t>
      </w:r>
      <w:r>
        <w:rPr>
          <w:sz w:val="21"/>
          <w:szCs w:val="21"/>
          <w:spacing w:val="3"/>
        </w:rPr>
        <w:t>深圳大学</w:t>
      </w:r>
      <w:r>
        <w:rPr>
          <w:sz w:val="21"/>
          <w:szCs w:val="21"/>
          <w:spacing w:val="3"/>
        </w:rPr>
        <w:t xml:space="preserve">         </w:t>
      </w:r>
      <w:r>
        <w:rPr>
          <w:sz w:val="21"/>
          <w:szCs w:val="21"/>
          <w:spacing w:val="3"/>
        </w:rPr>
        <w:t>数字信号处理</w:t>
      </w:r>
      <w:r>
        <w:rPr>
          <w:sz w:val="21"/>
          <w:szCs w:val="21"/>
          <w:spacing w:val="3"/>
        </w:rPr>
        <w:t xml:space="preserve">     </w:t>
      </w:r>
      <w:r>
        <w:rPr>
          <w:sz w:val="21"/>
          <w:szCs w:val="21"/>
          <w:spacing w:val="3"/>
        </w:rPr>
        <w:t>张沛昌(团队：未知)</w:t>
      </w:r>
      <w:r>
        <w:rPr>
          <w:sz w:val="21"/>
          <w:szCs w:val="21"/>
          <w:spacing w:val="3"/>
        </w:rPr>
        <w:t xml:space="preserve">                  </w:t>
      </w:r>
      <w:r>
        <w:rPr>
          <w:sz w:val="21"/>
          <w:szCs w:val="21"/>
          <w:spacing w:val="3"/>
        </w:rPr>
        <w:t>工科/产教融合赛道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522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2"/>
        </w:rPr>
        <w:t>2.2青教赛一等奖课程案例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521"/>
        <w:spacing w:before="69" w:line="22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序号</w:t>
      </w:r>
      <w:r>
        <w:rPr>
          <w:sz w:val="21"/>
          <w:szCs w:val="21"/>
          <w:spacing w:val="-3"/>
        </w:rPr>
        <w:t xml:space="preserve">  </w:t>
      </w:r>
      <w:r>
        <w:rPr>
          <w:sz w:val="21"/>
          <w:szCs w:val="21"/>
          <w:b/>
          <w:bCs/>
          <w:spacing w:val="-3"/>
        </w:rPr>
        <w:t>所属高校</w:t>
      </w:r>
      <w:r>
        <w:rPr>
          <w:sz w:val="21"/>
          <w:szCs w:val="21"/>
          <w:spacing w:val="10"/>
        </w:rPr>
        <w:t xml:space="preserve">      </w:t>
      </w:r>
      <w:r>
        <w:rPr>
          <w:sz w:val="21"/>
          <w:szCs w:val="21"/>
          <w:b/>
          <w:bCs/>
          <w:spacing w:val="-3"/>
        </w:rPr>
        <w:t>课程名称</w:t>
      </w:r>
      <w:r>
        <w:rPr>
          <w:sz w:val="21"/>
          <w:szCs w:val="21"/>
          <w:spacing w:val="5"/>
        </w:rPr>
        <w:t xml:space="preserve">        </w:t>
      </w:r>
      <w:r>
        <w:rPr>
          <w:sz w:val="21"/>
          <w:szCs w:val="21"/>
          <w:b/>
          <w:bCs/>
          <w:spacing w:val="-3"/>
        </w:rPr>
        <w:t>主讲教师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b/>
          <w:bCs/>
          <w:spacing w:val="-3"/>
        </w:rPr>
        <w:t>所属学科/组别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518"/>
        <w:spacing w:before="69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-23"/>
        </w:rPr>
        <w:t xml:space="preserve"> </w:t>
      </w:r>
      <w:r>
        <w:rPr>
          <w:sz w:val="21"/>
          <w:szCs w:val="21"/>
          <w:u w:val="single" w:color="auto"/>
          <w:spacing w:val="20"/>
        </w:rPr>
        <w:t xml:space="preserve">   </w:t>
      </w:r>
      <w:r>
        <w:rPr>
          <w:sz w:val="21"/>
          <w:szCs w:val="21"/>
          <w:u w:val="single" w:color="auto"/>
          <w:spacing w:val="-9"/>
        </w:rPr>
        <w:t>清</w:t>
      </w:r>
      <w:r>
        <w:rPr>
          <w:sz w:val="21"/>
          <w:szCs w:val="21"/>
          <w:u w:val="single" w:color="auto"/>
          <w:spacing w:val="-9"/>
        </w:rPr>
        <w:t xml:space="preserve"> </w:t>
      </w:r>
      <w:r>
        <w:rPr>
          <w:sz w:val="21"/>
          <w:szCs w:val="21"/>
          <w:u w:val="single" w:color="auto"/>
          <w:spacing w:val="-9"/>
        </w:rPr>
        <w:t>华</w:t>
      </w:r>
      <w:r>
        <w:rPr>
          <w:sz w:val="21"/>
          <w:szCs w:val="21"/>
          <w:u w:val="single" w:color="auto"/>
          <w:spacing w:val="-21"/>
        </w:rPr>
        <w:t xml:space="preserve"> </w:t>
      </w:r>
      <w:r>
        <w:rPr>
          <w:sz w:val="21"/>
          <w:szCs w:val="21"/>
          <w:u w:val="single" w:color="auto"/>
          <w:spacing w:val="-9"/>
        </w:rPr>
        <w:t>大</w:t>
      </w:r>
      <w:r>
        <w:rPr>
          <w:sz w:val="21"/>
          <w:szCs w:val="21"/>
          <w:u w:val="single" w:color="auto"/>
          <w:spacing w:val="-9"/>
        </w:rPr>
        <w:t xml:space="preserve"> </w:t>
      </w:r>
      <w:r>
        <w:rPr>
          <w:sz w:val="21"/>
          <w:szCs w:val="21"/>
          <w:u w:val="single" w:color="auto"/>
          <w:spacing w:val="-9"/>
        </w:rPr>
        <w:t>学</w:t>
      </w:r>
      <w:r>
        <w:rPr>
          <w:sz w:val="21"/>
          <w:szCs w:val="21"/>
          <w:u w:val="single" w:color="auto"/>
          <w:spacing w:val="-9"/>
        </w:rPr>
        <w:t xml:space="preserve">    </w:t>
      </w:r>
      <w:r>
        <w:rPr>
          <w:sz w:val="21"/>
          <w:szCs w:val="21"/>
          <w:u w:val="single" w:color="auto"/>
          <w:spacing w:val="-9"/>
        </w:rPr>
        <w:t>文</w:t>
      </w:r>
      <w:r>
        <w:rPr>
          <w:sz w:val="21"/>
          <w:szCs w:val="21"/>
          <w:u w:val="single" w:color="auto"/>
          <w:spacing w:val="-9"/>
        </w:rPr>
        <w:t xml:space="preserve"> </w:t>
      </w:r>
      <w:r>
        <w:rPr>
          <w:sz w:val="21"/>
          <w:szCs w:val="21"/>
          <w:u w:val="single" w:color="auto"/>
          <w:spacing w:val="-9"/>
        </w:rPr>
        <w:t>学</w:t>
      </w:r>
      <w:r>
        <w:rPr>
          <w:sz w:val="21"/>
          <w:szCs w:val="21"/>
          <w:u w:val="single" w:color="auto"/>
          <w:spacing w:val="-9"/>
        </w:rPr>
        <w:t xml:space="preserve"> </w:t>
      </w:r>
      <w:r>
        <w:rPr>
          <w:sz w:val="21"/>
          <w:szCs w:val="21"/>
          <w:u w:val="single" w:color="auto"/>
          <w:spacing w:val="-9"/>
        </w:rPr>
        <w:t>欣</w:t>
      </w:r>
      <w:r>
        <w:rPr>
          <w:sz w:val="21"/>
          <w:szCs w:val="21"/>
          <w:u w:val="single" w:color="auto"/>
          <w:spacing w:val="-9"/>
        </w:rPr>
        <w:t xml:space="preserve"> </w:t>
      </w:r>
      <w:r>
        <w:rPr>
          <w:sz w:val="21"/>
          <w:szCs w:val="21"/>
          <w:u w:val="single" w:color="auto"/>
          <w:spacing w:val="-9"/>
        </w:rPr>
        <w:t>赏</w:t>
      </w:r>
      <w:r>
        <w:rPr>
          <w:sz w:val="21"/>
          <w:szCs w:val="21"/>
          <w:u w:val="single" w:color="auto"/>
          <w:spacing w:val="-9"/>
        </w:rPr>
        <w:t xml:space="preserve"> </w:t>
      </w:r>
      <w:r>
        <w:rPr>
          <w:sz w:val="21"/>
          <w:szCs w:val="21"/>
          <w:u w:val="single" w:color="auto"/>
          <w:spacing w:val="-9"/>
        </w:rPr>
        <w:t>与</w:t>
      </w:r>
      <w:r>
        <w:rPr>
          <w:sz w:val="21"/>
          <w:szCs w:val="21"/>
          <w:u w:val="single" w:color="auto"/>
          <w:spacing w:val="-9"/>
        </w:rPr>
        <w:t xml:space="preserve"> </w:t>
      </w:r>
      <w:r>
        <w:rPr>
          <w:sz w:val="21"/>
          <w:szCs w:val="21"/>
          <w:u w:val="single" w:color="auto"/>
          <w:spacing w:val="-9"/>
        </w:rPr>
        <w:t>批</w:t>
      </w:r>
      <w:r>
        <w:rPr>
          <w:sz w:val="21"/>
          <w:szCs w:val="21"/>
          <w:u w:val="single" w:color="auto"/>
          <w:spacing w:val="-21"/>
        </w:rPr>
        <w:t xml:space="preserve"> </w:t>
      </w:r>
      <w:r>
        <w:rPr>
          <w:sz w:val="21"/>
          <w:szCs w:val="21"/>
          <w:u w:val="single" w:color="auto"/>
          <w:spacing w:val="-9"/>
        </w:rPr>
        <w:t>评</w:t>
      </w:r>
      <w:r>
        <w:rPr>
          <w:sz w:val="21"/>
          <w:szCs w:val="21"/>
          <w:u w:val="single" w:color="auto"/>
          <w:spacing w:val="-9"/>
        </w:rPr>
        <w:t xml:space="preserve"> </w:t>
      </w:r>
      <w:r>
        <w:rPr>
          <w:sz w:val="21"/>
          <w:szCs w:val="21"/>
          <w:u w:val="single" w:color="auto"/>
          <w:spacing w:val="-9"/>
        </w:rPr>
        <w:t>郭</w:t>
      </w:r>
      <w:r>
        <w:rPr>
          <w:sz w:val="21"/>
          <w:szCs w:val="21"/>
          <w:u w:val="single" w:color="auto"/>
          <w:spacing w:val="-21"/>
        </w:rPr>
        <w:t xml:space="preserve"> </w:t>
      </w:r>
      <w:r>
        <w:rPr>
          <w:sz w:val="21"/>
          <w:szCs w:val="21"/>
          <w:u w:val="single" w:color="auto"/>
          <w:spacing w:val="-9"/>
        </w:rPr>
        <w:t>璐</w:t>
      </w:r>
      <w:r>
        <w:rPr>
          <w:sz w:val="21"/>
          <w:szCs w:val="21"/>
          <w:u w:val="single" w:color="auto"/>
          <w:spacing w:val="-9"/>
        </w:rPr>
        <w:t xml:space="preserve">      </w:t>
      </w:r>
      <w:r>
        <w:rPr>
          <w:sz w:val="21"/>
          <w:szCs w:val="21"/>
          <w:u w:val="single" w:color="auto"/>
          <w:spacing w:val="-9"/>
        </w:rPr>
        <w:t>文</w:t>
      </w:r>
      <w:r>
        <w:rPr>
          <w:sz w:val="21"/>
          <w:szCs w:val="21"/>
          <w:u w:val="single" w:color="auto"/>
          <w:spacing w:val="-9"/>
        </w:rPr>
        <w:t xml:space="preserve"> </w:t>
      </w:r>
      <w:r>
        <w:rPr>
          <w:sz w:val="21"/>
          <w:szCs w:val="21"/>
          <w:u w:val="single" w:color="auto"/>
          <w:spacing w:val="-9"/>
        </w:rPr>
        <w:t>科</w:t>
      </w:r>
      <w:r>
        <w:rPr>
          <w:sz w:val="21"/>
          <w:szCs w:val="21"/>
          <w:u w:val="single" w:color="auto"/>
          <w:spacing w:val="-9"/>
        </w:rPr>
        <w:t xml:space="preserve"> </w:t>
      </w:r>
      <w:r>
        <w:rPr>
          <w:sz w:val="21"/>
          <w:szCs w:val="21"/>
          <w:u w:val="single" w:color="auto"/>
          <w:spacing w:val="-9"/>
        </w:rPr>
        <w:t>组</w:t>
      </w:r>
      <w:r>
        <w:rPr>
          <w:sz w:val="21"/>
          <w:szCs w:val="21"/>
          <w:u w:val="single" w:color="auto"/>
        </w:rPr>
        <w:t xml:space="preserve">         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518"/>
        <w:spacing w:before="69" w:line="221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2                </w:t>
      </w:r>
      <w:r>
        <w:rPr>
          <w:sz w:val="21"/>
          <w:szCs w:val="21"/>
          <w:spacing w:val="2"/>
        </w:rPr>
        <w:t>上海交通大学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2"/>
        </w:rPr>
        <w:t>数学分析</w:t>
      </w:r>
      <w:r>
        <w:rPr>
          <w:sz w:val="21"/>
          <w:szCs w:val="21"/>
          <w:spacing w:val="2"/>
        </w:rPr>
        <w:t xml:space="preserve">        </w:t>
      </w:r>
      <w:r>
        <w:rPr>
          <w:sz w:val="21"/>
          <w:szCs w:val="21"/>
          <w:spacing w:val="2"/>
        </w:rPr>
        <w:t>赵维殳</w:t>
      </w:r>
      <w:r>
        <w:rPr>
          <w:sz w:val="21"/>
          <w:szCs w:val="21"/>
          <w:spacing w:val="2"/>
        </w:rPr>
        <w:t xml:space="preserve">    </w:t>
      </w:r>
      <w:r>
        <w:rPr>
          <w:sz w:val="21"/>
          <w:szCs w:val="21"/>
          <w:spacing w:val="2"/>
        </w:rPr>
        <w:t>理科组</w:t>
      </w:r>
    </w:p>
    <w:p>
      <w:pPr>
        <w:spacing w:line="298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335550</wp:posOffset>
            </wp:positionH>
            <wp:positionV relativeFrom="paragraph">
              <wp:posOffset>32780</wp:posOffset>
            </wp:positionV>
            <wp:extent cx="4311661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166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18"/>
        <w:spacing w:before="69" w:line="221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3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    </w:t>
      </w:r>
      <w:r>
        <w:rPr>
          <w:sz w:val="21"/>
          <w:szCs w:val="21"/>
          <w:spacing w:val="1"/>
        </w:rPr>
        <w:t>中国农业大学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1"/>
        </w:rPr>
        <w:t>农业机械设计</w:t>
      </w:r>
      <w:r>
        <w:rPr>
          <w:sz w:val="21"/>
          <w:szCs w:val="21"/>
          <w:spacing w:val="13"/>
        </w:rPr>
        <w:t xml:space="preserve">    </w:t>
      </w:r>
      <w:r>
        <w:rPr>
          <w:sz w:val="21"/>
          <w:szCs w:val="21"/>
          <w:spacing w:val="1"/>
        </w:rPr>
        <w:t>程楠</w:t>
      </w:r>
      <w:r>
        <w:rPr>
          <w:sz w:val="21"/>
          <w:szCs w:val="21"/>
          <w:spacing w:val="1"/>
        </w:rPr>
        <w:t xml:space="preserve">      </w:t>
      </w:r>
      <w:r>
        <w:rPr>
          <w:sz w:val="21"/>
          <w:szCs w:val="21"/>
          <w:spacing w:val="1"/>
        </w:rPr>
        <w:t>工科组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518" w:firstLine="150"/>
        <w:spacing w:before="68" w:line="405" w:lineRule="auto"/>
        <w:rPr>
          <w:sz w:val="21"/>
          <w:szCs w:val="21"/>
        </w:rPr>
      </w:pPr>
      <w:r>
        <w:rPr>
          <w:sz w:val="21"/>
          <w:szCs w:val="21"/>
          <w:spacing w:val="27"/>
        </w:rPr>
        <w:t>(注：青教赛案例基于第七届</w:t>
      </w:r>
      <w:r>
        <w:rPr>
          <w:sz w:val="21"/>
          <w:szCs w:val="21"/>
          <w:spacing w:val="-61"/>
        </w:rPr>
        <w:t xml:space="preserve"> </w:t>
      </w:r>
      <w:r>
        <w:rPr>
          <w:sz w:val="21"/>
          <w:szCs w:val="21"/>
          <w:spacing w:val="27"/>
        </w:rPr>
        <w:t>一等奖第</w:t>
      </w:r>
      <w:r>
        <w:rPr>
          <w:sz w:val="21"/>
          <w:szCs w:val="21"/>
          <w:spacing w:val="-62"/>
        </w:rPr>
        <w:t xml:space="preserve"> </w:t>
      </w:r>
      <w:r>
        <w:rPr>
          <w:sz w:val="21"/>
          <w:szCs w:val="21"/>
          <w:spacing w:val="27"/>
        </w:rPr>
        <w:t>一名选取，课程名称为推断性示例，实际竞赛聚焦课堂教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0"/>
        </w:rPr>
        <w:t>学片段而非完整课程名称。)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523"/>
        <w:spacing w:before="118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7"/>
        </w:rPr>
        <w:t>三、课程情况总结归纳</w:t>
      </w:r>
    </w:p>
    <w:p>
      <w:pPr>
        <w:pStyle w:val="BodyText"/>
        <w:ind w:left="522"/>
        <w:spacing w:before="1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3.1创新赛一等奖课程共同特点与做法</w:t>
      </w:r>
    </w:p>
    <w:p>
      <w:pPr>
        <w:pStyle w:val="BodyText"/>
        <w:ind w:left="518"/>
        <w:spacing w:before="254" w:line="187" w:lineRule="auto"/>
        <w:rPr>
          <w:sz w:val="21"/>
          <w:szCs w:val="21"/>
        </w:rPr>
      </w:pPr>
      <w:r>
        <w:rPr>
          <w:sz w:val="21"/>
          <w:szCs w:val="21"/>
          <w:spacing w:val="28"/>
        </w:rPr>
        <w:t>这些获奖课程普遍体现出教学创新的系统性与前瞻性，共同特点包括：</w:t>
      </w:r>
    </w:p>
    <w:p>
      <w:pPr>
        <w:spacing w:line="187" w:lineRule="auto"/>
        <w:sectPr>
          <w:type w:val="continuous"/>
          <w:pgSz w:w="12240" w:h="15840"/>
          <w:pgMar w:top="1245" w:right="1162" w:bottom="0" w:left="471" w:header="0" w:footer="0" w:gutter="0"/>
          <w:cols w:equalWidth="0" w:num="1">
            <w:col w:w="10606" w:space="0"/>
          </w:cols>
        </w:sectPr>
        <w:rPr>
          <w:sz w:val="21"/>
          <w:szCs w:val="21"/>
        </w:rPr>
      </w:pPr>
    </w:p>
    <w:p>
      <w:pPr>
        <w:pStyle w:val="BodyText"/>
        <w:ind w:left="509" w:right="361" w:hanging="140"/>
        <w:spacing w:before="50" w:line="274" w:lineRule="auto"/>
        <w:rPr/>
      </w:pPr>
      <w:r>
        <w:rPr>
          <w:spacing w:val="-1"/>
        </w:rPr>
        <w:t>·教学方法：采用翻转课堂、问题导向学习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(PBL)   </w:t>
      </w:r>
      <w:r>
        <w:rPr>
          <w:spacing w:val="-1"/>
        </w:rPr>
        <w:t>和混合式教学，</w:t>
      </w:r>
      <w:r>
        <w:rPr>
          <w:spacing w:val="-2"/>
        </w:rPr>
        <w:t>强调学生主体参与。例</w:t>
      </w:r>
      <w:r>
        <w:rPr/>
        <w:t xml:space="preserve"> </w:t>
      </w:r>
      <w:r>
        <w:rPr>
          <w:spacing w:val="-1"/>
        </w:rPr>
        <w:t>如，许多课程融入小组讨论和案例分析，促进知识内化。</w:t>
      </w:r>
    </w:p>
    <w:p>
      <w:pPr>
        <w:pStyle w:val="BodyText"/>
        <w:ind w:left="509" w:right="268" w:hanging="136"/>
        <w:spacing w:before="263" w:line="264" w:lineRule="auto"/>
        <w:rPr/>
      </w:pPr>
      <w:r>
        <w:rPr>
          <w:b/>
          <w:bCs/>
          <w:spacing w:val="-1"/>
        </w:rPr>
        <w:t>·技术使用：</w:t>
      </w:r>
      <w:r>
        <w:rPr>
          <w:spacing w:val="-1"/>
        </w:rPr>
        <w:t>广泛应用数字工具，如</w:t>
      </w:r>
      <w:r>
        <w:rPr>
          <w:rFonts w:ascii="SimSun" w:hAnsi="SimSun" w:eastAsia="SimSun" w:cs="SimSun"/>
          <w:spacing w:val="-1"/>
        </w:rPr>
        <w:t>VR/AR </w:t>
      </w:r>
      <w:r>
        <w:rPr>
          <w:spacing w:val="-1"/>
        </w:rPr>
        <w:t>模拟、在线平台(雨课堂、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MOOC)   </w:t>
      </w:r>
      <w:r>
        <w:rPr>
          <w:spacing w:val="-1"/>
        </w:rPr>
        <w:t>和</w:t>
      </w:r>
      <w:r>
        <w:rPr>
          <w:rFonts w:ascii="SimSun" w:hAnsi="SimSun" w:eastAsia="SimSun" w:cs="SimSun"/>
          <w:spacing w:val="-1"/>
        </w:rPr>
        <w:t>AI</w:t>
      </w:r>
      <w:r>
        <w:rPr>
          <w:spacing w:val="-1"/>
        </w:rPr>
        <w:t>辅助评</w:t>
      </w:r>
      <w:r>
        <w:rPr>
          <w:spacing w:val="9"/>
        </w:rPr>
        <w:t xml:space="preserve"> </w:t>
      </w:r>
      <w:r>
        <w:rPr>
          <w:spacing w:val="-3"/>
        </w:rPr>
        <w:t>估，提升互动性与个性化学习。</w:t>
      </w:r>
    </w:p>
    <w:p>
      <w:pPr>
        <w:pStyle w:val="BodyText"/>
        <w:ind w:left="509" w:right="99" w:hanging="140"/>
        <w:spacing w:before="274" w:line="281" w:lineRule="auto"/>
        <w:rPr/>
      </w:pPr>
      <w:r>
        <w:rPr>
          <w:spacing w:val="-2"/>
        </w:rPr>
        <w:t>·课堂设计：注重课程思政融入，将专业知识</w:t>
      </w:r>
      <w:r>
        <w:rPr>
          <w:spacing w:val="-3"/>
        </w:rPr>
        <w:t>与价值观教育结合；产教融合赛道课程往往与企</w:t>
      </w:r>
      <w:r>
        <w:rPr/>
        <w:t xml:space="preserve"> </w:t>
      </w:r>
      <w:r>
        <w:rPr/>
        <w:t>业合作，设计项目实践模块。大致做法：教师先通过预习材料引导学生自主学习，课堂聚焦</w:t>
      </w:r>
      <w:r>
        <w:rPr>
          <w:spacing w:val="7"/>
        </w:rPr>
        <w:t xml:space="preserve"> </w:t>
      </w:r>
      <w:r>
        <w:rPr>
          <w:spacing w:val="-2"/>
        </w:rPr>
        <w:t>问题解决与创新应用，后续通过反思评估优化教学</w:t>
      </w:r>
      <w:r>
        <w:rPr>
          <w:spacing w:val="-3"/>
        </w:rPr>
        <w:t>循环。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1"/>
        </w:rPr>
        <w:t>3.2青教赛一等奖课程共同特点与做法</w:t>
      </w:r>
    </w:p>
    <w:p>
      <w:pPr>
        <w:pStyle w:val="BodyText"/>
        <w:spacing w:before="223" w:line="213" w:lineRule="auto"/>
        <w:rPr/>
      </w:pPr>
      <w:r>
        <w:rPr>
          <w:spacing w:val="-1"/>
        </w:rPr>
        <w:t>获奖课程突出青年教师的教学基本功与活力，共同特点包括：</w:t>
      </w:r>
    </w:p>
    <w:p>
      <w:pPr>
        <w:pStyle w:val="BodyText"/>
        <w:ind w:left="509" w:right="99" w:hanging="136"/>
        <w:spacing w:before="253" w:line="268" w:lineRule="auto"/>
        <w:rPr/>
      </w:pPr>
      <w:r>
        <w:rPr>
          <w:b/>
          <w:bCs/>
          <w:spacing w:val="-3"/>
        </w:rPr>
        <w:t>·教学方法：</w:t>
      </w:r>
      <w:r>
        <w:rPr>
          <w:spacing w:val="-3"/>
        </w:rPr>
        <w:t>强调启发式教学、互动问答和板书示范，注重逻辑清晰与情感共鸣。例如，文科</w:t>
      </w:r>
      <w:r>
        <w:rPr>
          <w:spacing w:val="12"/>
        </w:rPr>
        <w:t xml:space="preserve"> </w:t>
      </w:r>
      <w:r>
        <w:rPr>
          <w:spacing w:val="-2"/>
        </w:rPr>
        <w:t>组课程常使用故事化叙述，理科组注重证明推导。</w:t>
      </w:r>
    </w:p>
    <w:p>
      <w:pPr>
        <w:pStyle w:val="BodyText"/>
        <w:ind w:left="509" w:right="369" w:hanging="136"/>
        <w:spacing w:before="263" w:line="278" w:lineRule="auto"/>
        <w:rPr/>
      </w:pPr>
      <w:r>
        <w:rPr>
          <w:b/>
          <w:bCs/>
          <w:spacing w:val="-3"/>
        </w:rPr>
        <w:t>·技术使用：</w:t>
      </w:r>
      <w:r>
        <w:rPr>
          <w:spacing w:val="-3"/>
        </w:rPr>
        <w:t>适度融入多媒体，如</w:t>
      </w:r>
      <w:r>
        <w:rPr>
          <w:rFonts w:ascii="SimSun" w:hAnsi="SimSun" w:eastAsia="SimSun" w:cs="SimSun"/>
          <w:spacing w:val="-3"/>
        </w:rPr>
        <w:t>PPT </w:t>
      </w:r>
      <w:r>
        <w:rPr>
          <w:spacing w:val="-3"/>
        </w:rPr>
        <w:t>动画、实验演示软件</w:t>
      </w:r>
      <w:r>
        <w:rPr>
          <w:spacing w:val="-4"/>
        </w:rPr>
        <w:t>和在线投票工具，提升课堂生动</w:t>
      </w:r>
      <w:r>
        <w:rPr/>
        <w:t xml:space="preserve"> </w:t>
      </w:r>
      <w:r>
        <w:rPr>
          <w:spacing w:val="-11"/>
        </w:rPr>
        <w:t>性。</w:t>
      </w:r>
    </w:p>
    <w:p>
      <w:pPr>
        <w:pStyle w:val="BodyText"/>
        <w:ind w:left="509" w:hanging="140"/>
        <w:spacing w:before="219" w:line="291" w:lineRule="auto"/>
        <w:rPr/>
      </w:pPr>
      <w:r>
        <w:rPr/>
        <w:t>·课堂设计：聚焦20分钟教学片段，设计层层递进的</w:t>
      </w:r>
      <w:r>
        <w:rPr>
          <w:spacing w:val="-1"/>
        </w:rPr>
        <w:t>结构；思政组课程强调理论联系实际。大</w:t>
      </w:r>
      <w:r>
        <w:rPr/>
        <w:t xml:space="preserve"> </w:t>
      </w:r>
      <w:r>
        <w:rPr/>
        <w:t>致做法：教师以问题导入，结合板书/演示讲解核心内容，通过</w:t>
      </w:r>
      <w:r>
        <w:rPr>
          <w:spacing w:val="-1"/>
        </w:rPr>
        <w:t>互动反馈调整节奏，并以小结</w:t>
      </w:r>
      <w:r>
        <w:rPr/>
        <w:t xml:space="preserve"> </w:t>
      </w:r>
      <w:r>
        <w:rPr>
          <w:spacing w:val="-3"/>
        </w:rPr>
        <w:t>反思结束，体现高效教学范式。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2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9"/>
        </w:rPr>
        <w:t>四、可用资料汇总</w:t>
      </w:r>
    </w:p>
    <w:p>
      <w:pPr>
        <w:pStyle w:val="BodyText"/>
        <w:ind w:right="131"/>
        <w:spacing w:before="208" w:line="336" w:lineRule="auto"/>
        <w:rPr/>
      </w:pPr>
      <w:r>
        <w:rPr/>
        <w:t>与这些一等奖课程相关的资料类型多样，主要用于教学借鉴与研究。以下列出常见类型及获取途</w:t>
      </w:r>
      <w:r>
        <w:rPr>
          <w:spacing w:val="6"/>
        </w:rPr>
        <w:t xml:space="preserve"> </w:t>
      </w:r>
      <w:r>
        <w:rPr>
          <w:spacing w:val="-8"/>
        </w:rPr>
        <w:t>径：</w:t>
      </w:r>
    </w:p>
    <w:p>
      <w:pPr>
        <w:spacing w:line="336" w:lineRule="auto"/>
        <w:sectPr>
          <w:pgSz w:w="12240" w:h="15840"/>
          <w:pgMar w:top="1211" w:right="1041" w:bottom="0" w:left="980" w:header="0" w:footer="0" w:gutter="0"/>
        </w:sectPr>
        <w:rPr/>
      </w:pPr>
    </w:p>
    <w:tbl>
      <w:tblPr>
        <w:tblStyle w:val="TableNormal"/>
        <w:tblW w:w="1010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83"/>
        <w:gridCol w:w="2377"/>
        <w:gridCol w:w="6549"/>
      </w:tblGrid>
      <w:tr>
        <w:trPr>
          <w:trHeight w:val="779" w:hRule="atLeast"/>
        </w:trPr>
        <w:tc>
          <w:tcPr>
            <w:tcW w:w="3560" w:type="dxa"/>
            <w:vAlign w:val="top"/>
            <w:gridSpan w:val="2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13"/>
              <w:spacing w:before="72" w:line="221" w:lineRule="auto"/>
              <w:rPr/>
            </w:pPr>
            <w:r>
              <w:rPr>
                <w:b/>
                <w:bCs/>
                <w:spacing w:val="-6"/>
              </w:rPr>
              <w:t>资料类型</w:t>
            </w:r>
          </w:p>
        </w:tc>
        <w:tc>
          <w:tcPr>
            <w:tcW w:w="6549" w:type="dxa"/>
            <w:vAlign w:val="top"/>
          </w:tcPr>
          <w:p>
            <w:pPr>
              <w:pStyle w:val="TableText"/>
              <w:ind w:left="4102" w:right="655" w:firstLine="10"/>
              <w:spacing w:before="1" w:line="312" w:lineRule="auto"/>
              <w:rPr/>
            </w:pPr>
            <w:r>
              <w:rPr>
                <w:b/>
                <w:bCs/>
                <w:spacing w:val="-10"/>
              </w:rPr>
              <w:t>描述与内</w:t>
            </w:r>
            <w:r>
              <w:rPr>
                <w:spacing w:val="31"/>
              </w:rPr>
              <w:t xml:space="preserve">  </w:t>
            </w:r>
            <w:r>
              <w:rPr>
                <w:b/>
                <w:bCs/>
                <w:spacing w:val="-10"/>
              </w:rPr>
              <w:t>获取途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10"/>
              </w:rPr>
              <w:t>容示例</w:t>
            </w:r>
            <w:r>
              <w:rPr>
                <w:spacing w:val="18"/>
              </w:rPr>
              <w:t xml:space="preserve">    </w:t>
            </w:r>
            <w:r>
              <w:rPr>
                <w:b/>
                <w:bCs/>
                <w:spacing w:val="-10"/>
              </w:rPr>
              <w:t>径示例</w:t>
            </w:r>
          </w:p>
        </w:tc>
      </w:tr>
      <w:tr>
        <w:trPr>
          <w:trHeight w:val="867" w:hRule="atLeast"/>
        </w:trPr>
        <w:tc>
          <w:tcPr>
            <w:tcW w:w="3560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spacing w:before="184" w:line="221" w:lineRule="auto"/>
              <w:rPr/>
            </w:pPr>
            <w:r>
              <w:rPr>
                <w:spacing w:val="-9"/>
              </w:rPr>
              <w:t>教学方案</w:t>
            </w:r>
            <w:r>
              <w:rPr>
                <w:spacing w:val="8"/>
              </w:rPr>
              <w:t xml:space="preserve">    </w:t>
            </w:r>
            <w:r>
              <w:rPr>
                <w:spacing w:val="-9"/>
              </w:rPr>
              <w:t>包括课程大纲、教学设</w:t>
            </w:r>
          </w:p>
          <w:p>
            <w:pPr>
              <w:pStyle w:val="TableText"/>
              <w:ind w:left="1309"/>
              <w:spacing w:before="106" w:line="221" w:lineRule="auto"/>
              <w:rPr/>
            </w:pPr>
            <w:r>
              <w:rPr>
                <w:spacing w:val="-6"/>
              </w:rPr>
              <w:t>计、创新点报告</w:t>
            </w:r>
          </w:p>
        </w:tc>
        <w:tc>
          <w:tcPr>
            <w:tcW w:w="654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9" w:right="2703"/>
              <w:spacing w:before="184" w:line="282" w:lineRule="auto"/>
              <w:rPr/>
            </w:pPr>
            <w:r>
              <w:rPr>
                <w:spacing w:val="-3"/>
              </w:rPr>
              <w:t>竞赛官网(中国高等教育学会网站)、获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奖高校教务处网站</w:t>
            </w:r>
          </w:p>
        </w:tc>
      </w:tr>
      <w:tr>
        <w:trPr>
          <w:trHeight w:val="595" w:hRule="atLeast"/>
        </w:trPr>
        <w:tc>
          <w:tcPr>
            <w:tcW w:w="118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before="282" w:line="221" w:lineRule="auto"/>
              <w:rPr/>
            </w:pPr>
            <w:r>
              <w:rPr>
                <w:spacing w:val="-2"/>
              </w:rPr>
              <w:t>课件</w:t>
            </w:r>
          </w:p>
        </w:tc>
        <w:tc>
          <w:tcPr>
            <w:tcW w:w="237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/>
              <w:spacing w:before="292" w:line="213" w:lineRule="auto"/>
              <w:rPr/>
            </w:pPr>
            <w:r>
              <w:rPr>
                <w:spacing w:val="-7"/>
              </w:rPr>
              <w:t>课堂演示材料，含图</w:t>
            </w:r>
          </w:p>
        </w:tc>
        <w:tc>
          <w:tcPr>
            <w:tcW w:w="65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9"/>
              <w:spacing w:before="302" w:line="222" w:lineRule="auto"/>
              <w:rPr/>
            </w:pPr>
            <w:r>
              <w:rPr>
                <w:spacing w:val="-9"/>
              </w:rPr>
              <w:t>高校内部共享平台或获奖教师个人主页</w:t>
            </w:r>
          </w:p>
        </w:tc>
      </w:tr>
      <w:tr>
        <w:trPr>
          <w:trHeight w:val="374" w:hRule="atLeast"/>
        </w:trPr>
        <w:tc>
          <w:tcPr>
            <w:tcW w:w="1183" w:type="dxa"/>
            <w:vAlign w:val="top"/>
            <w:tcBorders>
              <w:bottom w:val="single" w:color="000000" w:sz="2" w:space="0"/>
            </w:tcBorders>
          </w:tcPr>
          <w:p>
            <w:pPr>
              <w:ind w:left="149"/>
              <w:spacing w:before="71" w:line="19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(PPT)</w:t>
            </w:r>
          </w:p>
        </w:tc>
        <w:tc>
          <w:tcPr>
            <w:tcW w:w="237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6"/>
              <w:spacing w:before="69" w:line="223" w:lineRule="auto"/>
              <w:rPr/>
            </w:pPr>
            <w:r>
              <w:rPr>
                <w:spacing w:val="-9"/>
              </w:rPr>
              <w:t>表、案例</w:t>
            </w:r>
          </w:p>
        </w:tc>
        <w:tc>
          <w:tcPr>
            <w:tcW w:w="6549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70" w:hRule="atLeast"/>
        </w:trPr>
        <w:tc>
          <w:tcPr>
            <w:tcW w:w="118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298" w:line="221" w:lineRule="auto"/>
              <w:rPr/>
            </w:pPr>
            <w:r>
              <w:rPr>
                <w:spacing w:val="-10"/>
              </w:rPr>
              <w:t>视频录像</w:t>
            </w:r>
          </w:p>
        </w:tc>
        <w:tc>
          <w:tcPr>
            <w:tcW w:w="23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6" w:right="138"/>
              <w:spacing w:before="297" w:line="278" w:lineRule="auto"/>
              <w:rPr/>
            </w:pPr>
            <w:r>
              <w:rPr>
                <w:spacing w:val="-9"/>
              </w:rPr>
              <w:t>决赛现场教学片段或完</w:t>
            </w:r>
            <w:r>
              <w:rPr/>
              <w:t xml:space="preserve"> </w:t>
            </w:r>
            <w:r>
              <w:rPr>
                <w:spacing w:val="-5"/>
              </w:rPr>
              <w:t>整课堂录像</w:t>
            </w:r>
          </w:p>
        </w:tc>
        <w:tc>
          <w:tcPr>
            <w:tcW w:w="65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9" w:right="3499" w:hanging="10"/>
              <w:spacing w:before="297" w:line="278" w:lineRule="auto"/>
              <w:rPr/>
            </w:pPr>
            <w:r>
              <w:rPr>
                <w:spacing w:val="-13"/>
              </w:rPr>
              <w:t>教育部高等教育教学资源平台、</w:t>
            </w:r>
            <w:r>
              <w:rPr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YouTube/Bilibili</w:t>
            </w:r>
            <w:r>
              <w:rPr>
                <w:spacing w:val="-3"/>
              </w:rPr>
              <w:t>搜索赛事视频</w:t>
            </w:r>
          </w:p>
        </w:tc>
      </w:tr>
      <w:tr>
        <w:trPr>
          <w:trHeight w:val="878" w:hRule="atLeast"/>
        </w:trPr>
        <w:tc>
          <w:tcPr>
            <w:tcW w:w="118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right="126"/>
              <w:spacing w:before="281" w:line="246" w:lineRule="auto"/>
              <w:rPr/>
            </w:pPr>
            <w:r>
              <w:rPr>
                <w:spacing w:val="-9"/>
              </w:rPr>
              <w:t>相关新闻报</w:t>
            </w:r>
            <w:r>
              <w:rPr/>
              <w:t xml:space="preserve"> </w:t>
            </w:r>
            <w:r>
              <w:rPr/>
              <w:t>道</w:t>
            </w:r>
          </w:p>
        </w:tc>
        <w:tc>
          <w:tcPr>
            <w:tcW w:w="237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 w:right="141"/>
              <w:spacing w:before="281" w:line="246" w:lineRule="auto"/>
              <w:rPr/>
            </w:pPr>
            <w:r>
              <w:rPr>
                <w:spacing w:val="-10"/>
              </w:rPr>
              <w:t>获奖报道、访谈、经验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分享</w:t>
            </w:r>
          </w:p>
        </w:tc>
        <w:tc>
          <w:tcPr>
            <w:tcW w:w="65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9" w:right="2618"/>
              <w:spacing w:before="284" w:line="245" w:lineRule="auto"/>
              <w:rPr/>
            </w:pPr>
            <w:r>
              <w:rPr>
                <w:spacing w:val="-10"/>
              </w:rPr>
              <w:t>人民网、新浪教育等媒体、竞赛官方微信</w:t>
            </w:r>
            <w:r>
              <w:rPr/>
              <w:t xml:space="preserve"> </w:t>
            </w:r>
            <w:r>
              <w:rPr>
                <w:spacing w:val="-3"/>
              </w:rPr>
              <w:t>公众号</w:t>
            </w:r>
          </w:p>
        </w:tc>
      </w:tr>
    </w:tbl>
    <w:p>
      <w:pPr>
        <w:spacing w:line="469" w:lineRule="auto"/>
        <w:rPr>
          <w:rFonts w:ascii="Arial"/>
          <w:sz w:val="21"/>
        </w:rPr>
      </w:pPr>
      <w:r/>
    </w:p>
    <w:p>
      <w:pPr>
        <w:pStyle w:val="BodyText"/>
        <w:ind w:right="106"/>
        <w:spacing w:before="72" w:line="375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这些资料通常免费公开，部分需通过高校图书馆或赛事档案申请。近年来，随着数字化趋势，视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8"/>
        </w:rPr>
        <w:t>频资料日益丰富，便于在线获取。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3" w:line="221" w:lineRule="auto"/>
        <w:outlineLvl w:val="1"/>
        <w:rPr>
          <w:sz w:val="35"/>
          <w:szCs w:val="35"/>
        </w:rPr>
      </w:pPr>
      <w:r>
        <w:rPr>
          <w:sz w:val="35"/>
          <w:szCs w:val="35"/>
          <w:b/>
          <w:bCs/>
          <w:spacing w:val="3"/>
        </w:rPr>
        <w:t>五、信息异同说明</w:t>
      </w:r>
    </w:p>
    <w:p>
      <w:pPr>
        <w:pStyle w:val="BodyText"/>
        <w:spacing w:before="223" w:line="348" w:lineRule="auto"/>
        <w:jc w:val="both"/>
        <w:rPr>
          <w:sz w:val="22"/>
          <w:szCs w:val="22"/>
        </w:rPr>
      </w:pPr>
      <w:r>
        <w:rPr>
          <w:sz w:val="22"/>
          <w:szCs w:val="22"/>
          <w:spacing w:val="20"/>
        </w:rPr>
        <w:t>创新赛与青教赛的一等奖课程在关注点上存在差异：创新赛更侧重教学模式的整体创新与团队协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25"/>
        </w:rPr>
        <w:t>作(如产教融合、课程思政),强调系统改革与跨界应用，适合中高级职称教师；青教赛则</w:t>
      </w:r>
      <w:r>
        <w:rPr>
          <w:sz w:val="22"/>
          <w:szCs w:val="22"/>
          <w:spacing w:val="24"/>
        </w:rPr>
        <w:t>聚焦青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7"/>
        </w:rPr>
        <w:t>年教师(40岁以下)的课堂基本功与即时</w:t>
      </w:r>
      <w:r>
        <w:rPr>
          <w:sz w:val="22"/>
          <w:szCs w:val="22"/>
          <w:spacing w:val="26"/>
        </w:rPr>
        <w:t>教学能力，注重个人表达与学生互动，组别划分更偏向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9"/>
        </w:rPr>
        <w:t>学科分类。两者互补，前者推动教学范式转变，后者夯实教师基础技能。</w:t>
      </w:r>
    </w:p>
    <w:p>
      <w:pPr>
        <w:spacing w:line="46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4" w:line="221" w:lineRule="auto"/>
        <w:outlineLvl w:val="1"/>
        <w:rPr>
          <w:sz w:val="35"/>
          <w:szCs w:val="35"/>
        </w:rPr>
      </w:pPr>
      <w:r>
        <w:rPr>
          <w:sz w:val="35"/>
          <w:szCs w:val="35"/>
          <w:b/>
          <w:bCs/>
          <w:spacing w:val="1"/>
        </w:rPr>
        <w:t>六、信息来源</w:t>
      </w:r>
    </w:p>
    <w:p>
      <w:pPr>
        <w:pStyle w:val="BodyText"/>
        <w:spacing w:before="232" w:line="221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本报告信息主要参考以下公开发布渠道：</w:t>
      </w:r>
    </w:p>
    <w:p>
      <w:pPr>
        <w:pStyle w:val="BodyText"/>
        <w:ind w:left="369"/>
        <w:spacing w:before="276" w:line="221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·</w:t>
      </w:r>
      <w:r>
        <w:rPr>
          <w:sz w:val="22"/>
          <w:szCs w:val="22"/>
          <w:spacing w:val="-56"/>
        </w:rPr>
        <w:t xml:space="preserve"> </w:t>
      </w:r>
      <w:r>
        <w:rPr>
          <w:sz w:val="22"/>
          <w:szCs w:val="22"/>
          <w:spacing w:val="16"/>
        </w:rPr>
        <w:t>中国高等教育学会官网(创新赛获奖通知与名单)。</w:t>
      </w:r>
    </w:p>
    <w:p>
      <w:pPr>
        <w:pStyle w:val="BodyText"/>
        <w:ind w:left="369"/>
        <w:spacing w:before="277" w:line="221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·</w:t>
      </w:r>
      <w:r>
        <w:rPr>
          <w:sz w:val="22"/>
          <w:szCs w:val="22"/>
          <w:spacing w:val="-73"/>
        </w:rPr>
        <w:t xml:space="preserve"> </w:t>
      </w:r>
      <w:r>
        <w:rPr>
          <w:sz w:val="22"/>
          <w:szCs w:val="22"/>
          <w:spacing w:val="18"/>
        </w:rPr>
        <w:t>教育部官网及高等教育教学资源平台(赛事背景与视频资料)。</w:t>
      </w:r>
    </w:p>
    <w:p>
      <w:pPr>
        <w:pStyle w:val="BodyText"/>
        <w:ind w:left="369"/>
        <w:spacing w:before="277" w:line="222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·</w:t>
      </w:r>
      <w:r>
        <w:rPr>
          <w:sz w:val="22"/>
          <w:szCs w:val="22"/>
          <w:spacing w:val="-48"/>
        </w:rPr>
        <w:t xml:space="preserve"> </w:t>
      </w:r>
      <w:r>
        <w:rPr>
          <w:sz w:val="22"/>
          <w:szCs w:val="22"/>
          <w:spacing w:val="17"/>
        </w:rPr>
        <w:t>中华全国总工会、教育部教师工作司相关文件(青教赛决赛信息)。</w:t>
      </w:r>
    </w:p>
    <w:p>
      <w:pPr>
        <w:pStyle w:val="BodyText"/>
        <w:ind w:left="369"/>
        <w:spacing w:before="275" w:line="221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·</w:t>
      </w:r>
      <w:r>
        <w:rPr>
          <w:sz w:val="22"/>
          <w:szCs w:val="22"/>
          <w:spacing w:val="-58"/>
        </w:rPr>
        <w:t xml:space="preserve"> </w:t>
      </w:r>
      <w:r>
        <w:rPr>
          <w:sz w:val="22"/>
          <w:szCs w:val="22"/>
          <w:spacing w:val="18"/>
        </w:rPr>
        <w:t>获奖高校官方网站(如清华大学、上海交通大学、西南交通大学等教务处公告)。</w:t>
      </w:r>
    </w:p>
    <w:p>
      <w:pPr>
        <w:pStyle w:val="BodyText"/>
        <w:ind w:left="369"/>
        <w:spacing w:before="286" w:line="219" w:lineRule="auto"/>
        <w:rPr>
          <w:sz w:val="22"/>
          <w:szCs w:val="22"/>
        </w:rPr>
      </w:pPr>
      <w:r>
        <w:rPr>
          <w:sz w:val="22"/>
          <w:szCs w:val="22"/>
          <w:spacing w:val="12"/>
        </w:rPr>
        <w:t>·</w:t>
      </w:r>
      <w:r>
        <w:rPr>
          <w:sz w:val="22"/>
          <w:szCs w:val="22"/>
          <w:spacing w:val="-69"/>
        </w:rPr>
        <w:t xml:space="preserve"> </w:t>
      </w:r>
      <w:r>
        <w:rPr>
          <w:sz w:val="22"/>
          <w:szCs w:val="22"/>
          <w:spacing w:val="12"/>
        </w:rPr>
        <w:t>教育在线</w:t>
      </w:r>
      <w:r>
        <w:rPr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(</w:t>
      </w:r>
      <w:r>
        <w:rPr>
          <w:rFonts w:ascii="SimSun" w:hAnsi="SimSun" w:eastAsia="SimSun" w:cs="SimSun"/>
          <w:sz w:val="22"/>
          <w:szCs w:val="22"/>
        </w:rPr>
        <w:t>eol</w:t>
      </w:r>
      <w:r>
        <w:rPr>
          <w:rFonts w:ascii="SimSun" w:hAnsi="SimSun" w:eastAsia="SimSun" w:cs="SimSun"/>
          <w:sz w:val="22"/>
          <w:szCs w:val="22"/>
          <w:spacing w:val="12"/>
        </w:rPr>
        <w:t>.</w:t>
      </w:r>
      <w:r>
        <w:rPr>
          <w:rFonts w:ascii="SimSun" w:hAnsi="SimSun" w:eastAsia="SimSun" w:cs="SimSun"/>
          <w:sz w:val="22"/>
          <w:szCs w:val="22"/>
        </w:rPr>
        <w:t>cn</w:t>
      </w:r>
      <w:r>
        <w:rPr>
          <w:rFonts w:ascii="SimSun" w:hAnsi="SimSun" w:eastAsia="SimSun" w:cs="SimSun"/>
          <w:sz w:val="22"/>
          <w:szCs w:val="22"/>
          <w:spacing w:val="12"/>
        </w:rPr>
        <w:t>)、 </w:t>
      </w:r>
      <w:r>
        <w:rPr>
          <w:sz w:val="22"/>
          <w:szCs w:val="22"/>
          <w:spacing w:val="12"/>
        </w:rPr>
        <w:t>科学网等媒体报道(获奖名单与新闻)。</w:t>
      </w:r>
    </w:p>
    <w:p>
      <w:pPr>
        <w:pStyle w:val="BodyText"/>
        <w:ind w:left="369"/>
        <w:spacing w:before="280" w:line="222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·</w:t>
      </w:r>
      <w:r>
        <w:rPr>
          <w:sz w:val="22"/>
          <w:szCs w:val="22"/>
          <w:spacing w:val="-75"/>
        </w:rPr>
        <w:t xml:space="preserve"> </w:t>
      </w:r>
      <w:r>
        <w:rPr>
          <w:sz w:val="22"/>
          <w:szCs w:val="22"/>
          <w:spacing w:val="17"/>
        </w:rPr>
        <w:t>赛事决赛视频平台(如高等教育数字化平台)。</w:t>
      </w:r>
    </w:p>
    <w:p>
      <w:pPr>
        <w:spacing w:line="222" w:lineRule="auto"/>
        <w:sectPr>
          <w:pgSz w:w="12240" w:h="15840"/>
          <w:pgMar w:top="1114" w:right="1056" w:bottom="0" w:left="980" w:header="0" w:footer="0" w:gutter="0"/>
        </w:sectPr>
        <w:rPr>
          <w:sz w:val="22"/>
          <w:szCs w:val="22"/>
        </w:rPr>
      </w:pPr>
    </w:p>
    <w:p>
      <w:pPr>
        <w:pStyle w:val="BodyText"/>
        <w:spacing w:before="48" w:line="213" w:lineRule="auto"/>
        <w:rPr/>
      </w:pPr>
      <w:r>
        <w:rPr>
          <w:b/>
          <w:bCs/>
          <w:spacing w:val="-1"/>
        </w:rPr>
        <w:t>报告编制日期：2026年1月13日。信息基于公开数据，如需最新更新，请查阅官方渠道。</w:t>
      </w:r>
    </w:p>
    <w:p>
      <w:pPr>
        <w:pStyle w:val="BodyText"/>
        <w:spacing w:before="203" w:line="213" w:lineRule="auto"/>
        <w:jc w:val="right"/>
        <w:rPr/>
      </w:pPr>
      <w:r>
        <w:rPr>
          <w:b/>
          <w:bCs/>
          <w:spacing w:val="-3"/>
        </w:rPr>
        <w:t>(注：本报告以文本格式呈现，便于</w:t>
      </w:r>
      <w:r>
        <w:rPr>
          <w:rFonts w:ascii="Times New Roman" w:hAnsi="Times New Roman" w:eastAsia="Times New Roman" w:cs="Times New Roman"/>
          <w:b/>
          <w:bCs/>
          <w:spacing w:val="-3"/>
        </w:rPr>
        <w:t>docx</w:t>
      </w:r>
      <w:r>
        <w:rPr>
          <w:rFonts w:ascii="Times New Roman" w:hAnsi="Times New Roman" w:eastAsia="Times New Roman" w:cs="Times New Roman"/>
          <w:b/>
          <w:bCs/>
          <w:spacing w:val="33"/>
        </w:rPr>
        <w:t xml:space="preserve"> </w:t>
      </w:r>
      <w:r>
        <w:rPr>
          <w:b/>
          <w:bCs/>
          <w:spacing w:val="-3"/>
        </w:rPr>
        <w:t>文档复制。若需</w:t>
      </w:r>
      <w:r>
        <w:rPr>
          <w:b/>
          <w:bCs/>
          <w:spacing w:val="-4"/>
        </w:rPr>
        <w:t>实际</w:t>
      </w:r>
      <w:r>
        <w:rPr>
          <w:rFonts w:ascii="Times New Roman" w:hAnsi="Times New Roman" w:eastAsia="Times New Roman" w:cs="Times New Roman"/>
          <w:b/>
          <w:bCs/>
          <w:spacing w:val="-4"/>
        </w:rPr>
        <w:t>docx</w:t>
      </w:r>
      <w:r>
        <w:rPr>
          <w:rFonts w:ascii="Times New Roman" w:hAnsi="Times New Roman" w:eastAsia="Times New Roman" w:cs="Times New Roman"/>
          <w:b/>
          <w:bCs/>
          <w:spacing w:val="33"/>
        </w:rPr>
        <w:t xml:space="preserve"> </w:t>
      </w:r>
      <w:r>
        <w:rPr>
          <w:b/>
          <w:bCs/>
          <w:spacing w:val="-4"/>
        </w:rPr>
        <w:t>文件，可将此内容粘贴至</w:t>
      </w:r>
    </w:p>
    <w:p>
      <w:pPr>
        <w:pStyle w:val="BodyText"/>
        <w:ind w:left="9"/>
        <w:spacing w:before="215" w:line="222" w:lineRule="auto"/>
        <w:rPr/>
      </w:pPr>
      <w:r>
        <w:rPr>
          <w:rFonts w:ascii="SimSun" w:hAnsi="SimSun" w:eastAsia="SimSun" w:cs="SimSun"/>
          <w:b/>
          <w:bCs/>
          <w:spacing w:val="-11"/>
        </w:rPr>
        <w:t>Word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b/>
          <w:bCs/>
          <w:spacing w:val="-11"/>
        </w:rPr>
        <w:t>并格式化。)</w:t>
      </w:r>
    </w:p>
    <w:sectPr>
      <w:pgSz w:w="12240" w:h="15840"/>
      <w:pgMar w:top="1185" w:right="1467" w:bottom="0" w:left="98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2026-03-16T00:00:04</vt:filetime>
  </property>
  <property fmtid="{D5CDD505-2E9C-101B-9397-08002B2CF9AE}" pid="4" name="UsrData">
    <vt:lpwstr>69b6d7827fe946001fc13bb7wl</vt:lpwstr>
  </property>
</Properties>
</file>