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38"/>
        <w:spacing w:before="47" w:line="338" w:lineRule="auto"/>
        <w:rPr/>
      </w:pPr>
      <w:r>
        <w:rPr>
          <w:spacing w:val="21"/>
        </w:rPr>
        <w:t>全国高校教师教学创新大赛(创新赛)与全国高校青年教师教学竞赛(青教赛)全国</w:t>
      </w:r>
      <w:r>
        <w:rPr>
          <w:spacing w:val="20"/>
        </w:rPr>
        <w:t>一等奖课程</w:t>
      </w:r>
      <w:r>
        <w:rPr/>
        <w:t xml:space="preserve"> </w:t>
      </w:r>
      <w:r>
        <w:rPr>
          <w:spacing w:val="10"/>
        </w:rPr>
        <w:t>的教学范式与资源生态研究报告</w:t>
      </w:r>
    </w:p>
    <w:p>
      <w:pPr>
        <w:pStyle w:val="BodyText"/>
        <w:spacing w:before="107" w:line="221" w:lineRule="auto"/>
        <w:rPr/>
      </w:pPr>
      <w:r>
        <w:rPr>
          <w:spacing w:val="14"/>
        </w:rPr>
        <w:t>报告撰写单位：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</w:rPr>
        <w:t>xAl</w:t>
      </w:r>
      <w:r>
        <w:rPr>
          <w:spacing w:val="14"/>
        </w:rPr>
        <w:t>教育战略分析中心(受顶级教</w:t>
      </w:r>
      <w:r>
        <w:rPr>
          <w:spacing w:val="13"/>
        </w:rPr>
        <w:t>育智库委托)</w:t>
      </w:r>
    </w:p>
    <w:p>
      <w:pPr>
        <w:pStyle w:val="BodyText"/>
        <w:spacing w:before="157" w:line="223" w:lineRule="auto"/>
        <w:rPr/>
      </w:pPr>
      <w:r>
        <w:rPr>
          <w:spacing w:val="17"/>
        </w:rPr>
        <w:t>报告日期：2026年1月</w:t>
      </w:r>
    </w:p>
    <w:p>
      <w:pPr>
        <w:pStyle w:val="BodyText"/>
        <w:spacing w:before="139" w:line="221" w:lineRule="auto"/>
        <w:rPr/>
      </w:pPr>
      <w:r>
        <w:rPr>
          <w:spacing w:val="9"/>
        </w:rPr>
        <w:t>报告级别：战略决策参考级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3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一、引言</w:t>
      </w:r>
    </w:p>
    <w:p>
      <w:pPr>
        <w:pStyle w:val="BodyText"/>
        <w:ind w:left="3"/>
        <w:spacing w:before="192" w:line="221" w:lineRule="auto"/>
        <w:outlineLvl w:val="4"/>
        <w:rPr/>
      </w:pPr>
      <w:r>
        <w:rPr>
          <w:b/>
          <w:bCs/>
          <w:spacing w:val="7"/>
        </w:rPr>
        <w:t>(一)研究背景与意义</w:t>
      </w:r>
    </w:p>
    <w:p>
      <w:pPr>
        <w:pStyle w:val="BodyText"/>
        <w:ind w:right="9"/>
        <w:spacing w:before="220" w:line="336" w:lineRule="auto"/>
        <w:rPr/>
      </w:pPr>
      <w:r>
        <w:rPr>
          <w:spacing w:val="10"/>
        </w:rPr>
        <w:t>据教育部高等教育司指导、中国高等教育学会主办的相关赛事文件显示，全国高校教师教</w:t>
      </w:r>
      <w:r>
        <w:rPr>
          <w:spacing w:val="9"/>
        </w:rPr>
        <w:t>学创新</w:t>
      </w:r>
      <w:r>
        <w:rPr/>
        <w:t xml:space="preserve">  </w:t>
      </w:r>
      <w:r>
        <w:rPr>
          <w:spacing w:val="9"/>
        </w:rPr>
        <w:t>大赛(以下简称“创新赛”)与全国高校青年教师教学竞赛(以下简称“青教赛”)作为我国高等教</w:t>
      </w:r>
      <w:r>
        <w:rPr/>
        <w:t xml:space="preserve">  </w:t>
      </w:r>
      <w:r>
        <w:rPr>
          <w:spacing w:val="4"/>
        </w:rPr>
        <w:t>育领域最具代表性的国家级教师教学竞赛，已成为推动“以学生为中心”教学范式转型、落</w:t>
      </w:r>
      <w:r>
        <w:rPr>
          <w:spacing w:val="3"/>
        </w:rPr>
        <w:t>实立德</w:t>
      </w:r>
      <w:r>
        <w:rPr/>
        <w:t xml:space="preserve">  </w:t>
      </w:r>
      <w:r>
        <w:rPr>
          <w:spacing w:val="7"/>
        </w:rPr>
        <w:t>树人根本任务的重要平台。通常而言，创新赛聚焦课程整体教学创新与信息技术融合，强调“高阶</w:t>
      </w:r>
      <w:r>
        <w:rPr>
          <w:spacing w:val="15"/>
        </w:rPr>
        <w:t xml:space="preserve"> </w:t>
      </w:r>
      <w:r>
        <w:rPr>
          <w:spacing w:val="7"/>
        </w:rPr>
        <w:t>性、创新性、挑战度”简称“三度”)及产教融合、新科建设；青教赛则更侧重青年教师课堂教学</w:t>
      </w:r>
      <w:r>
        <w:rPr>
          <w:spacing w:val="4"/>
        </w:rPr>
        <w:t xml:space="preserve">  </w:t>
      </w:r>
      <w:r>
        <w:rPr>
          <w:spacing w:val="9"/>
        </w:rPr>
        <w:t>基本功与模拟授课能力，突出教学设计闭环与即时反</w:t>
      </w:r>
      <w:r>
        <w:rPr>
          <w:spacing w:val="8"/>
        </w:rPr>
        <w:t>思。</w:t>
      </w:r>
    </w:p>
    <w:p>
      <w:pPr>
        <w:pStyle w:val="BodyText"/>
        <w:ind w:right="65"/>
        <w:spacing w:before="124" w:line="337" w:lineRule="auto"/>
        <w:jc w:val="both"/>
        <w:rPr/>
      </w:pPr>
      <w:r>
        <w:rPr>
          <w:spacing w:val="18"/>
        </w:rPr>
        <w:t>根据中国高等教育学会发布的相关分析(如《全国普通高校教师教学竞赛分析报告(2012-2020</w:t>
      </w:r>
      <w:r>
        <w:rPr>
          <w:spacing w:val="7"/>
        </w:rPr>
        <w:t xml:space="preserve"> </w:t>
      </w:r>
      <w:r>
        <w:rPr>
          <w:spacing w:val="11"/>
        </w:rPr>
        <w:t>年)》延续性调研趋势),这两类竞赛全国一等</w:t>
      </w:r>
      <w:r>
        <w:rPr>
          <w:spacing w:val="10"/>
        </w:rPr>
        <w:t>奖课程通常体现学习科学</w:t>
      </w:r>
      <w:r>
        <w:rPr>
          <w:spacing w:val="10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(</w:t>
      </w:r>
      <w:r>
        <w:rPr>
          <w:rFonts w:ascii="Times New Roman" w:hAnsi="Times New Roman" w:eastAsia="Times New Roman" w:cs="Times New Roman"/>
        </w:rPr>
        <w:t>learning</w:t>
      </w:r>
      <w:r>
        <w:rPr>
          <w:rFonts w:ascii="Times New Roman" w:hAnsi="Times New Roman" w:eastAsia="Times New Roman" w:cs="Times New Roman"/>
          <w:spacing w:val="10"/>
        </w:rPr>
        <w:t xml:space="preserve">         </w:t>
      </w:r>
      <w:r>
        <w:rPr>
          <w:rFonts w:ascii="Times New Roman" w:hAnsi="Times New Roman" w:eastAsia="Times New Roman" w:cs="Times New Roman"/>
        </w:rPr>
        <w:t>sciences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10"/>
        </w:rPr>
        <w:t>指</w:t>
      </w:r>
      <w:r>
        <w:rPr/>
        <w:t xml:space="preserve"> </w:t>
      </w:r>
      <w:r>
        <w:rPr>
          <w:spacing w:val="13"/>
        </w:rPr>
        <w:t>基于认知、动机与社会文化理论的多学科整合学习研究)指导下</w:t>
      </w:r>
      <w:r>
        <w:rPr>
          <w:spacing w:val="12"/>
        </w:rPr>
        <w:t>的卓越教学实践，可能表明其对</w:t>
      </w:r>
      <w:r>
        <w:rPr/>
        <w:t xml:space="preserve"> </w:t>
      </w:r>
      <w:r>
        <w:rPr>
          <w:spacing w:val="7"/>
        </w:rPr>
        <w:t>构建高质量教育体系具有示范价值。</w:t>
      </w:r>
    </w:p>
    <w:p>
      <w:pPr>
        <w:pStyle w:val="BodyText"/>
        <w:ind w:left="3"/>
        <w:spacing w:before="230" w:line="221" w:lineRule="auto"/>
        <w:outlineLvl w:val="4"/>
        <w:rPr/>
      </w:pPr>
      <w:r>
        <w:rPr>
          <w:b/>
          <w:bCs/>
          <w:spacing w:val="7"/>
        </w:rPr>
        <w:t>(二)研究目标与方法</w:t>
      </w:r>
    </w:p>
    <w:p>
      <w:pPr>
        <w:pStyle w:val="BodyText"/>
        <w:spacing w:before="212" w:line="336" w:lineRule="auto"/>
        <w:rPr/>
      </w:pPr>
      <w:r>
        <w:rPr>
          <w:spacing w:val="9"/>
        </w:rPr>
        <w:t>本报告系统探究两类竞赛全国一等奖课程的</w:t>
      </w:r>
      <w:r>
        <w:rPr>
          <w:spacing w:val="8"/>
        </w:rPr>
        <w:t>教学范式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pedagogical</w:t>
      </w:r>
      <w:r>
        <w:rPr>
          <w:rFonts w:ascii="Times New Roman" w:hAnsi="Times New Roman" w:eastAsia="Times New Roman" w:cs="Times New Roman"/>
          <w:spacing w:val="8"/>
        </w:rPr>
        <w:t xml:space="preserve">           </w:t>
      </w:r>
      <w:r>
        <w:rPr>
          <w:rFonts w:ascii="Times New Roman" w:hAnsi="Times New Roman" w:eastAsia="Times New Roman" w:cs="Times New Roman"/>
        </w:rPr>
        <w:t>paradigms</w:t>
      </w:r>
      <w:r>
        <w:rPr>
          <w:rFonts w:ascii="Times New Roman" w:hAnsi="Times New Roman" w:eastAsia="Times New Roman" w:cs="Times New Roman"/>
          <w:spacing w:val="8"/>
        </w:rPr>
        <w:t>,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8"/>
        </w:rPr>
        <w:t>包括建构主义</w:t>
      </w:r>
      <w:r>
        <w:rPr/>
        <w:t xml:space="preserve">  </w:t>
      </w:r>
      <w:r>
        <w:rPr>
          <w:spacing w:val="11"/>
        </w:rPr>
        <w:t>学习理论指导下的知识共同建构模式)特质、成功要素及资源生态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11"/>
        </w:rPr>
        <w:t>(</w:t>
      </w:r>
      <w:r>
        <w:rPr>
          <w:rFonts w:ascii="SimSun" w:hAnsi="SimSun" w:eastAsia="SimSun" w:cs="SimSun"/>
        </w:rPr>
        <w:t>resource</w:t>
      </w:r>
      <w:r>
        <w:rPr>
          <w:rFonts w:ascii="SimSun" w:hAnsi="SimSun" w:eastAsia="SimSun" w:cs="SimSun"/>
          <w:spacing w:val="2"/>
        </w:rPr>
        <w:t xml:space="preserve">    </w:t>
      </w:r>
      <w:r>
        <w:rPr>
          <w:rFonts w:ascii="SimSun" w:hAnsi="SimSun" w:eastAsia="SimSun" w:cs="SimSun"/>
        </w:rPr>
        <w:t>ecosystem</w:t>
      </w:r>
      <w:r>
        <w:rPr>
          <w:rFonts w:ascii="SimSun" w:hAnsi="SimSun" w:eastAsia="SimSun" w:cs="SimSun"/>
          <w:spacing w:val="11"/>
        </w:rPr>
        <w:t>,</w:t>
      </w:r>
      <w:r>
        <w:rPr>
          <w:spacing w:val="11"/>
        </w:rPr>
        <w:t>指</w:t>
      </w:r>
      <w:r>
        <w:rPr>
          <w:spacing w:val="-38"/>
        </w:rPr>
        <w:t xml:space="preserve"> </w:t>
      </w:r>
      <w:r>
        <w:rPr>
          <w:spacing w:val="11"/>
        </w:rPr>
        <w:t>多</w:t>
      </w:r>
      <w:r>
        <w:rPr/>
        <w:t xml:space="preserve"> </w:t>
      </w:r>
      <w:r>
        <w:rPr>
          <w:spacing w:val="10"/>
        </w:rPr>
        <w:t>模态教学资源的多源获取、整合与动态更新机制)。分析采用辩证平衡方法，结合权威引用、术语</w:t>
      </w:r>
      <w:r>
        <w:rPr>
          <w:spacing w:val="2"/>
        </w:rPr>
        <w:t xml:space="preserve"> </w:t>
      </w:r>
      <w:r>
        <w:rPr>
          <w:spacing w:val="6"/>
        </w:rPr>
        <w:t>定义与可视化工具。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二、两类竞赛基本框架与核心指标对比</w:t>
      </w:r>
    </w:p>
    <w:p>
      <w:pPr>
        <w:pStyle w:val="BodyText"/>
        <w:ind w:left="3"/>
        <w:spacing w:before="210" w:line="222" w:lineRule="auto"/>
        <w:outlineLvl w:val="4"/>
        <w:rPr/>
      </w:pPr>
      <w:r>
        <w:rPr>
          <w:b/>
          <w:bCs/>
          <w:spacing w:val="7"/>
        </w:rPr>
        <w:t>(一)竞赛定位与机制差异</w:t>
      </w:r>
    </w:p>
    <w:p>
      <w:pPr>
        <w:spacing w:line="222" w:lineRule="auto"/>
        <w:sectPr>
          <w:pgSz w:w="12240" w:h="15840"/>
          <w:pgMar w:top="1160" w:right="1042" w:bottom="0" w:left="980" w:header="0" w:footer="0" w:gutter="0"/>
        </w:sectPr>
        <w:rPr/>
      </w:pPr>
    </w:p>
    <w:p>
      <w:pPr>
        <w:pStyle w:val="BodyText"/>
        <w:ind w:left="349"/>
        <w:spacing w:before="44" w:line="221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1. </w:t>
      </w:r>
      <w:r>
        <w:rPr>
          <w:sz w:val="22"/>
          <w:szCs w:val="22"/>
          <w:spacing w:val="9"/>
        </w:rPr>
        <w:t>创新赛</w:t>
      </w:r>
    </w:p>
    <w:p>
      <w:pPr>
        <w:pStyle w:val="BodyText"/>
        <w:ind w:left="679"/>
        <w:spacing w:before="118" w:line="367" w:lineRule="auto"/>
        <w:jc w:val="both"/>
        <w:rPr>
          <w:sz w:val="22"/>
          <w:szCs w:val="22"/>
        </w:rPr>
      </w:pPr>
      <w:r>
        <w:rPr>
          <w:sz w:val="22"/>
          <w:szCs w:val="22"/>
          <w:spacing w:val="14"/>
        </w:rPr>
        <w:t>由中国高等教育学会主办，教育部指导，设课程思政、“四新”新工科/新医</w:t>
      </w:r>
      <w:r>
        <w:rPr>
          <w:sz w:val="22"/>
          <w:szCs w:val="22"/>
          <w:spacing w:val="13"/>
        </w:rPr>
        <w:t>科/新农科/新文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科)、产教融合等赛道，强调团队协作与课程整体改革。据赛事文件，通常要求提</w:t>
      </w:r>
      <w:r>
        <w:rPr>
          <w:sz w:val="22"/>
          <w:szCs w:val="22"/>
          <w:spacing w:val="19"/>
        </w:rPr>
        <w:t>交课程教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20"/>
        </w:rPr>
        <w:t>学创新成果报告、教学视频与资源展示，全国一等奖数量约70-80项/届。</w:t>
      </w:r>
    </w:p>
    <w:p>
      <w:pPr>
        <w:pStyle w:val="BodyText"/>
        <w:ind w:left="359"/>
        <w:spacing w:before="108" w:line="222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2. </w:t>
      </w:r>
      <w:r>
        <w:rPr>
          <w:sz w:val="22"/>
          <w:szCs w:val="22"/>
          <w:spacing w:val="7"/>
        </w:rPr>
        <w:t>青教赛</w:t>
      </w:r>
    </w:p>
    <w:p>
      <w:pPr>
        <w:pStyle w:val="BodyText"/>
        <w:ind w:left="679" w:right="204"/>
        <w:spacing w:before="132" w:line="351" w:lineRule="auto"/>
        <w:jc w:val="both"/>
        <w:rPr>
          <w:sz w:val="22"/>
          <w:szCs w:val="22"/>
        </w:rPr>
      </w:pPr>
      <w:r>
        <w:rPr>
          <w:sz w:val="22"/>
          <w:szCs w:val="22"/>
          <w:spacing w:val="24"/>
        </w:rPr>
        <w:t>由中华全国总工会、教育部联合主办，聚焦青年教师(通常35-40岁以下),设文/理/工/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20"/>
        </w:rPr>
        <w:t>医/思政组别，要求提交16学时教学设计方案与随机抽取节段的20分钟模拟课堂+教学反</w:t>
      </w:r>
      <w:r>
        <w:rPr>
          <w:sz w:val="22"/>
          <w:szCs w:val="22"/>
          <w:spacing w:val="7"/>
        </w:rPr>
        <w:t xml:space="preserve">  </w:t>
      </w:r>
      <w:r>
        <w:rPr>
          <w:sz w:val="22"/>
          <w:szCs w:val="22"/>
          <w:spacing w:val="18"/>
        </w:rPr>
        <w:t>思。全国一等奖每组别5项左右，总量较少但含金量高。</w:t>
      </w:r>
    </w:p>
    <w:p>
      <w:pPr>
        <w:pStyle w:val="BodyText"/>
        <w:ind w:left="3"/>
        <w:spacing w:before="245" w:line="222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(二)核心指标对比表</w:t>
      </w:r>
    </w:p>
    <w:p>
      <w:pPr>
        <w:spacing w:line="193" w:lineRule="exact"/>
        <w:rPr/>
      </w:pPr>
      <w:r/>
    </w:p>
    <w:tbl>
      <w:tblPr>
        <w:tblStyle w:val="TableNormal"/>
        <w:tblW w:w="1007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9"/>
        <w:gridCol w:w="3048"/>
        <w:gridCol w:w="2900"/>
        <w:gridCol w:w="2926"/>
      </w:tblGrid>
      <w:tr>
        <w:trPr>
          <w:trHeight w:val="758" w:hRule="atLeast"/>
        </w:trPr>
        <w:tc>
          <w:tcPr>
            <w:tcW w:w="1199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维度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483" w:right="192" w:hanging="120"/>
              <w:spacing w:line="28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5"/>
              </w:rPr>
              <w:t>全国高校教师教学创新大赛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(创新赛)全国一等奖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325" w:right="182" w:hanging="130"/>
              <w:spacing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3"/>
              </w:rPr>
              <w:t>全国高校青年教师教学竞赛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(青教赛)全国一等奖</w:t>
            </w:r>
          </w:p>
        </w:tc>
        <w:tc>
          <w:tcPr>
            <w:tcW w:w="2926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7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主要差异与启示</w:t>
            </w:r>
          </w:p>
        </w:tc>
      </w:tr>
      <w:tr>
        <w:trPr>
          <w:trHeight w:val="419" w:hRule="atLeast"/>
        </w:trPr>
        <w:tc>
          <w:tcPr>
            <w:tcW w:w="1199" w:type="dxa"/>
            <w:vAlign w:val="top"/>
          </w:tcPr>
          <w:p>
            <w:pPr>
              <w:pStyle w:val="TableText"/>
              <w:spacing w:before="196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参赛对象</w:t>
            </w:r>
          </w:p>
        </w:tc>
        <w:tc>
          <w:tcPr>
            <w:tcW w:w="3048" w:type="dxa"/>
            <w:vAlign w:val="top"/>
          </w:tcPr>
          <w:p>
            <w:pPr>
              <w:pStyle w:val="TableText"/>
              <w:ind w:left="360"/>
              <w:spacing w:before="186" w:line="18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全年龄段教师(鼓励团队，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192"/>
              <w:spacing w:before="195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6"/>
              </w:rPr>
              <w:t>青年教师(平均36岁左右)</w:t>
            </w:r>
          </w:p>
        </w:tc>
        <w:tc>
          <w:tcPr>
            <w:tcW w:w="2926" w:type="dxa"/>
            <w:vAlign w:val="top"/>
          </w:tcPr>
          <w:p>
            <w:pPr>
              <w:pStyle w:val="TableText"/>
              <w:spacing w:before="186" w:line="187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创新赛更注重系统性积累，青</w:t>
            </w:r>
          </w:p>
        </w:tc>
      </w:tr>
    </w:tbl>
    <w:p>
      <w:pPr>
        <w:pStyle w:val="BodyText"/>
        <w:ind w:left="1166"/>
        <w:spacing w:before="155" w:line="182" w:lineRule="auto"/>
        <w:rPr>
          <w:sz w:val="20"/>
          <w:szCs w:val="20"/>
        </w:rPr>
      </w:pPr>
      <w:r>
        <w:rPr>
          <w:sz w:val="20"/>
          <w:szCs w:val="20"/>
          <w:spacing w:val="-5"/>
        </w:rPr>
        <w:t>正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高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比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5"/>
        </w:rPr>
        <w:t>例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-5"/>
        </w:rPr>
        <w:t>高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5"/>
        </w:rPr>
        <w:t>)</w:t>
      </w:r>
      <w:r>
        <w:rPr>
          <w:sz w:val="20"/>
          <w:szCs w:val="20"/>
          <w:spacing w:val="-5"/>
        </w:rPr>
        <w:t xml:space="preserve">                          </w:t>
      </w:r>
      <w:r>
        <w:rPr>
          <w:sz w:val="20"/>
          <w:szCs w:val="20"/>
          <w:spacing w:val="-6"/>
        </w:rPr>
        <w:t xml:space="preserve">                 </w:t>
      </w:r>
      <w:r>
        <w:rPr>
          <w:sz w:val="20"/>
          <w:szCs w:val="20"/>
          <w:spacing w:val="-6"/>
        </w:rPr>
        <w:t>教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-6"/>
        </w:rPr>
        <w:t>赛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突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6"/>
        </w:rPr>
        <w:t>出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个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6"/>
        </w:rPr>
        <w:t>人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6"/>
        </w:rPr>
        <w:t>基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6"/>
        </w:rPr>
        <w:t>本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6"/>
        </w:rPr>
        <w:t>功</w:t>
      </w: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95"/>
        <w:gridCol w:w="3050"/>
        <w:gridCol w:w="2856"/>
        <w:gridCol w:w="2988"/>
      </w:tblGrid>
      <w:tr>
        <w:trPr>
          <w:trHeight w:val="965" w:hRule="atLeast"/>
        </w:trPr>
        <w:tc>
          <w:tcPr>
            <w:tcW w:w="10089" w:type="dxa"/>
            <w:vAlign w:val="top"/>
            <w:gridSpan w:val="4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2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评价重点</w:t>
            </w:r>
            <w:r>
              <w:rPr>
                <w:sz w:val="22"/>
                <w:szCs w:val="22"/>
                <w:spacing w:val="-14"/>
              </w:rPr>
              <w:t xml:space="preserve">       </w:t>
            </w:r>
            <w:r>
              <w:rPr>
                <w:sz w:val="22"/>
                <w:szCs w:val="22"/>
                <w:spacing w:val="-14"/>
              </w:rPr>
              <w:t>课程整体创新、“三度”、资</w:t>
            </w:r>
            <w:r>
              <w:rPr>
                <w:sz w:val="22"/>
                <w:szCs w:val="22"/>
                <w:spacing w:val="-14"/>
              </w:rPr>
              <w:t xml:space="preserve">   </w:t>
            </w:r>
            <w:r>
              <w:rPr>
                <w:sz w:val="22"/>
                <w:szCs w:val="22"/>
                <w:spacing w:val="-14"/>
              </w:rPr>
              <w:t>教学设计、课堂实施、即时</w:t>
            </w:r>
            <w:r>
              <w:rPr>
                <w:sz w:val="22"/>
                <w:szCs w:val="22"/>
                <w:spacing w:val="-14"/>
              </w:rPr>
              <w:t xml:space="preserve">    </w:t>
            </w:r>
            <w:r>
              <w:rPr>
                <w:sz w:val="22"/>
                <w:szCs w:val="22"/>
                <w:spacing w:val="-14"/>
              </w:rPr>
              <w:t>创新赛偏“设计+生态”,青教</w:t>
            </w:r>
          </w:p>
          <w:p>
            <w:pPr>
              <w:pStyle w:val="TableText"/>
              <w:ind w:left="1073"/>
              <w:spacing w:before="106" w:line="178" w:lineRule="auto"/>
              <w:rPr/>
            </w:pPr>
            <w:r>
              <w:rPr>
                <w:spacing w:val="-4"/>
              </w:rPr>
              <w:t>源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生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态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成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效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证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据</w:t>
            </w:r>
            <w:r>
              <w:rPr>
                <w:spacing w:val="-4"/>
              </w:rPr>
              <w:t xml:space="preserve">        </w:t>
            </w:r>
            <w:r>
              <w:rPr>
                <w:spacing w:val="-4"/>
              </w:rPr>
              <w:t>反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思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课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程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思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政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融</w:t>
            </w:r>
            <w:r>
              <w:rPr>
                <w:spacing w:val="-31"/>
              </w:rPr>
              <w:t xml:space="preserve"> </w:t>
            </w:r>
            <w:r>
              <w:rPr>
                <w:spacing w:val="-4"/>
              </w:rPr>
              <w:t>入</w:t>
            </w:r>
            <w:r>
              <w:rPr>
                <w:spacing w:val="-4"/>
              </w:rPr>
              <w:t xml:space="preserve">     </w:t>
            </w:r>
            <w:r>
              <w:rPr>
                <w:spacing w:val="-5"/>
              </w:rPr>
              <w:t xml:space="preserve">  </w:t>
            </w:r>
            <w:r>
              <w:rPr>
                <w:spacing w:val="-5"/>
              </w:rPr>
              <w:t>赛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偏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“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实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施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+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反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思</w:t>
            </w:r>
            <w:r>
              <w:rPr>
                <w:spacing w:val="-5"/>
              </w:rPr>
              <w:t xml:space="preserve"> </w:t>
            </w:r>
            <w:r>
              <w:rPr>
                <w:spacing w:val="-5"/>
              </w:rPr>
              <w:t>”</w:t>
            </w:r>
          </w:p>
        </w:tc>
      </w:tr>
      <w:tr>
        <w:trPr>
          <w:trHeight w:val="951" w:hRule="atLeast"/>
        </w:trPr>
        <w:tc>
          <w:tcPr>
            <w:tcW w:w="7101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5" w:right="68" w:hanging="1095"/>
              <w:spacing w:before="71" w:line="248" w:lineRule="auto"/>
              <w:rPr/>
            </w:pPr>
            <w:r>
              <w:rPr>
                <w:sz w:val="22"/>
                <w:szCs w:val="22"/>
                <w:spacing w:val="-5"/>
              </w:rPr>
              <w:t>典型教学范式</w:t>
            </w:r>
            <w:r>
              <w:rPr>
                <w:sz w:val="22"/>
                <w:szCs w:val="22"/>
                <w:spacing w:val="28"/>
              </w:rPr>
              <w:t xml:space="preserve">  </w:t>
            </w:r>
            <w:r>
              <w:rPr>
                <w:sz w:val="22"/>
                <w:szCs w:val="22"/>
                <w:spacing w:val="-5"/>
              </w:rPr>
              <w:t>混合式/翻转课堂+精准教学</w:t>
            </w:r>
            <w:r>
              <w:rPr>
                <w:sz w:val="22"/>
                <w:szCs w:val="22"/>
                <w:spacing w:val="-5"/>
              </w:rPr>
              <w:t xml:space="preserve">   </w:t>
            </w:r>
            <w:r>
              <w:rPr>
                <w:sz w:val="22"/>
                <w:szCs w:val="22"/>
                <w:spacing w:val="-5"/>
              </w:rPr>
              <w:t>学生中心+互动启发+形成性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pacing w:val="-7"/>
              </w:rPr>
              <w:t>干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预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+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多</w:t>
            </w:r>
            <w:r>
              <w:rPr>
                <w:spacing w:val="-8"/>
              </w:rPr>
              <w:t xml:space="preserve"> </w:t>
            </w:r>
            <w:r>
              <w:rPr>
                <w:spacing w:val="-7"/>
              </w:rPr>
              <w:t>模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态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资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源</w:t>
            </w:r>
            <w:r>
              <w:rPr>
                <w:spacing w:val="2"/>
              </w:rPr>
              <w:t xml:space="preserve">          </w:t>
            </w:r>
            <w:r>
              <w:rPr>
                <w:spacing w:val="-7"/>
              </w:rPr>
              <w:t>评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价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闭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环</w:t>
            </w:r>
          </w:p>
        </w:tc>
        <w:tc>
          <w:tcPr>
            <w:tcW w:w="298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 w:right="16" w:firstLine="146"/>
              <w:spacing w:before="7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两者互补，前者重生态，后者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重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过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程</w:t>
            </w:r>
          </w:p>
        </w:tc>
      </w:tr>
      <w:tr>
        <w:trPr>
          <w:trHeight w:val="1064" w:hRule="atLeast"/>
        </w:trPr>
        <w:tc>
          <w:tcPr>
            <w:tcW w:w="1195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资源要求</w:t>
            </w:r>
          </w:p>
        </w:tc>
        <w:tc>
          <w:tcPr>
            <w:tcW w:w="3050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4" w:right="180"/>
              <w:spacing w:before="71" w:line="28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需展示多源数字资源、平台</w:t>
            </w:r>
            <w:r>
              <w:rPr>
                <w:sz w:val="22"/>
                <w:szCs w:val="22"/>
                <w:spacing w:val="7"/>
              </w:rPr>
              <w:t xml:space="preserve"> </w:t>
            </w:r>
            <w:r>
              <w:rPr>
                <w:sz w:val="22"/>
                <w:szCs w:val="22"/>
                <w:spacing w:val="-8"/>
              </w:rPr>
              <w:t>数据支撑</w:t>
            </w:r>
          </w:p>
        </w:tc>
        <w:tc>
          <w:tcPr>
            <w:tcW w:w="2856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 w:right="128"/>
              <w:spacing w:before="72" w:line="2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9"/>
              </w:rPr>
              <w:t>重点课件、教具、反思，无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spacing w:val="-7"/>
              </w:rPr>
              <w:t>强制资源生态</w:t>
            </w:r>
          </w:p>
        </w:tc>
        <w:tc>
          <w:tcPr>
            <w:tcW w:w="2988" w:type="dxa"/>
            <w:vAlign w:val="top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8"/>
              <w:spacing w:before="7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创新赛资源更丰富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282" w:right="1088" w:bottom="0" w:left="980" w:header="0" w:footer="0" w:gutter="0"/>
          <w:cols w:equalWidth="0" w:num="1">
            <w:col w:w="10172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right="1736"/>
        <w:spacing w:before="46" w:line="311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获奖数量(近</w:t>
      </w:r>
      <w:r>
        <w:rPr>
          <w:sz w:val="22"/>
          <w:szCs w:val="22"/>
          <w:spacing w:val="26"/>
        </w:rPr>
        <w:t xml:space="preserve">  </w:t>
      </w:r>
      <w:r>
        <w:rPr>
          <w:sz w:val="22"/>
          <w:szCs w:val="22"/>
          <w:spacing w:val="10"/>
        </w:rPr>
        <w:t>约70-80项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届参考)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3" w:line="222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约25项(5组×5)</w:t>
      </w:r>
      <w:r>
        <w:rPr>
          <w:sz w:val="22"/>
          <w:szCs w:val="22"/>
          <w:spacing w:val="6"/>
        </w:rPr>
        <w:t xml:space="preserve">           </w:t>
      </w:r>
      <w:r>
        <w:rPr>
          <w:sz w:val="22"/>
          <w:szCs w:val="22"/>
          <w:spacing w:val="2"/>
        </w:rPr>
        <w:t>创新赛辐射广</w:t>
      </w:r>
    </w:p>
    <w:p>
      <w:pPr>
        <w:spacing w:line="222" w:lineRule="auto"/>
        <w:sectPr>
          <w:type w:val="continuous"/>
          <w:pgSz w:w="12240" w:h="15840"/>
          <w:pgMar w:top="1282" w:right="1088" w:bottom="0" w:left="980" w:header="0" w:footer="0" w:gutter="0"/>
          <w:cols w:equalWidth="0" w:num="2">
            <w:col w:w="4340" w:space="100"/>
            <w:col w:w="5732" w:space="0"/>
          </w:cols>
        </w:sectPr>
        <w:rPr>
          <w:sz w:val="22"/>
          <w:szCs w:val="22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2" w:line="213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(数据来源：综合教育部官网、中国高等教育学会赛事公告及相关报道，2023-2025</w:t>
      </w:r>
      <w:r>
        <w:rPr>
          <w:sz w:val="22"/>
          <w:szCs w:val="22"/>
          <w:spacing w:val="22"/>
        </w:rPr>
        <w:t>届趋势)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三、一等奖课程教学范式分析</w:t>
      </w:r>
    </w:p>
    <w:p>
      <w:pPr>
        <w:pStyle w:val="BodyText"/>
        <w:ind w:left="3"/>
        <w:spacing w:before="240" w:line="187" w:lineRule="auto"/>
        <w:outlineLvl w:val="4"/>
        <w:rPr>
          <w:sz w:val="22"/>
          <w:szCs w:val="22"/>
        </w:rPr>
      </w:pPr>
      <w:r>
        <w:rPr>
          <w:sz w:val="22"/>
          <w:szCs w:val="22"/>
          <w:b/>
          <w:bCs/>
          <w:spacing w:val="15"/>
        </w:rPr>
        <w:t>(一)共通教学范式特征</w:t>
      </w:r>
    </w:p>
    <w:p>
      <w:pPr>
        <w:spacing w:line="187" w:lineRule="auto"/>
        <w:sectPr>
          <w:type w:val="continuous"/>
          <w:pgSz w:w="12240" w:h="15840"/>
          <w:pgMar w:top="1282" w:right="1088" w:bottom="0" w:left="980" w:header="0" w:footer="0" w:gutter="0"/>
          <w:cols w:equalWidth="0" w:num="1">
            <w:col w:w="10172" w:space="0"/>
          </w:cols>
        </w:sectPr>
        <w:rPr>
          <w:sz w:val="22"/>
          <w:szCs w:val="22"/>
        </w:rPr>
      </w:pPr>
    </w:p>
    <w:p>
      <w:pPr>
        <w:pStyle w:val="BodyText"/>
        <w:ind w:left="468"/>
        <w:spacing w:before="48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1.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3"/>
        </w:rPr>
        <w:t>建构主义学习理论主导</w:t>
      </w:r>
    </w:p>
    <w:p>
      <w:pPr>
        <w:pStyle w:val="BodyText"/>
        <w:ind w:left="758" w:right="62"/>
        <w:spacing w:before="106" w:line="334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建构主义学习理论</w:t>
      </w:r>
      <w:r>
        <w:rPr>
          <w:sz w:val="24"/>
          <w:szCs w:val="24"/>
          <w:spacing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(constructivism learning theory,</w:t>
      </w:r>
      <w:r>
        <w:rPr>
          <w:sz w:val="24"/>
          <w:szCs w:val="24"/>
          <w:spacing w:val="-1"/>
        </w:rPr>
        <w:t>指学习者通过主动建构而非被动接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3"/>
        </w:rPr>
        <w:t>受知识的过程)在两类一等奖课程中普遍体现为“学生中心”导向，通常以问题驱动、协作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4"/>
        </w:rPr>
        <w:t>探究取代传统讲授。</w:t>
      </w:r>
    </w:p>
    <w:p>
      <w:pPr>
        <w:pStyle w:val="BodyText"/>
        <w:ind w:left="448"/>
        <w:spacing w:before="103" w:line="22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2.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1"/>
        </w:rPr>
        <w:t>精准教学干预与形成性评价闭环</w:t>
      </w:r>
    </w:p>
    <w:p>
      <w:pPr>
        <w:pStyle w:val="BodyText"/>
        <w:ind w:left="758" w:right="1"/>
        <w:spacing w:before="126" w:line="306" w:lineRule="auto"/>
        <w:rPr>
          <w:sz w:val="24"/>
          <w:szCs w:val="24"/>
        </w:rPr>
      </w:pPr>
      <w:r>
        <w:rPr>
          <w:sz w:val="24"/>
          <w:szCs w:val="24"/>
          <w:spacing w:val="1"/>
        </w:rPr>
        <w:t>精准教学干预</w:t>
      </w:r>
      <w:r>
        <w:rPr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(</w:t>
      </w:r>
      <w:r>
        <w:rPr>
          <w:rFonts w:ascii="SimSun" w:hAnsi="SimSun" w:eastAsia="SimSun" w:cs="SimSun"/>
          <w:sz w:val="24"/>
          <w:szCs w:val="24"/>
        </w:rPr>
        <w:t>precision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teaching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intervention</w:t>
      </w:r>
      <w:r>
        <w:rPr>
          <w:rFonts w:ascii="SimSun" w:hAnsi="SimSun" w:eastAsia="SimSun" w:cs="SimSun"/>
          <w:sz w:val="24"/>
          <w:szCs w:val="24"/>
          <w:spacing w:val="1"/>
        </w:rPr>
        <w:t>,</w:t>
      </w:r>
      <w:r>
        <w:rPr>
          <w:sz w:val="24"/>
          <w:szCs w:val="24"/>
          <w:spacing w:val="1"/>
        </w:rPr>
        <w:t>指基于数据驱动的个性化学习调整)结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合形成性评价闭环</w:t>
      </w:r>
      <w:r>
        <w:rPr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(formative      assessment      loop,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sz w:val="24"/>
          <w:szCs w:val="24"/>
        </w:rPr>
        <w:t>指持续反馈-调整-再反馈</w:t>
      </w:r>
      <w:r>
        <w:rPr>
          <w:sz w:val="24"/>
          <w:szCs w:val="24"/>
          <w:spacing w:val="-1"/>
        </w:rPr>
        <w:t>的动态循</w:t>
      </w:r>
    </w:p>
    <w:p>
      <w:pPr>
        <w:pStyle w:val="BodyText"/>
        <w:ind w:left="758"/>
        <w:spacing w:before="40" w:line="213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环),据获奖案例，可能表明其显著提升学习获得感。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01"/>
        <w:spacing w:before="78" w:line="221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(二)创新赛一等奖课程创新点分解表</w:t>
      </w:r>
    </w:p>
    <w:p>
      <w:pPr>
        <w:spacing w:line="183" w:lineRule="exact"/>
        <w:rPr/>
      </w:pPr>
      <w:r/>
    </w:p>
    <w:tbl>
      <w:tblPr>
        <w:tblStyle w:val="TableNormal"/>
        <w:tblW w:w="10069" w:type="dxa"/>
        <w:tblInd w:w="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8"/>
        <w:gridCol w:w="2133"/>
        <w:gridCol w:w="1988"/>
        <w:gridCol w:w="1229"/>
        <w:gridCol w:w="1870"/>
        <w:gridCol w:w="2051"/>
      </w:tblGrid>
      <w:tr>
        <w:trPr>
          <w:trHeight w:val="278" w:hRule="atLeast"/>
        </w:trPr>
        <w:tc>
          <w:tcPr>
            <w:tcW w:w="798" w:type="dxa"/>
            <w:vAlign w:val="top"/>
          </w:tcPr>
          <w:p>
            <w:pPr>
              <w:pStyle w:val="TableText"/>
              <w:ind w:left="3"/>
              <w:spacing w:before="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创新维</w:t>
            </w:r>
          </w:p>
        </w:tc>
        <w:tc>
          <w:tcPr>
            <w:tcW w:w="21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88" w:type="dxa"/>
            <w:vAlign w:val="top"/>
          </w:tcPr>
          <w:p>
            <w:pPr>
              <w:pStyle w:val="TableText"/>
              <w:ind w:left="141"/>
              <w:spacing w:before="1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代表性案例(参考</w:t>
            </w:r>
          </w:p>
        </w:tc>
        <w:tc>
          <w:tcPr>
            <w:tcW w:w="12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70" w:type="dxa"/>
            <w:vAlign w:val="top"/>
          </w:tcPr>
          <w:p>
            <w:pPr>
              <w:pStyle w:val="TableText"/>
              <w:ind w:left="224"/>
              <w:spacing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潜在局限与实施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154"/>
              <w:spacing w:before="11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最佳适用条件</w:t>
            </w:r>
          </w:p>
        </w:tc>
      </w:tr>
      <w:tr>
        <w:trPr>
          <w:trHeight w:val="498" w:hRule="atLeast"/>
        </w:trPr>
        <w:tc>
          <w:tcPr>
            <w:tcW w:w="798" w:type="dxa"/>
            <w:vAlign w:val="top"/>
          </w:tcPr>
          <w:p>
            <w:pPr>
              <w:pStyle w:val="TableText"/>
              <w:ind w:left="3"/>
              <w:spacing w:before="8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度</w:t>
            </w:r>
          </w:p>
        </w:tc>
        <w:tc>
          <w:tcPr>
            <w:tcW w:w="2133" w:type="dxa"/>
            <w:vAlign w:val="top"/>
          </w:tcPr>
          <w:p>
            <w:pPr>
              <w:pStyle w:val="TableText"/>
              <w:ind w:left="174"/>
              <w:spacing w:before="8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典型表现形式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141"/>
              <w:spacing w:before="8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获奖课程)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174"/>
              <w:spacing w:before="83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优势分析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ind w:left="225"/>
              <w:spacing w:before="54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3"/>
              </w:rPr>
              <w:t>挑战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ind w:left="154"/>
              <w:spacing w:before="9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与边界</w:t>
            </w:r>
          </w:p>
        </w:tc>
      </w:tr>
      <w:tr>
        <w:trPr>
          <w:trHeight w:val="410" w:hRule="atLeast"/>
        </w:trPr>
        <w:tc>
          <w:tcPr>
            <w:tcW w:w="798" w:type="dxa"/>
            <w:vAlign w:val="top"/>
          </w:tcPr>
          <w:p>
            <w:pPr>
              <w:pStyle w:val="TableText"/>
              <w:spacing w:before="194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教学模</w:t>
            </w:r>
          </w:p>
        </w:tc>
        <w:tc>
          <w:tcPr>
            <w:tcW w:w="2133" w:type="dxa"/>
            <w:vAlign w:val="top"/>
          </w:tcPr>
          <w:p>
            <w:pPr>
              <w:pStyle w:val="TableText"/>
              <w:ind w:left="171"/>
              <w:spacing w:before="194" w:line="1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线上线下混合式+项</w:t>
            </w:r>
          </w:p>
        </w:tc>
        <w:tc>
          <w:tcPr>
            <w:tcW w:w="1988" w:type="dxa"/>
            <w:vAlign w:val="top"/>
          </w:tcPr>
          <w:p>
            <w:pPr>
              <w:pStyle w:val="TableText"/>
              <w:ind w:left="138"/>
              <w:spacing w:before="197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机器人机械设计</w:t>
            </w:r>
          </w:p>
        </w:tc>
        <w:tc>
          <w:tcPr>
            <w:tcW w:w="1229" w:type="dxa"/>
            <w:vAlign w:val="top"/>
          </w:tcPr>
          <w:p>
            <w:pPr>
              <w:pStyle w:val="TableText"/>
              <w:ind w:left="171"/>
              <w:spacing w:before="197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体现高阶</w:t>
            </w:r>
          </w:p>
        </w:tc>
        <w:tc>
          <w:tcPr>
            <w:tcW w:w="1870" w:type="dxa"/>
            <w:vAlign w:val="top"/>
          </w:tcPr>
          <w:p>
            <w:pPr>
              <w:pStyle w:val="TableText"/>
              <w:ind w:left="221"/>
              <w:spacing w:before="197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数字鸿沟、师资</w:t>
            </w:r>
          </w:p>
        </w:tc>
        <w:tc>
          <w:tcPr>
            <w:tcW w:w="2051" w:type="dxa"/>
            <w:vAlign w:val="top"/>
          </w:tcPr>
          <w:p>
            <w:pPr>
              <w:pStyle w:val="TableText"/>
              <w:spacing w:before="196" w:line="17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具备数字化基础设施</w:t>
            </w:r>
          </w:p>
        </w:tc>
      </w:tr>
    </w:tbl>
    <w:p>
      <w:pPr>
        <w:pStyle w:val="BodyText"/>
        <w:ind w:left="98"/>
        <w:spacing w:before="146" w:line="223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式</w:t>
      </w:r>
      <w:r>
        <w:rPr>
          <w:sz w:val="21"/>
          <w:szCs w:val="21"/>
          <w:spacing w:val="8"/>
        </w:rPr>
        <w:t xml:space="preserve">       </w:t>
      </w:r>
      <w:r>
        <w:rPr>
          <w:sz w:val="21"/>
          <w:szCs w:val="21"/>
          <w:spacing w:val="-5"/>
        </w:rPr>
        <w:t>目制学习</w:t>
      </w:r>
      <w:r>
        <w:rPr>
          <w:sz w:val="21"/>
          <w:szCs w:val="21"/>
          <w:spacing w:val="2"/>
        </w:rPr>
        <w:t xml:space="preserve">             </w:t>
      </w:r>
      <w:r>
        <w:rPr>
          <w:sz w:val="21"/>
          <w:szCs w:val="21"/>
          <w:spacing w:val="-5"/>
        </w:rPr>
        <w:t>(产教融合赛道)</w:t>
      </w:r>
      <w:r>
        <w:rPr>
          <w:sz w:val="21"/>
          <w:szCs w:val="21"/>
          <w:spacing w:val="-5"/>
        </w:rPr>
        <w:t xml:space="preserve">    </w:t>
      </w:r>
      <w:r>
        <w:rPr>
          <w:sz w:val="21"/>
          <w:szCs w:val="21"/>
          <w:spacing w:val="-5"/>
        </w:rPr>
        <w:t>性与挑战</w:t>
      </w:r>
      <w:r>
        <w:rPr>
          <w:sz w:val="21"/>
          <w:szCs w:val="21"/>
          <w:spacing w:val="-5"/>
        </w:rPr>
        <w:t xml:space="preserve">  </w:t>
      </w:r>
      <w:r>
        <w:rPr>
          <w:sz w:val="21"/>
          <w:szCs w:val="21"/>
          <w:spacing w:val="-6"/>
        </w:rPr>
        <w:t xml:space="preserve">  </w:t>
      </w:r>
      <w:r>
        <w:rPr>
          <w:sz w:val="21"/>
          <w:szCs w:val="21"/>
          <w:spacing w:val="-6"/>
        </w:rPr>
        <w:t>技术门槛高</w:t>
      </w:r>
      <w:r>
        <w:rPr>
          <w:sz w:val="21"/>
          <w:szCs w:val="21"/>
          <w:spacing w:val="1"/>
        </w:rPr>
        <w:t xml:space="preserve">       </w:t>
      </w:r>
      <w:r>
        <w:rPr>
          <w:sz w:val="21"/>
          <w:szCs w:val="21"/>
          <w:spacing w:val="-6"/>
        </w:rPr>
        <w:t>的“四新”专业</w:t>
      </w:r>
    </w:p>
    <w:p>
      <w:pPr>
        <w:pStyle w:val="BodyText"/>
        <w:ind w:left="5150"/>
        <w:spacing w:before="117" w:line="181" w:lineRule="auto"/>
        <w:rPr>
          <w:sz w:val="20"/>
          <w:szCs w:val="20"/>
        </w:rPr>
      </w:pPr>
      <w:r>
        <w:rPr>
          <w:sz w:val="20"/>
          <w:szCs w:val="20"/>
        </w:rPr>
        <w:t>度</w:t>
      </w:r>
    </w:p>
    <w:tbl>
      <w:tblPr>
        <w:tblStyle w:val="TableNormal"/>
        <w:tblW w:w="10086" w:type="dxa"/>
        <w:tblInd w:w="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9"/>
        <w:gridCol w:w="2015"/>
        <w:gridCol w:w="2056"/>
        <w:gridCol w:w="3109"/>
        <w:gridCol w:w="2107"/>
      </w:tblGrid>
      <w:tr>
        <w:trPr>
          <w:trHeight w:val="671" w:hRule="atLeast"/>
        </w:trPr>
        <w:tc>
          <w:tcPr>
            <w:tcW w:w="799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6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课程思</w:t>
            </w:r>
          </w:p>
        </w:tc>
        <w:tc>
          <w:tcPr>
            <w:tcW w:w="2015" w:type="dxa"/>
            <w:vAlign w:val="top"/>
            <w:tcBorders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7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价值塑造与知识传</w:t>
            </w:r>
          </w:p>
        </w:tc>
        <w:tc>
          <w:tcPr>
            <w:tcW w:w="2056" w:type="dxa"/>
            <w:vAlign w:val="top"/>
            <w:tcBorders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2"/>
              <w:spacing w:before="68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多门思政专项获奖</w:t>
            </w:r>
          </w:p>
        </w:tc>
        <w:tc>
          <w:tcPr>
            <w:tcW w:w="3109" w:type="dxa"/>
            <w:vAlign w:val="top"/>
            <w:tcBorders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6"/>
              <w:spacing w:before="68" w:line="23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落实立德</w:t>
            </w:r>
            <w:r>
              <w:rPr>
                <w:sz w:val="21"/>
                <w:szCs w:val="21"/>
                <w:spacing w:val="8"/>
              </w:rPr>
              <w:t xml:space="preserve">    </w:t>
            </w:r>
            <w:r>
              <w:rPr>
                <w:sz w:val="21"/>
                <w:szCs w:val="21"/>
              </w:rPr>
              <w:t>形式化风险、学</w:t>
            </w:r>
          </w:p>
        </w:tc>
        <w:tc>
          <w:tcPr>
            <w:tcW w:w="2107" w:type="dxa"/>
            <w:vAlign w:val="top"/>
            <w:tcBorders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"/>
              <w:spacing w:before="68" w:line="22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思政元素自然嵌入的</w:t>
            </w:r>
          </w:p>
        </w:tc>
      </w:tr>
      <w:tr>
        <w:trPr>
          <w:trHeight w:val="286" w:hRule="atLeast"/>
        </w:trPr>
        <w:tc>
          <w:tcPr>
            <w:tcW w:w="7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"/>
              <w:spacing w:before="81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政融入</w:t>
            </w:r>
          </w:p>
        </w:tc>
        <w:tc>
          <w:tcPr>
            <w:tcW w:w="201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2"/>
              <w:spacing w:before="81" w:line="17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授有机统一</w:t>
            </w:r>
          </w:p>
        </w:tc>
        <w:tc>
          <w:tcPr>
            <w:tcW w:w="205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7"/>
              <w:spacing w:before="91" w:line="17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课</w:t>
            </w:r>
            <w:r>
              <w:rPr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程</w:t>
            </w:r>
          </w:p>
        </w:tc>
        <w:tc>
          <w:tcPr>
            <w:tcW w:w="310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1"/>
              <w:spacing w:before="92" w:line="169" w:lineRule="auto"/>
              <w:rPr/>
            </w:pPr>
            <w:r>
              <w:rPr>
                <w:spacing w:val="-9"/>
              </w:rPr>
              <w:t>树</w:t>
            </w:r>
            <w:r>
              <w:rPr>
                <w:spacing w:val="30"/>
              </w:rPr>
              <w:t xml:space="preserve"> </w:t>
            </w:r>
            <w:r>
              <w:rPr>
                <w:spacing w:val="-9"/>
              </w:rPr>
              <w:t>人</w:t>
            </w:r>
            <w:r>
              <w:rPr>
                <w:spacing w:val="9"/>
              </w:rPr>
              <w:t xml:space="preserve">     </w:t>
            </w:r>
            <w:r>
              <w:rPr>
                <w:spacing w:val="-9"/>
              </w:rPr>
              <w:t>生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接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受</w:t>
            </w:r>
            <w:r>
              <w:rPr>
                <w:spacing w:val="-16"/>
              </w:rPr>
              <w:t xml:space="preserve"> </w:t>
            </w:r>
            <w:r>
              <w:rPr>
                <w:spacing w:val="-9"/>
              </w:rPr>
              <w:t>度</w:t>
            </w:r>
            <w:r>
              <w:rPr>
                <w:spacing w:val="-17"/>
              </w:rPr>
              <w:t xml:space="preserve"> </w:t>
            </w:r>
            <w:r>
              <w:rPr>
                <w:spacing w:val="-9"/>
              </w:rPr>
              <w:t>差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异</w:t>
            </w:r>
          </w:p>
        </w:tc>
        <w:tc>
          <w:tcPr>
            <w:tcW w:w="210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32"/>
              <w:spacing w:before="91" w:line="170" w:lineRule="auto"/>
              <w:rPr/>
            </w:pPr>
            <w:r>
              <w:rPr>
                <w:spacing w:val="-8"/>
              </w:rPr>
              <w:t>专</w:t>
            </w:r>
            <w:r>
              <w:rPr>
                <w:spacing w:val="37"/>
              </w:rPr>
              <w:t xml:space="preserve"> </w:t>
            </w:r>
            <w:r>
              <w:rPr>
                <w:spacing w:val="-8"/>
              </w:rPr>
              <w:t>业</w:t>
            </w:r>
            <w:r>
              <w:rPr>
                <w:spacing w:val="33"/>
              </w:rPr>
              <w:t xml:space="preserve"> </w:t>
            </w:r>
            <w:r>
              <w:rPr>
                <w:spacing w:val="-8"/>
              </w:rPr>
              <w:t>课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1239" w:right="1108" w:bottom="0" w:left="881" w:header="0" w:footer="0" w:gutter="0"/>
          <w:cols w:equalWidth="0" w:num="1">
            <w:col w:w="10250" w:space="0"/>
          </w:cols>
        </w:sectPr>
        <w:rPr/>
      </w:pPr>
    </w:p>
    <w:p>
      <w:pPr>
        <w:pStyle w:val="BodyText"/>
        <w:ind w:left="98" w:right="248"/>
        <w:spacing w:before="74" w:line="30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技术赋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能</w:t>
      </w:r>
    </w:p>
    <w:p>
      <w:pPr>
        <w:spacing w:line="7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2" w:firstLine="10"/>
        <w:spacing w:before="71" w:line="309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Al+VR/AR</w:t>
      </w:r>
      <w:r>
        <w:rPr>
          <w:rFonts w:ascii="SimSun" w:hAnsi="SimSun" w:eastAsia="SimSun" w:cs="SimSun"/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多模态资</w:t>
      </w:r>
      <w:r>
        <w:rPr>
          <w:sz w:val="21"/>
          <w:szCs w:val="21"/>
          <w:spacing w:val="39"/>
        </w:rPr>
        <w:t xml:space="preserve">  </w:t>
      </w:r>
      <w:r>
        <w:rPr>
          <w:sz w:val="21"/>
          <w:szCs w:val="21"/>
          <w:spacing w:val="-2"/>
        </w:rPr>
        <w:t>医学/工程类课程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27"/>
        <w:spacing w:before="44" w:line="3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增强沉浸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感与交互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1" w:line="22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资源开发成本</w:t>
      </w:r>
    </w:p>
    <w:p>
      <w:pPr>
        <w:pStyle w:val="BodyText"/>
        <w:spacing w:before="109" w:line="22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高、更新维护难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0"/>
        <w:spacing w:before="58" w:line="304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实验/实践性强的学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科</w:t>
      </w:r>
    </w:p>
    <w:p>
      <w:pPr>
        <w:spacing w:line="304" w:lineRule="auto"/>
        <w:sectPr>
          <w:type w:val="continuous"/>
          <w:pgSz w:w="12240" w:h="15840"/>
          <w:pgMar w:top="1239" w:right="1108" w:bottom="0" w:left="881" w:header="0" w:footer="0" w:gutter="0"/>
          <w:cols w:equalWidth="0" w:num="5">
            <w:col w:w="969" w:space="100"/>
            <w:col w:w="4021" w:space="100"/>
            <w:col w:w="1180" w:space="100"/>
            <w:col w:w="1701" w:space="100"/>
            <w:col w:w="1982" w:space="0"/>
          </w:cols>
        </w:sectPr>
        <w:rPr>
          <w:sz w:val="21"/>
          <w:szCs w:val="21"/>
        </w:rPr>
      </w:pP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left="101"/>
        <w:spacing w:before="78" w:line="221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(三)青教赛一等奖课程成功要素</w:t>
      </w:r>
    </w:p>
    <w:p>
      <w:pPr>
        <w:pStyle w:val="BodyText"/>
        <w:ind w:left="98"/>
        <w:spacing w:before="215" w:line="385" w:lineRule="auto"/>
        <w:jc w:val="both"/>
        <w:rPr>
          <w:sz w:val="21"/>
          <w:szCs w:val="21"/>
        </w:rPr>
      </w:pPr>
      <w:r>
        <w:rPr>
          <w:sz w:val="21"/>
          <w:szCs w:val="21"/>
          <w:spacing w:val="23"/>
        </w:rPr>
        <w:t>青教赛一等奖通常体现“小切口剖析大问题”的叙事策略、凤头豹尾的课堂结构设计，以及动画/类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30"/>
        </w:rPr>
        <w:t>比等可视化手段。据获奖教师分享，可能表明其在有限时间内实现认知冲突引发、知识锚定与情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  <w:spacing w:val="25"/>
        </w:rPr>
        <w:t>感共鸣的三重目标。</w:t>
      </w:r>
    </w:p>
    <w:p>
      <w:pPr>
        <w:pStyle w:val="BodyText"/>
        <w:ind w:left="98"/>
        <w:spacing w:before="58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潜在局限：过度依赖个人魅力，难以规模化复制；最佳边界：适用于基础课或通识</w:t>
      </w:r>
      <w:r>
        <w:rPr>
          <w:sz w:val="24"/>
          <w:szCs w:val="24"/>
          <w:spacing w:val="-2"/>
        </w:rPr>
        <w:t>课。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102"/>
        <w:spacing w:before="97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四、教学资源生态研究</w:t>
      </w:r>
    </w:p>
    <w:p>
      <w:pPr>
        <w:pStyle w:val="BodyText"/>
        <w:ind w:left="101"/>
        <w:spacing w:before="191" w:line="187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3"/>
        </w:rPr>
        <w:t>(一)资源类型与获取途径矩阵</w:t>
      </w:r>
    </w:p>
    <w:p>
      <w:pPr>
        <w:spacing w:line="187" w:lineRule="auto"/>
        <w:sectPr>
          <w:type w:val="continuous"/>
          <w:pgSz w:w="12240" w:h="15840"/>
          <w:pgMar w:top="1239" w:right="1108" w:bottom="0" w:left="881" w:header="0" w:footer="0" w:gutter="0"/>
          <w:cols w:equalWidth="0" w:num="1">
            <w:col w:w="10250" w:space="0"/>
          </w:cols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58"/>
        <w:spacing w:before="65" w:line="342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多模态数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12"/>
        </w:rPr>
        <w:t>字资源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"/>
        <w:spacing w:before="65" w:line="2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资源类型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5" w:line="222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视频、动</w:t>
      </w:r>
    </w:p>
    <w:p>
      <w:pPr>
        <w:pStyle w:val="BodyText"/>
        <w:ind w:right="317"/>
        <w:spacing w:before="104" w:line="287" w:lineRule="auto"/>
        <w:rPr>
          <w:sz w:val="20"/>
          <w:szCs w:val="20"/>
        </w:rPr>
      </w:pPr>
      <w:r>
        <w:rPr>
          <w:spacing w:val="-16"/>
        </w:rPr>
        <w:t>画、</w:t>
      </w:r>
      <w:r>
        <w:rPr>
          <w:rFonts w:ascii="Arial" w:hAnsi="Arial" w:eastAsia="Arial" w:cs="Arial"/>
          <w:spacing w:val="-16"/>
        </w:rPr>
        <w:t>VR/AR</w:t>
      </w:r>
      <w:r>
        <w:rPr>
          <w:rFonts w:ascii="Arial" w:hAnsi="Arial" w:eastAsia="Arial" w:cs="Arial"/>
        </w:rPr>
        <w:t xml:space="preserve"> </w:t>
      </w:r>
      <w:r>
        <w:rPr>
          <w:sz w:val="20"/>
          <w:szCs w:val="20"/>
          <w:spacing w:val="9"/>
        </w:rPr>
        <w:t>交互内容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29"/>
        <w:spacing w:before="65" w:line="311" w:lineRule="auto"/>
        <w:tabs>
          <w:tab w:val="left" w:pos="128"/>
        </w:tabs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自建+平台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  <w:spacing w:val="-4"/>
        </w:rPr>
        <w:t>(雨课堂、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超星等)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" w:right="332"/>
        <w:spacing w:before="75" w:line="298" w:lineRule="auto"/>
        <w:rPr/>
      </w:pPr>
      <w:r>
        <w:rPr>
          <w:b/>
          <w:bCs/>
          <w:spacing w:val="-22"/>
        </w:rPr>
        <w:t>定义与</w:t>
      </w:r>
      <w:r>
        <w:rPr>
          <w:spacing w:val="1"/>
        </w:rPr>
        <w:t xml:space="preserve"> </w:t>
      </w:r>
      <w:r>
        <w:rPr>
          <w:b/>
          <w:bCs/>
          <w:spacing w:val="-6"/>
        </w:rPr>
        <w:t>功能</w:t>
      </w:r>
    </w:p>
    <w:p>
      <w:pPr>
        <w:pStyle w:val="BodyText"/>
        <w:spacing w:before="259" w:line="223" w:lineRule="auto"/>
        <w:rPr>
          <w:sz w:val="20"/>
          <w:szCs w:val="20"/>
        </w:rPr>
      </w:pPr>
      <w:r>
        <w:rPr>
          <w:sz w:val="20"/>
          <w:szCs w:val="20"/>
        </w:rPr>
        <w:t>高</w:t>
      </w:r>
    </w:p>
    <w:p>
      <w:pPr>
        <w:pStyle w:val="BodyText"/>
        <w:ind w:right="419" w:firstLine="139"/>
        <w:spacing w:before="103" w:line="286" w:lineRule="auto"/>
        <w:rPr>
          <w:sz w:val="20"/>
          <w:szCs w:val="20"/>
        </w:rPr>
      </w:pPr>
      <w:r>
        <w:rPr>
          <w:rFonts w:ascii="SimSun" w:hAnsi="SimSun" w:eastAsia="SimSun" w:cs="SimSun"/>
          <w:spacing w:val="-13"/>
        </w:rPr>
        <w:t>(80%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z w:val="20"/>
          <w:szCs w:val="20"/>
          <w:spacing w:val="9"/>
        </w:rPr>
        <w:t>以上)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65" w:line="224" w:lineRule="auto"/>
        <w:rPr>
          <w:sz w:val="20"/>
          <w:szCs w:val="20"/>
        </w:rPr>
      </w:pPr>
      <w:r>
        <w:rPr>
          <w:sz w:val="20"/>
          <w:szCs w:val="20"/>
        </w:rPr>
        <w:t>中</w:t>
      </w:r>
    </w:p>
    <w:p>
      <w:pPr>
        <w:pStyle w:val="BodyText"/>
        <w:ind w:right="305" w:firstLine="130"/>
        <w:spacing w:before="101" w:line="286" w:lineRule="auto"/>
        <w:rPr>
          <w:sz w:val="20"/>
          <w:szCs w:val="20"/>
        </w:rPr>
      </w:pPr>
      <w:r>
        <w:rPr>
          <w:rFonts w:ascii="SimSun" w:hAnsi="SimSun" w:eastAsia="SimSun" w:cs="SimSun"/>
          <w:spacing w:val="-13"/>
        </w:rPr>
        <w:t>(50%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z w:val="20"/>
          <w:szCs w:val="20"/>
          <w:spacing w:val="15"/>
        </w:rPr>
        <w:t>左右)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" style="position:absolute;margin-left:1.45987pt;margin-top:1.33447pt;mso-position-vertical-relative:text;mso-position-horizontal-relative:text;width:15.05pt;height:101.4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主</w:t>
                  </w:r>
                  <w:r>
                    <w:rPr>
                      <w:sz w:val="20"/>
                      <w:szCs w:val="20"/>
                      <w:spacing w:val="27"/>
                    </w:rPr>
                    <w:t xml:space="preserve"> </w:t>
                  </w:r>
                  <w:r>
                    <w:rPr>
                      <w:spacing w:val="3"/>
                      <w:position w:val="1"/>
                    </w:rPr>
                    <w:t>要</w:t>
                  </w:r>
                  <w:r>
                    <w:rPr>
                      <w:spacing w:val="26"/>
                      <w:position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获</w:t>
                  </w:r>
                  <w:r>
                    <w:rPr>
                      <w:sz w:val="20"/>
                      <w:szCs w:val="20"/>
                      <w:spacing w:val="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取</w:t>
                  </w:r>
                  <w:r>
                    <w:rPr>
                      <w:sz w:val="20"/>
                      <w:szCs w:val="20"/>
                      <w:spacing w:val="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途</w:t>
                  </w:r>
                  <w:r>
                    <w:rPr>
                      <w:sz w:val="20"/>
                      <w:szCs w:val="20"/>
                      <w:spacing w:val="57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3"/>
                    </w:rPr>
                    <w:t>径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87" w:right="179"/>
        <w:spacing w:before="65" w:line="283" w:lineRule="auto"/>
        <w:jc w:val="both"/>
        <w:rPr/>
      </w:pPr>
      <w:r>
        <w:rPr>
          <w:sz w:val="20"/>
          <w:szCs w:val="20"/>
          <w:spacing w:val="18"/>
        </w:rPr>
        <w:t>更新</w:t>
      </w:r>
      <w:r>
        <w:rPr>
          <w:sz w:val="20"/>
          <w:szCs w:val="20"/>
        </w:rPr>
        <w:t xml:space="preserve"> </w:t>
      </w:r>
      <w:r>
        <w:rPr>
          <w:spacing w:val="-5"/>
        </w:rPr>
        <w:t>迭代</w:t>
      </w:r>
      <w:r>
        <w:rPr/>
        <w:t xml:space="preserve"> </w:t>
      </w:r>
      <w:r>
        <w:rPr>
          <w:spacing w:val="-4"/>
        </w:rPr>
        <w:t>成本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154"/>
        <w:spacing w:before="65" w:line="33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创新赛一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b/>
          <w:bCs/>
          <w:spacing w:val="6"/>
        </w:rPr>
        <w:t>等奖典型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5"/>
        </w:rPr>
        <w:t>使用率</w:t>
      </w:r>
    </w:p>
    <w:p>
      <w:pPr>
        <w:pStyle w:val="BodyText"/>
        <w:ind w:left="110"/>
        <w:spacing w:line="2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0"/>
        </w:rPr>
        <w:t>(估算)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154"/>
        <w:spacing w:before="65" w:line="33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6"/>
        </w:rPr>
        <w:t>青教赛一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b/>
          <w:bCs/>
          <w:spacing w:val="6"/>
        </w:rPr>
        <w:t>等奖典型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5"/>
        </w:rPr>
        <w:t>使用率</w:t>
      </w:r>
    </w:p>
    <w:p>
      <w:pPr>
        <w:pStyle w:val="BodyText"/>
        <w:ind w:left="119"/>
        <w:spacing w:line="22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(估算)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right="727"/>
        <w:spacing w:before="65" w:line="334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生态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9"/>
        </w:rPr>
        <w:t>可持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4"/>
        </w:rPr>
        <w:t>续性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b/>
          <w:bCs/>
          <w:spacing w:val="8"/>
        </w:rPr>
        <w:t>挑战</w:t>
      </w:r>
    </w:p>
    <w:p>
      <w:pPr>
        <w:spacing w:line="334" w:lineRule="auto"/>
        <w:sectPr>
          <w:pgSz w:w="12240" w:h="15840"/>
          <w:pgMar w:top="1102" w:right="965" w:bottom="0" w:left="980" w:header="0" w:footer="0" w:gutter="0"/>
          <w:cols w:equalWidth="0" w:num="9">
            <w:col w:w="1210" w:space="100"/>
            <w:col w:w="1371" w:space="100"/>
            <w:col w:w="1341" w:space="100"/>
            <w:col w:w="970" w:space="100"/>
            <w:col w:w="853" w:space="100"/>
            <w:col w:w="720" w:space="0"/>
            <w:col w:w="991" w:space="100"/>
            <w:col w:w="990" w:space="100"/>
            <w:col w:w="1152" w:space="0"/>
          </w:cols>
        </w:sectPr>
        <w:rPr>
          <w:sz w:val="20"/>
          <w:szCs w:val="20"/>
        </w:rPr>
      </w:pPr>
    </w:p>
    <w:tbl>
      <w:tblPr>
        <w:tblStyle w:val="TableNormal"/>
        <w:tblW w:w="100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7"/>
        <w:gridCol w:w="1524"/>
        <w:gridCol w:w="1546"/>
        <w:gridCol w:w="1072"/>
        <w:gridCol w:w="752"/>
        <w:gridCol w:w="4228"/>
      </w:tblGrid>
      <w:tr>
        <w:trPr>
          <w:trHeight w:val="1222" w:hRule="atLeast"/>
        </w:trPr>
        <w:tc>
          <w:tcPr>
            <w:tcW w:w="967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/>
              <w:spacing w:before="66" w:line="222" w:lineRule="auto"/>
              <w:rPr/>
            </w:pPr>
            <w:r>
              <w:rPr>
                <w:b/>
                <w:bCs/>
                <w:spacing w:val="10"/>
              </w:rPr>
              <w:t>开放教育</w:t>
            </w:r>
          </w:p>
          <w:p>
            <w:pPr>
              <w:pStyle w:val="TableText"/>
              <w:ind w:left="3"/>
              <w:spacing w:before="78" w:line="22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7"/>
              </w:rPr>
              <w:t>资源</w:t>
            </w:r>
          </w:p>
          <w:p>
            <w:pPr>
              <w:ind w:left="159"/>
              <w:spacing w:before="131" w:line="184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spacing w:val="-3"/>
              </w:rPr>
              <w:t>(OER)</w:t>
            </w:r>
          </w:p>
        </w:tc>
        <w:tc>
          <w:tcPr>
            <w:tcW w:w="1524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5" w:line="223" w:lineRule="auto"/>
              <w:rPr/>
            </w:pPr>
            <w:r>
              <w:rPr>
                <w:rFonts w:ascii="Arial" w:hAnsi="Arial" w:eastAsia="Arial" w:cs="Arial"/>
                <w:spacing w:val="-3"/>
              </w:rPr>
              <w:t>MOOC</w:t>
            </w:r>
            <w:r>
              <w:rPr>
                <w:rFonts w:ascii="SimSun" w:hAnsi="SimSun" w:eastAsia="SimSun" w:cs="SimSun"/>
                <w:spacing w:val="-3"/>
              </w:rPr>
              <w:t>、</w:t>
            </w:r>
            <w:r>
              <w:rPr>
                <w:rFonts w:ascii="SimSun" w:hAnsi="SimSun" w:eastAsia="SimSun" w:cs="SimSun"/>
                <w:spacing w:val="-16"/>
              </w:rPr>
              <w:t xml:space="preserve"> </w:t>
            </w:r>
            <w:r>
              <w:rPr>
                <w:spacing w:val="-3"/>
              </w:rPr>
              <w:t>案</w:t>
            </w:r>
          </w:p>
          <w:p>
            <w:pPr>
              <w:pStyle w:val="TableText"/>
              <w:ind w:left="130" w:right="123" w:firstLine="212"/>
              <w:spacing w:before="116" w:line="232" w:lineRule="auto"/>
              <w:rPr>
                <w:sz w:val="23"/>
                <w:szCs w:val="23"/>
              </w:rPr>
            </w:pPr>
            <w:r>
              <w:rPr>
                <w:spacing w:val="11"/>
              </w:rPr>
              <w:t>例库、国家</w:t>
            </w:r>
            <w:r>
              <w:rPr>
                <w:spacing w:val="1"/>
              </w:rPr>
              <w:t xml:space="preserve"> </w:t>
            </w:r>
            <w:r>
              <w:rPr>
                <w:sz w:val="23"/>
                <w:szCs w:val="23"/>
                <w:spacing w:val="17"/>
              </w:rPr>
              <w:t>一</w:t>
            </w:r>
            <w:r>
              <w:rPr>
                <w:sz w:val="23"/>
                <w:szCs w:val="23"/>
                <w:spacing w:val="-54"/>
              </w:rPr>
              <w:t xml:space="preserve"> </w:t>
            </w:r>
            <w:r>
              <w:rPr>
                <w:sz w:val="23"/>
                <w:szCs w:val="23"/>
                <w:spacing w:val="17"/>
              </w:rPr>
              <w:t>流课程</w:t>
            </w:r>
          </w:p>
        </w:tc>
        <w:tc>
          <w:tcPr>
            <w:tcW w:w="1546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/>
              <w:spacing w:before="65" w:line="221" w:lineRule="auto"/>
              <w:rPr/>
            </w:pPr>
            <w:r>
              <w:rPr>
                <w:spacing w:val="11"/>
              </w:rPr>
              <w:t>中国大学</w:t>
            </w:r>
          </w:p>
          <w:p>
            <w:pPr>
              <w:pStyle w:val="TableText"/>
              <w:ind w:left="112" w:right="174" w:firstLine="176"/>
              <w:spacing w:before="112" w:line="253" w:lineRule="auto"/>
              <w:rPr/>
            </w:pPr>
            <w:r>
              <w:rPr>
                <w:rFonts w:ascii="Arial" w:hAnsi="Arial" w:eastAsia="Arial" w:cs="Arial"/>
                <w:spacing w:val="-4"/>
              </w:rPr>
              <w:t>MOOC</w:t>
            </w:r>
            <w:r>
              <w:rPr>
                <w:rFonts w:ascii="SimSun" w:hAnsi="SimSun" w:eastAsia="SimSun" w:cs="SimSun"/>
                <w:spacing w:val="-4"/>
              </w:rPr>
              <w:t>、</w:t>
            </w:r>
            <w:r>
              <w:rPr>
                <w:rFonts w:ascii="SimSun" w:hAnsi="SimSun" w:eastAsia="SimSun" w:cs="SimSun"/>
                <w:spacing w:val="-17"/>
              </w:rPr>
              <w:t xml:space="preserve"> </w:t>
            </w:r>
            <w:r>
              <w:rPr>
                <w:spacing w:val="-4"/>
              </w:rPr>
              <w:t>慕</w:t>
            </w:r>
            <w:r>
              <w:rPr/>
              <w:t xml:space="preserve"> </w:t>
            </w:r>
            <w:r>
              <w:rPr>
                <w:spacing w:val="-7"/>
              </w:rPr>
              <w:t>课</w:t>
            </w:r>
            <w:r>
              <w:rPr>
                <w:spacing w:val="22"/>
              </w:rPr>
              <w:t xml:space="preserve"> </w:t>
            </w:r>
            <w:r>
              <w:rPr>
                <w:spacing w:val="-7"/>
              </w:rPr>
              <w:t>平</w:t>
            </w:r>
            <w:r>
              <w:rPr>
                <w:spacing w:val="29"/>
              </w:rPr>
              <w:t xml:space="preserve"> </w:t>
            </w:r>
            <w:r>
              <w:rPr>
                <w:spacing w:val="-7"/>
              </w:rPr>
              <w:t>台</w:t>
            </w:r>
          </w:p>
        </w:tc>
        <w:tc>
          <w:tcPr>
            <w:tcW w:w="107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65" w:line="223" w:lineRule="auto"/>
              <w:rPr/>
            </w:pPr>
            <w:r>
              <w:rPr/>
              <w:t>高</w:t>
            </w:r>
          </w:p>
        </w:tc>
        <w:tc>
          <w:tcPr>
            <w:tcW w:w="752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5" w:line="224" w:lineRule="auto"/>
              <w:rPr/>
            </w:pPr>
            <w:r>
              <w:rPr/>
              <w:t>中</w:t>
            </w:r>
          </w:p>
        </w:tc>
        <w:tc>
          <w:tcPr>
            <w:tcW w:w="4228" w:type="dxa"/>
            <w:vAlign w:val="top"/>
            <w:tcBorders>
              <w:bottom w:val="single" w:color="000000" w:sz="4" w:space="0"/>
              <w:top w:val="single" w:color="000000" w:sz="2" w:space="0"/>
            </w:tcBorders>
          </w:tcPr>
          <w:p>
            <w:pPr>
              <w:pStyle w:val="TableText"/>
              <w:ind w:left="388" w:right="3299" w:firstLine="80"/>
              <w:spacing w:before="282" w:line="268" w:lineRule="auto"/>
              <w:jc w:val="both"/>
              <w:rPr>
                <w:sz w:val="21"/>
                <w:szCs w:val="21"/>
              </w:rPr>
            </w:pPr>
            <w:r>
              <w:rPr>
                <w:sz w:val="23"/>
                <w:szCs w:val="23"/>
                <w:spacing w:val="-6"/>
              </w:rPr>
              <w:t>版权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25"/>
                <w:w w:val="113"/>
              </w:rPr>
              <w:t>与适</w:t>
            </w:r>
            <w:r>
              <w:rPr/>
              <w:t xml:space="preserve"> </w:t>
            </w:r>
            <w:r>
              <w:rPr>
                <w:sz w:val="21"/>
                <w:szCs w:val="21"/>
                <w:spacing w:val="-9"/>
              </w:rPr>
              <w:t>配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spacing w:val="-9"/>
              </w:rPr>
              <w:t>性</w:t>
            </w:r>
          </w:p>
        </w:tc>
      </w:tr>
      <w:tr>
        <w:trPr>
          <w:trHeight w:val="1332" w:hRule="atLeast"/>
        </w:trPr>
        <w:tc>
          <w:tcPr>
            <w:tcW w:w="96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" w:right="120"/>
              <w:spacing w:before="65" w:line="300" w:lineRule="auto"/>
              <w:rPr>
                <w:sz w:val="23"/>
                <w:szCs w:val="23"/>
              </w:rPr>
            </w:pPr>
            <w:r>
              <w:rPr>
                <w:b/>
                <w:bCs/>
                <w:spacing w:val="8"/>
              </w:rPr>
              <w:t>产教融合</w:t>
            </w:r>
            <w:r>
              <w:rPr>
                <w:spacing w:val="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资源</w:t>
            </w:r>
          </w:p>
        </w:tc>
        <w:tc>
          <w:tcPr>
            <w:tcW w:w="152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1" w:right="119" w:firstLine="1"/>
              <w:spacing w:before="65" w:line="277" w:lineRule="auto"/>
              <w:rPr/>
            </w:pPr>
            <w:r>
              <w:rPr>
                <w:spacing w:val="5"/>
              </w:rPr>
              <w:t>企业案例、</w:t>
            </w:r>
            <w:r>
              <w:rPr>
                <w:spacing w:val="3"/>
              </w:rPr>
              <w:t xml:space="preserve"> </w:t>
            </w:r>
            <w:r>
              <w:rPr>
                <w:spacing w:val="12"/>
              </w:rPr>
              <w:t>真实项目数</w:t>
            </w:r>
            <w:r>
              <w:rPr>
                <w:spacing w:val="2"/>
              </w:rPr>
              <w:t xml:space="preserve"> </w:t>
            </w:r>
            <w:r>
              <w:rPr/>
              <w:t>据</w:t>
            </w:r>
          </w:p>
        </w:tc>
        <w:tc>
          <w:tcPr>
            <w:tcW w:w="154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8" w:right="227"/>
              <w:spacing w:before="65" w:line="333" w:lineRule="auto"/>
              <w:rPr/>
            </w:pPr>
            <w:r>
              <w:rPr>
                <w:spacing w:val="6"/>
              </w:rPr>
              <w:t>校企合作、</w:t>
            </w:r>
            <w:r>
              <w:rPr/>
              <w:t xml:space="preserve"> </w:t>
            </w:r>
            <w:r>
              <w:rPr>
                <w:spacing w:val="14"/>
              </w:rPr>
              <w:t>产业学院</w:t>
            </w:r>
          </w:p>
        </w:tc>
        <w:tc>
          <w:tcPr>
            <w:tcW w:w="107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 w:right="131"/>
              <w:spacing w:before="75" w:line="317" w:lineRule="auto"/>
              <w:rPr/>
            </w:pPr>
            <w:r>
              <w:rPr>
                <w:sz w:val="23"/>
                <w:szCs w:val="23"/>
                <w:spacing w:val="20"/>
              </w:rPr>
              <w:t>高(产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spacing w:val="14"/>
              </w:rPr>
              <w:t>教赛道)</w:t>
            </w:r>
          </w:p>
        </w:tc>
        <w:tc>
          <w:tcPr>
            <w:tcW w:w="7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0"/>
              <w:spacing w:before="65" w:line="223" w:lineRule="auto"/>
              <w:rPr/>
            </w:pPr>
            <w:r>
              <w:rPr/>
              <w:t>低</w:t>
            </w:r>
          </w:p>
        </w:tc>
        <w:tc>
          <w:tcPr>
            <w:tcW w:w="422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8"/>
              <w:spacing w:before="65" w:line="221" w:lineRule="auto"/>
              <w:rPr/>
            </w:pPr>
            <w:r>
              <w:rPr>
                <w:spacing w:val="19"/>
              </w:rPr>
              <w:t>保密</w:t>
            </w:r>
          </w:p>
          <w:p>
            <w:pPr>
              <w:pStyle w:val="TableText"/>
              <w:ind w:left="515" w:right="3317" w:hanging="47"/>
              <w:spacing w:before="92" w:line="245" w:lineRule="auto"/>
              <w:rPr/>
            </w:pPr>
            <w:r>
              <w:rPr>
                <w:sz w:val="23"/>
                <w:szCs w:val="23"/>
                <w:spacing w:val="-9"/>
              </w:rPr>
              <w:t>与更</w:t>
            </w:r>
            <w:r>
              <w:rPr>
                <w:sz w:val="23"/>
                <w:szCs w:val="23"/>
              </w:rPr>
              <w:t xml:space="preserve"> </w:t>
            </w:r>
            <w:r>
              <w:rPr/>
              <w:t>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92" w:lineRule="exact"/>
        <w:rPr/>
      </w:pPr>
      <w:r/>
    </w:p>
    <w:p>
      <w:pPr>
        <w:spacing w:line="92" w:lineRule="exact"/>
        <w:sectPr>
          <w:type w:val="continuous"/>
          <w:pgSz w:w="12240" w:h="15840"/>
          <w:pgMar w:top="1102" w:right="965" w:bottom="0" w:left="980" w:header="0" w:footer="0" w:gutter="0"/>
          <w:cols w:equalWidth="0" w:num="1">
            <w:col w:w="10295" w:space="0"/>
          </w:cols>
        </w:sectPr>
        <w:rPr/>
      </w:pPr>
    </w:p>
    <w:p>
      <w:pPr>
        <w:pStyle w:val="BodyText"/>
        <w:ind w:right="358"/>
        <w:spacing w:before="73" w:line="283" w:lineRule="auto"/>
        <w:rPr/>
      </w:pPr>
      <w:r>
        <w:rPr>
          <w:sz w:val="20"/>
          <w:szCs w:val="20"/>
          <w:spacing w:val="12"/>
        </w:rPr>
        <w:t>数据驱动</w:t>
      </w:r>
      <w:r>
        <w:rPr>
          <w:sz w:val="20"/>
          <w:szCs w:val="20"/>
          <w:spacing w:val="2"/>
        </w:rPr>
        <w:t xml:space="preserve"> </w:t>
      </w:r>
      <w:r>
        <w:rPr>
          <w:spacing w:val="-5"/>
        </w:rPr>
        <w:t>资源</w:t>
      </w:r>
    </w:p>
    <w:p>
      <w:pPr>
        <w:spacing w:before="15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08"/>
        <w:spacing w:before="73" w:line="324" w:lineRule="auto"/>
        <w:jc w:val="both"/>
        <w:rPr>
          <w:sz w:val="20"/>
          <w:szCs w:val="20"/>
        </w:rPr>
      </w:pPr>
      <w:r>
        <w:rPr>
          <w:sz w:val="20"/>
          <w:szCs w:val="20"/>
          <w:spacing w:val="12"/>
        </w:rPr>
        <w:t>学习分析数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据、形成性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评价工具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78"/>
        <w:spacing w:before="72" w:line="3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智慧教学平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台后台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03" w:line="223" w:lineRule="auto"/>
        <w:rPr>
          <w:sz w:val="20"/>
          <w:szCs w:val="20"/>
        </w:rPr>
      </w:pPr>
      <w:r>
        <w:rPr>
          <w:sz w:val="20"/>
          <w:szCs w:val="20"/>
        </w:rPr>
        <w:t>高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5" w:line="223" w:lineRule="auto"/>
        <w:rPr/>
      </w:pPr>
      <w:r>
        <w:rPr/>
        <w:t>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19"/>
        <w:spacing w:before="45" w:line="308" w:lineRule="auto"/>
        <w:rPr>
          <w:sz w:val="20"/>
          <w:szCs w:val="20"/>
        </w:rPr>
      </w:pPr>
      <w:r>
        <w:rPr>
          <w:spacing w:val="-9"/>
        </w:rPr>
        <w:t>隐私</w:t>
      </w:r>
      <w:r>
        <w:rPr/>
        <w:t xml:space="preserve"> </w:t>
      </w:r>
      <w:r>
        <w:rPr>
          <w:sz w:val="20"/>
          <w:szCs w:val="20"/>
          <w:spacing w:val="22"/>
        </w:rPr>
        <w:t>保护</w:t>
      </w:r>
    </w:p>
    <w:p>
      <w:pPr>
        <w:spacing w:line="308" w:lineRule="auto"/>
        <w:sectPr>
          <w:type w:val="continuous"/>
          <w:pgSz w:w="12240" w:h="15840"/>
          <w:pgMar w:top="1102" w:right="965" w:bottom="0" w:left="980" w:header="0" w:footer="0" w:gutter="0"/>
          <w:cols w:equalWidth="0" w:num="6">
            <w:col w:w="1210" w:space="100"/>
            <w:col w:w="1371" w:space="100"/>
            <w:col w:w="1341" w:space="100"/>
            <w:col w:w="970" w:space="100"/>
            <w:col w:w="941" w:space="100"/>
            <w:col w:w="3965" w:space="0"/>
          </w:cols>
        </w:sectPr>
        <w:rPr>
          <w:sz w:val="20"/>
          <w:szCs w:val="20"/>
        </w:rPr>
      </w:pP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/>
      </w:pPr>
      <w:r>
        <w:rPr>
          <w:b/>
          <w:bCs/>
          <w:spacing w:val="13"/>
        </w:rPr>
        <w:t>(二)资源生态构建示意图(文字描述流程)</w:t>
      </w:r>
    </w:p>
    <w:p>
      <w:pPr>
        <w:pStyle w:val="BodyText"/>
        <w:ind w:left="689" w:right="233" w:hanging="340"/>
        <w:spacing w:before="198" w:line="362" w:lineRule="auto"/>
        <w:rPr/>
      </w:pPr>
      <w:r>
        <w:rPr>
          <w:rFonts w:ascii="SimSun" w:hAnsi="SimSun" w:eastAsia="SimSun" w:cs="SimSun"/>
          <w:spacing w:val="17"/>
        </w:rPr>
        <w:t>1. </w:t>
      </w:r>
      <w:r>
        <w:rPr>
          <w:spacing w:val="17"/>
        </w:rPr>
        <w:t>需求分析</w:t>
      </w:r>
      <w:r>
        <w:rPr>
          <w:spacing w:val="-70"/>
        </w:rPr>
        <w:t xml:space="preserve"> </w:t>
      </w:r>
      <w:r>
        <w:rPr>
          <w:spacing w:val="17"/>
        </w:rPr>
        <w:t>→</w:t>
      </w:r>
      <w:r>
        <w:rPr>
          <w:spacing w:val="-77"/>
        </w:rPr>
        <w:t xml:space="preserve"> </w:t>
      </w:r>
      <w:r>
        <w:rPr>
          <w:spacing w:val="17"/>
        </w:rPr>
        <w:t>2</w:t>
      </w:r>
      <w:r>
        <w:rPr>
          <w:spacing w:val="-66"/>
        </w:rPr>
        <w:t xml:space="preserve"> </w:t>
      </w:r>
      <w:r>
        <w:rPr>
          <w:spacing w:val="17"/>
        </w:rPr>
        <w:t>.</w:t>
      </w:r>
      <w:r>
        <w:rPr>
          <w:spacing w:val="-64"/>
        </w:rPr>
        <w:t xml:space="preserve"> </w:t>
      </w:r>
      <w:r>
        <w:rPr>
          <w:spacing w:val="17"/>
        </w:rPr>
        <w:t>多源采集(自建+开放+合作)</w:t>
      </w:r>
      <w:r>
        <w:rPr>
          <w:spacing w:val="-70"/>
        </w:rPr>
        <w:t xml:space="preserve"> </w:t>
      </w:r>
      <w:r>
        <w:rPr>
          <w:spacing w:val="17"/>
        </w:rPr>
        <w:t>→</w:t>
      </w:r>
      <w:r>
        <w:rPr>
          <w:spacing w:val="-76"/>
        </w:rPr>
        <w:t xml:space="preserve"> </w:t>
      </w:r>
      <w:r>
        <w:rPr>
          <w:spacing w:val="17"/>
        </w:rPr>
        <w:t>3</w:t>
      </w:r>
      <w:r>
        <w:rPr>
          <w:spacing w:val="-66"/>
        </w:rPr>
        <w:t xml:space="preserve"> </w:t>
      </w:r>
      <w:r>
        <w:rPr>
          <w:spacing w:val="17"/>
        </w:rPr>
        <w:t>.整合与标注(元数据+</w:t>
      </w:r>
      <w:r>
        <w:rPr>
          <w:spacing w:val="16"/>
        </w:rPr>
        <w:t>标签)</w:t>
      </w:r>
      <w:r>
        <w:rPr>
          <w:spacing w:val="-70"/>
        </w:rPr>
        <w:t xml:space="preserve"> </w:t>
      </w:r>
      <w:r>
        <w:rPr>
          <w:spacing w:val="16"/>
        </w:rPr>
        <w:t>→</w:t>
      </w:r>
      <w:r>
        <w:rPr>
          <w:spacing w:val="-82"/>
        </w:rPr>
        <w:t xml:space="preserve"> </w:t>
      </w:r>
      <w:r>
        <w:rPr>
          <w:spacing w:val="16"/>
        </w:rPr>
        <w:t>4</w:t>
      </w:r>
      <w:r>
        <w:rPr>
          <w:spacing w:val="-66"/>
        </w:rPr>
        <w:t xml:space="preserve"> </w:t>
      </w:r>
      <w:r>
        <w:rPr>
          <w:spacing w:val="16"/>
        </w:rPr>
        <w:t>.动态</w:t>
      </w:r>
      <w:r>
        <w:rPr/>
        <w:t xml:space="preserve"> </w:t>
      </w:r>
      <w:r>
        <w:rPr>
          <w:spacing w:val="18"/>
        </w:rPr>
        <w:t>更新与学习分析闭环</w:t>
      </w:r>
      <w:r>
        <w:rPr>
          <w:spacing w:val="-70"/>
        </w:rPr>
        <w:t xml:space="preserve"> </w:t>
      </w:r>
      <w:r>
        <w:rPr>
          <w:spacing w:val="18"/>
        </w:rPr>
        <w:t>→5.辐射共享(校内外)</w:t>
      </w:r>
    </w:p>
    <w:p>
      <w:pPr>
        <w:pStyle w:val="BodyText"/>
        <w:ind w:right="204"/>
        <w:spacing w:before="127" w:line="434" w:lineRule="auto"/>
        <w:rPr>
          <w:sz w:val="20"/>
          <w:szCs w:val="20"/>
        </w:rPr>
      </w:pPr>
      <w:r>
        <w:rPr>
          <w:sz w:val="20"/>
          <w:szCs w:val="20"/>
          <w:spacing w:val="38"/>
        </w:rPr>
        <w:t>通常而言，创新赛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38"/>
        </w:rPr>
        <w:t>一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38"/>
        </w:rPr>
        <w:t>等奖课程资源生态更趋成熟，形成闭环；青教赛则更依赖即</w:t>
      </w:r>
      <w:r>
        <w:rPr>
          <w:sz w:val="20"/>
          <w:szCs w:val="20"/>
          <w:spacing w:val="37"/>
        </w:rPr>
        <w:t>时生成与低成本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资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8"/>
        </w:rPr>
        <w:t>源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8"/>
        </w:rPr>
        <w:t>。</w:t>
      </w:r>
    </w:p>
    <w:p>
      <w:pPr>
        <w:pStyle w:val="BodyText"/>
        <w:ind w:left="4"/>
        <w:spacing w:before="24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五、结论与战略建议</w:t>
      </w:r>
    </w:p>
    <w:p>
      <w:pPr>
        <w:pStyle w:val="BodyText"/>
        <w:ind w:left="3"/>
        <w:spacing w:before="208" w:line="222" w:lineRule="auto"/>
        <w:outlineLvl w:val="4"/>
        <w:rPr/>
      </w:pPr>
      <w:r>
        <w:rPr>
          <w:b/>
          <w:bCs/>
          <w:spacing w:val="5"/>
        </w:rPr>
        <w:t>(一)宏观价值判断</w:t>
      </w:r>
    </w:p>
    <w:p>
      <w:pPr>
        <w:pStyle w:val="BodyText"/>
        <w:spacing w:before="208" w:line="351" w:lineRule="auto"/>
        <w:jc w:val="both"/>
        <w:rPr/>
      </w:pPr>
      <w:r>
        <w:rPr>
          <w:spacing w:val="9"/>
        </w:rPr>
        <w:t>两类竞赛全国一等奖课程的教学范式与资源生态，可能表明其已成为我国高等教育从“规模扩张”</w:t>
      </w:r>
      <w:r>
        <w:rPr>
          <w:spacing w:val="16"/>
        </w:rPr>
        <w:t xml:space="preserve"> </w:t>
      </w:r>
      <w:r>
        <w:rPr>
          <w:spacing w:val="-1"/>
        </w:rPr>
        <w:t>向“质量内涵”转型的微观缩影。在一定条件下，这些实践可为“教育数字化战</w:t>
      </w:r>
      <w:r>
        <w:rPr>
          <w:spacing w:val="-2"/>
        </w:rPr>
        <w:t>略行动”提供可复制</w:t>
      </w:r>
      <w:r>
        <w:rPr/>
        <w:t xml:space="preserve">   </w:t>
      </w:r>
      <w:r>
        <w:rPr>
          <w:spacing w:val="-3"/>
        </w:rPr>
        <w:t>样本，并与“新工科/新文科建设”“课程思政高质量推进”深度关联，助力构建高质量教育体系。</w:t>
      </w:r>
    </w:p>
    <w:p>
      <w:pPr>
        <w:pStyle w:val="BodyText"/>
        <w:ind w:left="3"/>
        <w:spacing w:before="185" w:line="187" w:lineRule="auto"/>
        <w:outlineLvl w:val="4"/>
        <w:rPr/>
      </w:pPr>
      <w:r>
        <w:rPr>
          <w:b/>
          <w:bCs/>
          <w:spacing w:val="5"/>
        </w:rPr>
        <w:t>(二)决策参考建议</w:t>
      </w:r>
    </w:p>
    <w:p>
      <w:pPr>
        <w:spacing w:line="187" w:lineRule="auto"/>
        <w:sectPr>
          <w:type w:val="continuous"/>
          <w:pgSz w:w="12240" w:h="15840"/>
          <w:pgMar w:top="1102" w:right="965" w:bottom="0" w:left="980" w:header="0" w:footer="0" w:gutter="0"/>
          <w:cols w:equalWidth="0" w:num="1">
            <w:col w:w="10295" w:space="0"/>
          </w:cols>
        </w:sectPr>
        <w:rPr/>
      </w:pPr>
    </w:p>
    <w:p>
      <w:pPr>
        <w:pStyle w:val="BodyText"/>
        <w:ind w:left="668" w:right="92" w:hanging="309"/>
        <w:spacing w:before="46" w:line="330" w:lineRule="auto"/>
        <w:rPr>
          <w:sz w:val="17"/>
          <w:szCs w:val="17"/>
        </w:rPr>
      </w:pPr>
      <w:r>
        <w:rPr>
          <w:rFonts w:ascii="SimSun" w:hAnsi="SimSun" w:eastAsia="SimSun" w:cs="SimSun"/>
          <w:spacing w:val="7"/>
        </w:rPr>
        <w:t>1.</w:t>
      </w:r>
      <w:r>
        <w:rPr>
          <w:rFonts w:ascii="SimSun" w:hAnsi="SimSun" w:eastAsia="SimSun" w:cs="SimSun"/>
          <w:spacing w:val="-19"/>
        </w:rPr>
        <w:t xml:space="preserve"> </w:t>
      </w:r>
      <w:r>
        <w:rPr>
          <w:spacing w:val="7"/>
        </w:rPr>
        <w:t>建议考量将一等奖课程资源作为国家级教</w:t>
      </w:r>
      <w:r>
        <w:rPr>
          <w:spacing w:val="6"/>
        </w:rPr>
        <w:t>学资源库优先遴选对象，形成国家级“卓越教学案</w:t>
      </w:r>
      <w:r>
        <w:rPr/>
        <w:t xml:space="preserve"> </w:t>
      </w:r>
      <w:r>
        <w:rPr>
          <w:sz w:val="17"/>
          <w:szCs w:val="17"/>
          <w:spacing w:val="21"/>
        </w:rPr>
        <w:t>例库”。</w:t>
      </w:r>
    </w:p>
    <w:p>
      <w:pPr>
        <w:pStyle w:val="BodyText"/>
        <w:ind w:left="668" w:right="70" w:hanging="309"/>
        <w:spacing w:before="264" w:line="284" w:lineRule="auto"/>
        <w:rPr/>
      </w:pPr>
      <w:r>
        <w:rPr>
          <w:rFonts w:ascii="SimSun" w:hAnsi="SimSun" w:eastAsia="SimSun" w:cs="SimSun"/>
          <w:spacing w:val="4"/>
        </w:rPr>
        <w:t>2.</w:t>
      </w:r>
      <w:r>
        <w:rPr>
          <w:rFonts w:ascii="SimSun" w:hAnsi="SimSun" w:eastAsia="SimSun" w:cs="SimSun"/>
          <w:spacing w:val="-12"/>
        </w:rPr>
        <w:t xml:space="preserve"> </w:t>
      </w:r>
      <w:r>
        <w:rPr>
          <w:spacing w:val="4"/>
        </w:rPr>
        <w:t>一种可行的路径是推动“创新赛+青教赛”成果跨校共享机制，结合学习科学框架，开发教师</w:t>
      </w:r>
      <w:r>
        <w:rPr/>
        <w:t xml:space="preserve"> </w:t>
      </w:r>
      <w:r>
        <w:rPr>
          <w:spacing w:val="5"/>
        </w:rPr>
        <w:t>培训模块。</w:t>
      </w:r>
    </w:p>
    <w:p>
      <w:pPr>
        <w:pStyle w:val="BodyText"/>
        <w:ind w:left="668" w:hanging="309"/>
        <w:spacing w:before="263" w:line="280" w:lineRule="auto"/>
        <w:rPr/>
      </w:pPr>
      <w:r>
        <w:rPr>
          <w:rFonts w:ascii="SimSun" w:hAnsi="SimSun" w:eastAsia="SimSun" w:cs="SimSun"/>
          <w:spacing w:val="-2"/>
        </w:rPr>
        <w:t>3.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2"/>
        </w:rPr>
        <w:t>在“十四五”后半段及“十五五”规划中，建议强化对资源生态可持续性的政策引导，</w:t>
      </w:r>
      <w:r>
        <w:rPr>
          <w:spacing w:val="-3"/>
        </w:rPr>
        <w:t>避免数字</w:t>
      </w:r>
      <w:r>
        <w:rPr/>
        <w:t xml:space="preserve"> </w:t>
      </w:r>
      <w:r>
        <w:rPr>
          <w:spacing w:val="4"/>
        </w:rPr>
        <w:t>化鸿沟扩大。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spacing w:before="75" w:line="213" w:lineRule="auto"/>
        <w:rPr/>
      </w:pPr>
      <w:r>
        <w:rPr>
          <w:spacing w:val="7"/>
        </w:rPr>
        <w:t>本</w:t>
      </w:r>
      <w:r>
        <w:rPr>
          <w:b/>
          <w:bCs/>
          <w:spacing w:val="7"/>
        </w:rPr>
        <w:t>报告旨在提供审慎、辩证的战略视角，以期为教育行政部门、高校决策层提供参考。</w:t>
      </w:r>
    </w:p>
    <w:sectPr>
      <w:pgSz w:w="12240" w:h="15840"/>
      <w:pgMar w:top="1190" w:right="1007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2026-03-15T23:59:59</vt:filetime>
  </property>
  <property fmtid="{D5CDD505-2E9C-101B-9397-08002B2CF9AE}" pid="4" name="UsrData">
    <vt:lpwstr>69b6d77d259dfc001fa65471wl</vt:lpwstr>
  </property>
</Properties>
</file>