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082F2">
      <w:pPr>
        <w:spacing w:before="157" w:after="157" w:line="270" w:lineRule="auto"/>
        <w:jc w:val="left"/>
      </w:pPr>
      <w:bookmarkStart w:id="0" w:name="关于提升自闭症谱系障碍_asd_学生课堂参与度的系统性策略评估与实施方案"/>
      <w:r>
        <w:rPr>
          <w:rFonts w:ascii="inter" w:hAnsi="inter" w:eastAsia="inter" w:cs="inter"/>
          <w:b/>
          <w:color w:val="000000"/>
          <w:sz w:val="39"/>
        </w:rPr>
        <w:t>关于提升自闭症谱系障碍（ASD）学生课堂参与度的系统性策略评估与实施方案</w:t>
      </w:r>
      <w:bookmarkEnd w:id="0"/>
    </w:p>
    <w:p w14:paraId="55365210">
      <w:pPr>
        <w:spacing w:after="210" w:line="360" w:lineRule="auto"/>
      </w:pPr>
      <w:r>
        <w:rPr>
          <w:rFonts w:ascii="inter" w:hAnsi="inter" w:eastAsia="inter" w:cs="inter"/>
          <w:color w:val="000000"/>
        </w:rPr>
        <w:t>（政策研究报告）</w:t>
      </w:r>
    </w:p>
    <w:p w14:paraId="0E468C7E">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4D0BC39B">
      <w:pPr>
        <w:spacing w:before="315" w:after="105" w:line="360" w:lineRule="auto"/>
        <w:ind w:left="-30"/>
        <w:jc w:val="left"/>
      </w:pPr>
      <w:bookmarkStart w:id="1" w:name="一_研究背景与问题界定"/>
      <w:r>
        <w:rPr>
          <w:rFonts w:ascii="inter" w:hAnsi="inter" w:eastAsia="inter" w:cs="inter"/>
          <w:b/>
          <w:color w:val="000000"/>
          <w:sz w:val="24"/>
        </w:rPr>
        <w:t>一、研究背景与问题界定</w:t>
      </w:r>
      <w:bookmarkEnd w:id="1"/>
    </w:p>
    <w:p w14:paraId="1852AD8E">
      <w:pPr>
        <w:spacing w:before="315" w:after="105" w:line="360" w:lineRule="auto"/>
        <w:ind w:left="-30"/>
        <w:jc w:val="left"/>
      </w:pPr>
      <w:bookmarkStart w:id="2" w:name="一_asd与课堂参与的政策与流行病学背景"/>
      <w:r>
        <w:rPr>
          <w:rFonts w:ascii="inter" w:hAnsi="inter" w:eastAsia="inter" w:cs="inter"/>
          <w:b/>
          <w:color w:val="000000"/>
          <w:sz w:val="24"/>
        </w:rPr>
        <w:t>（一）ASD与课堂参与的政策与流行病学背景</w:t>
      </w:r>
      <w:bookmarkEnd w:id="2"/>
    </w:p>
    <w:p w14:paraId="31150299">
      <w:pPr>
        <w:numPr>
          <w:ilvl w:val="0"/>
          <w:numId w:val="1"/>
        </w:numPr>
        <w:spacing w:before="105" w:after="105" w:line="360" w:lineRule="auto"/>
      </w:pPr>
      <w:r>
        <w:rPr>
          <w:rFonts w:ascii="inter" w:hAnsi="inter" w:eastAsia="inter" w:cs="inter"/>
          <w:color w:val="000000"/>
          <w:sz w:val="21"/>
        </w:rPr>
        <w:t>自闭症谱系障碍的基本界定与特征</w:t>
      </w:r>
    </w:p>
    <w:p w14:paraId="6693281F">
      <w:pPr>
        <w:spacing w:after="210" w:line="360" w:lineRule="auto"/>
      </w:pPr>
      <w:r>
        <w:rPr>
          <w:rFonts w:ascii="inter" w:hAnsi="inter" w:eastAsia="inter" w:cs="inter"/>
          <w:color w:val="000000"/>
        </w:rPr>
        <w:t>据世界卫生组织（WHO）事实清单指出，自闭症谱系障碍（Autism Spectrum Disorders, ASD）是一组以社会交往与沟通障碍、兴趣狭窄和行为刻板为核心特征的神经发育性状况，通常在幼儿期起病并持续终身。其核心困难包括：</w:t>
      </w:r>
      <w:bookmarkStart w:id="3" w:name="fnref1"/>
      <w:bookmarkEnd w:id="3"/>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4E5D779B">
      <w:pPr>
        <w:numPr>
          <w:ilvl w:val="0"/>
          <w:numId w:val="2"/>
        </w:numPr>
        <w:spacing w:before="105" w:after="105" w:line="360" w:lineRule="auto"/>
      </w:pPr>
      <w:r>
        <w:rPr>
          <w:rFonts w:ascii="inter" w:hAnsi="inter" w:eastAsia="inter" w:cs="inter"/>
          <w:color w:val="000000"/>
          <w:sz w:val="21"/>
        </w:rPr>
        <w:t>社会情绪互惠不足；</w:t>
      </w:r>
    </w:p>
    <w:p w14:paraId="5A846810">
      <w:pPr>
        <w:numPr>
          <w:ilvl w:val="0"/>
          <w:numId w:val="2"/>
        </w:numPr>
        <w:spacing w:before="105" w:after="105" w:line="360" w:lineRule="auto"/>
      </w:pPr>
      <w:r>
        <w:rPr>
          <w:rFonts w:ascii="inter" w:hAnsi="inter" w:eastAsia="inter" w:cs="inter"/>
          <w:color w:val="000000"/>
          <w:sz w:val="21"/>
        </w:rPr>
        <w:t>非语言沟通（眼神、手势、表情等）的使用和理解受限；</w:t>
      </w:r>
    </w:p>
    <w:p w14:paraId="5D26ED2D">
      <w:pPr>
        <w:numPr>
          <w:ilvl w:val="0"/>
          <w:numId w:val="2"/>
        </w:numPr>
        <w:spacing w:before="105" w:after="105" w:line="360" w:lineRule="auto"/>
      </w:pPr>
      <w:r>
        <w:rPr>
          <w:rFonts w:ascii="inter" w:hAnsi="inter" w:eastAsia="inter" w:cs="inter"/>
          <w:color w:val="000000"/>
          <w:sz w:val="21"/>
        </w:rPr>
        <w:t>关系建立与维持困难；</w:t>
      </w:r>
    </w:p>
    <w:p w14:paraId="06DE3CF6">
      <w:pPr>
        <w:numPr>
          <w:ilvl w:val="0"/>
          <w:numId w:val="2"/>
        </w:numPr>
        <w:spacing w:before="105" w:after="105" w:line="360" w:lineRule="auto"/>
      </w:pPr>
      <w:r>
        <w:rPr>
          <w:rFonts w:ascii="inter" w:hAnsi="inter" w:eastAsia="inter" w:cs="inter"/>
          <w:color w:val="000000"/>
          <w:sz w:val="21"/>
        </w:rPr>
        <w:t>重复刻板行为、固着兴趣及感知觉异常。</w:t>
      </w:r>
      <w:bookmarkStart w:id="361" w:name="_GoBack"/>
      <w:bookmarkEnd w:id="361"/>
    </w:p>
    <w:p w14:paraId="5ABFF529">
      <w:pPr>
        <w:spacing w:after="210" w:line="360" w:lineRule="auto"/>
      </w:pPr>
      <w:r>
        <w:rPr>
          <w:rFonts w:ascii="inter" w:hAnsi="inter" w:eastAsia="inter" w:cs="inter"/>
          <w:color w:val="000000"/>
        </w:rPr>
        <w:t>美国疾病控制与预防中心（CDC）监测数据显示，学龄期儿童ASD患病率持续上升，并强调需要在学龄前及早识别并提供教育干预，以改善学习与社会参与结果。据CDC早期干预与教育培训材料指出，系统性、早期、密集的教育性干预可显著改善自闭症儿童的长期功能结局。</w:t>
      </w:r>
      <w:bookmarkStart w:id="4" w:name="fnref2"/>
      <w:bookmarkEnd w:id="4"/>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5" w:name="fnref3"/>
      <w:bookmarkEnd w:id="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56020B20">
      <w:pPr>
        <w:numPr>
          <w:ilvl w:val="0"/>
          <w:numId w:val="3"/>
        </w:numPr>
        <w:spacing w:before="105" w:after="105" w:line="360" w:lineRule="auto"/>
      </w:pPr>
      <w:r>
        <w:rPr>
          <w:rFonts w:ascii="inter" w:hAnsi="inter" w:eastAsia="inter" w:cs="inter"/>
          <w:color w:val="000000"/>
          <w:sz w:val="21"/>
        </w:rPr>
        <w:t>课堂参与度的政策意义</w:t>
      </w:r>
    </w:p>
    <w:p w14:paraId="5BA0FA46">
      <w:pPr>
        <w:spacing w:after="210" w:line="360" w:lineRule="auto"/>
      </w:pPr>
      <w:r>
        <w:rPr>
          <w:rFonts w:ascii="inter" w:hAnsi="inter" w:eastAsia="inter" w:cs="inter"/>
          <w:color w:val="000000"/>
        </w:rPr>
        <w:t>课堂参与度（classroom engagement）在教育研究中通常指学生在课堂活动中表现出的行为参与（on-task behavior）、认知投入和情绪参与程度，是学习成效与社会融合的关键中介变量。北卡罗来纳大学FPG研究所指出，针对ASD学生的课堂干预应目标性地提升其每周在有效干预中的“主动参与时间”，建议不少于每周约25小时的高质量参与。</w:t>
      </w:r>
      <w:bookmarkStart w:id="6" w:name="fnref4"/>
      <w:bookmarkEnd w:id="6"/>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5306A421">
      <w:pPr>
        <w:spacing w:after="210" w:line="360" w:lineRule="auto"/>
      </w:pPr>
      <w:r>
        <w:rPr>
          <w:rFonts w:ascii="inter" w:hAnsi="inter" w:eastAsia="inter" w:cs="inter"/>
          <w:color w:val="000000"/>
        </w:rPr>
        <w:t>世界卫生组织在自闭症相关决议中明确提出，国家需要在教育和社区层面采取综合措施，提升学校和社会环境对自闭症个体的可及性与包容性，以保障其受教育权和社会参与权。这意味着“提升ASD学生课堂参与度”不仅是教学技术问题，更是落实全纳教育、教育公平和联合国可持续发展目标SDG4（优质教育）的关键抓手。</w:t>
      </w:r>
      <w:bookmarkStart w:id="7" w:name="fnref5"/>
      <w:bookmarkEnd w:id="7"/>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8" w:name="fnref1_1"/>
      <w:bookmarkEnd w:id="8"/>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57300BAC">
      <w:pPr>
        <w:numPr>
          <w:ilvl w:val="0"/>
          <w:numId w:val="4"/>
        </w:numPr>
        <w:spacing w:before="105" w:after="105" w:line="360" w:lineRule="auto"/>
      </w:pPr>
      <w:r>
        <w:rPr>
          <w:rFonts w:ascii="inter" w:hAnsi="inter" w:eastAsia="inter" w:cs="inter"/>
          <w:color w:val="000000"/>
          <w:sz w:val="21"/>
        </w:rPr>
        <w:t>国内外政策与指南对学校教育的要求</w:t>
      </w:r>
    </w:p>
    <w:p w14:paraId="2D308535">
      <w:pPr>
        <w:numPr>
          <w:ilvl w:val="0"/>
          <w:numId w:val="5"/>
        </w:numPr>
        <w:spacing w:before="105" w:after="105" w:line="360" w:lineRule="auto"/>
      </w:pPr>
      <w:r>
        <w:rPr>
          <w:rFonts w:ascii="inter" w:hAnsi="inter" w:eastAsia="inter" w:cs="inter"/>
          <w:color w:val="000000"/>
          <w:sz w:val="21"/>
        </w:rPr>
        <w:t>据WHO决议及技术文件，成员国被建议将ASD相关支持纳入教育和社会服务体系，发展以权利为基础、社区本位的支持服务。</w:t>
      </w:r>
      <w:bookmarkStart w:id="9" w:name="fnref5_1"/>
      <w:bookmarkEnd w:id="9"/>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bookmarkStart w:id="10" w:name="fnref1_2"/>
      <w:bookmarkEnd w:id="10"/>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0446060E">
      <w:pPr>
        <w:numPr>
          <w:ilvl w:val="0"/>
          <w:numId w:val="5"/>
        </w:numPr>
        <w:spacing w:before="105" w:after="105" w:line="360" w:lineRule="auto"/>
      </w:pPr>
      <w:r>
        <w:rPr>
          <w:rFonts w:ascii="inter" w:hAnsi="inter" w:eastAsia="inter" w:cs="inter"/>
          <w:color w:val="000000"/>
          <w:sz w:val="21"/>
        </w:rPr>
        <w:t>据CDC自闭症治疗和教育资料，教育性干预（如应用行为分析ABA、TEACCH结构化教学、社交故事等）被视为核心证据支持的干预范畴。</w:t>
      </w:r>
      <w:bookmarkStart w:id="11" w:name="fnref6"/>
      <w:bookmarkEnd w:id="11"/>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bookmarkStart w:id="12" w:name="fnref3_1"/>
      <w:bookmarkEnd w:id="12"/>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69474183">
      <w:pPr>
        <w:numPr>
          <w:ilvl w:val="0"/>
          <w:numId w:val="5"/>
        </w:numPr>
        <w:spacing w:before="105" w:after="105" w:line="360" w:lineRule="auto"/>
      </w:pPr>
      <w:r>
        <w:rPr>
          <w:rFonts w:ascii="inter" w:hAnsi="inter" w:eastAsia="inter" w:cs="inter"/>
          <w:color w:val="000000"/>
          <w:sz w:val="21"/>
        </w:rPr>
        <w:t>新加坡2023版《自闭症谱系障碍儿童与青少年临床实践指南》专设“教育与过渡”章节，强调应依据学生的认知能力、适应功能与行为特征，个别化规划教育安排和课堂支持，倡导卫生和教育专业人员协作，并将视觉支持、行为干预和社会技能训练作为循证推荐。</w:t>
      </w:r>
      <w:bookmarkStart w:id="13" w:name="fnref7"/>
      <w:bookmarkEnd w:id="13"/>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14" w:name="fnref8"/>
      <w:bookmarkEnd w:id="14"/>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15" w:name="fnref9"/>
      <w:bookmarkEnd w:id="15"/>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4F24CA11">
      <w:pPr>
        <w:numPr>
          <w:ilvl w:val="0"/>
          <w:numId w:val="5"/>
        </w:numPr>
        <w:spacing w:before="105" w:after="105" w:line="360" w:lineRule="auto"/>
      </w:pPr>
      <w:r>
        <w:rPr>
          <w:rFonts w:ascii="inter" w:hAnsi="inter" w:eastAsia="inter" w:cs="inter"/>
          <w:color w:val="000000"/>
          <w:sz w:val="21"/>
        </w:rPr>
        <w:t>在中国，据《“十四五”特殊教育发展提升行动计划》及《随班就读工作指导意见》提出，要推动普通学校成为残障儿童接受义务教育的主渠道，并针对自闭症儿童“合理布局特殊教育学校、推进一人一案分类安置、完善助教陪读和教康融合机制”。2024年印发的《孤独症儿童关爱促进行动实施方案（2024—2028年）》则进一步提出“教康融合行动”和“区域教育指导中心”等举措。</w:t>
      </w:r>
      <w:bookmarkStart w:id="16" w:name="fnref10"/>
      <w:bookmarkEnd w:id="16"/>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17" w:name="fnref11"/>
      <w:bookmarkEnd w:id="17"/>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bookmarkStart w:id="18" w:name="fnref12"/>
      <w:bookmarkEnd w:id="18"/>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19" w:name="fnref13"/>
      <w:bookmarkEnd w:id="19"/>
      <w:r>
        <w:fldChar w:fldCharType="begin"/>
      </w:r>
      <w:r>
        <w:instrText xml:space="preserve"> HYPERLINK \l "fn13" \h </w:instrText>
      </w:r>
      <w:r>
        <w:fldChar w:fldCharType="separate"/>
      </w:r>
      <w:r>
        <w:rPr>
          <w:rFonts w:ascii="inter" w:hAnsi="inter" w:eastAsia="inter" w:cs="inter"/>
          <w:color w:val="000000"/>
          <w:sz w:val="21"/>
          <w:u w:val="single"/>
          <w:vertAlign w:val="superscript"/>
        </w:rPr>
        <w:t>[13]</w:t>
      </w:r>
      <w:r>
        <w:rPr>
          <w:rFonts w:ascii="inter" w:hAnsi="inter" w:eastAsia="inter" w:cs="inter"/>
          <w:color w:val="000000"/>
          <w:sz w:val="21"/>
          <w:u w:val="single"/>
          <w:vertAlign w:val="superscript"/>
        </w:rPr>
        <w:fldChar w:fldCharType="end"/>
      </w:r>
    </w:p>
    <w:p w14:paraId="0A08B95E">
      <w:pPr>
        <w:spacing w:after="210" w:line="360" w:lineRule="auto"/>
      </w:pPr>
      <w:r>
        <w:rPr>
          <w:rFonts w:ascii="inter" w:hAnsi="inter" w:eastAsia="inter" w:cs="inter"/>
          <w:color w:val="000000"/>
        </w:rPr>
        <w:t>综上，ASD学生课堂参与度的提升，已在国际组织（WHO、CDC）、国家教育和卫生部门的政策与指南中，被明确为关键目标和评估指标之一。</w:t>
      </w:r>
    </w:p>
    <w:p w14:paraId="15A2B773">
      <w:pPr>
        <w:spacing w:before="315" w:after="105" w:line="360" w:lineRule="auto"/>
        <w:ind w:left="-30"/>
        <w:jc w:val="left"/>
      </w:pPr>
      <w:bookmarkStart w:id="20" w:name="二_asd学生课堂参与的核心挑战与机制分析"/>
      <w:r>
        <w:rPr>
          <w:rFonts w:ascii="inter" w:hAnsi="inter" w:eastAsia="inter" w:cs="inter"/>
          <w:b/>
          <w:color w:val="000000"/>
          <w:sz w:val="24"/>
        </w:rPr>
        <w:t>（二）ASD学生课堂参与的核心挑战与机制分析</w:t>
      </w:r>
      <w:bookmarkEnd w:id="20"/>
    </w:p>
    <w:p w14:paraId="6915BADE">
      <w:pPr>
        <w:numPr>
          <w:ilvl w:val="0"/>
          <w:numId w:val="6"/>
        </w:numPr>
        <w:spacing w:before="105" w:after="105" w:line="360" w:lineRule="auto"/>
      </w:pPr>
      <w:r>
        <w:rPr>
          <w:rFonts w:ascii="inter" w:hAnsi="inter" w:eastAsia="inter" w:cs="inter"/>
          <w:color w:val="000000"/>
          <w:sz w:val="21"/>
        </w:rPr>
        <w:t>核心认知机制：执行功能与中央统合不足</w:t>
      </w:r>
    </w:p>
    <w:p w14:paraId="0BB9CCAB">
      <w:pPr>
        <w:numPr>
          <w:ilvl w:val="0"/>
          <w:numId w:val="7"/>
        </w:numPr>
        <w:spacing w:before="105" w:after="105" w:line="360" w:lineRule="auto"/>
      </w:pPr>
      <w:r>
        <w:rPr>
          <w:rFonts w:ascii="inter" w:hAnsi="inter" w:eastAsia="inter" w:cs="inter"/>
          <w:color w:val="000000"/>
          <w:sz w:val="21"/>
        </w:rPr>
        <w:t>执行功能（Executive Function）：指个体在目标导向活动中对注意、工作记忆、计划、抑制和认知灵活性的调控能力。ASD学生常在任务启动、转换、抑制冲动及工作记忆方面存在缺陷，表现为课堂指令难以持续跟进、任务转换时明显焦虑或行为失控，从而降低课堂持续参与度。</w:t>
      </w:r>
    </w:p>
    <w:p w14:paraId="4740722C">
      <w:pPr>
        <w:numPr>
          <w:ilvl w:val="0"/>
          <w:numId w:val="7"/>
        </w:numPr>
        <w:spacing w:before="105" w:after="105" w:line="360" w:lineRule="auto"/>
      </w:pPr>
      <w:r>
        <w:rPr>
          <w:rFonts w:ascii="inter" w:hAnsi="inter" w:eastAsia="inter" w:cs="inter"/>
          <w:color w:val="000000"/>
          <w:sz w:val="21"/>
        </w:rPr>
        <w:t>中央统合不足（Weak Central Coherence）：指信息加工中倾向于关注局部细节而难以整合整体情境意义。ASD学生可能专注于教材或教具的一小部分特征（如图像细节、字体）而忽略教师口头指令或同伴互动，造成名义上“在场但不在学”的低质参与。</w:t>
      </w:r>
    </w:p>
    <w:p w14:paraId="63FEE9B7">
      <w:pPr>
        <w:numPr>
          <w:ilvl w:val="0"/>
          <w:numId w:val="8"/>
        </w:numPr>
        <w:spacing w:before="105" w:after="105" w:line="360" w:lineRule="auto"/>
      </w:pPr>
      <w:r>
        <w:rPr>
          <w:rFonts w:ascii="inter" w:hAnsi="inter" w:eastAsia="inter" w:cs="inter"/>
          <w:color w:val="000000"/>
          <w:sz w:val="21"/>
        </w:rPr>
        <w:t>感知觉异常与环境适配</w:t>
      </w:r>
    </w:p>
    <w:p w14:paraId="6DBC1ED4">
      <w:pPr>
        <w:spacing w:after="210" w:line="360" w:lineRule="auto"/>
      </w:pPr>
      <w:r>
        <w:rPr>
          <w:rFonts w:ascii="inter" w:hAnsi="inter" w:eastAsia="inter" w:cs="inter"/>
          <w:color w:val="000000"/>
        </w:rPr>
        <w:t>许多研究指出，ASD学生在感知觉方面常存在过度敏感或迟钝，如对噪音、灯光、触觉等高度敏感或寻求强烈刺激。若课堂环境缺乏感官调适（如强光、嘈杂、杂乱视觉刺激），往往导致逃避行为、情绪爆发或被动“冻结”，直接削弱参与度。</w:t>
      </w:r>
      <w:bookmarkStart w:id="21" w:name="fnref14"/>
      <w:bookmarkEnd w:id="21"/>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22" w:name="fnref15"/>
      <w:bookmarkEnd w:id="22"/>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23" w:name="fnref16"/>
      <w:bookmarkEnd w:id="23"/>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10B4354D">
      <w:pPr>
        <w:numPr>
          <w:ilvl w:val="0"/>
          <w:numId w:val="9"/>
        </w:numPr>
        <w:spacing w:before="105" w:after="105" w:line="360" w:lineRule="auto"/>
      </w:pPr>
      <w:r>
        <w:rPr>
          <w:rFonts w:ascii="inter" w:hAnsi="inter" w:eastAsia="inter" w:cs="inter"/>
          <w:color w:val="000000"/>
          <w:sz w:val="21"/>
        </w:rPr>
        <w:t>社交沟通障碍与同伴互动受限</w:t>
      </w:r>
    </w:p>
    <w:p w14:paraId="6F601AC2">
      <w:pPr>
        <w:spacing w:after="210" w:line="360" w:lineRule="auto"/>
      </w:pPr>
      <w:r>
        <w:rPr>
          <w:rFonts w:ascii="inter" w:hAnsi="inter" w:eastAsia="inter" w:cs="inter"/>
          <w:color w:val="000000"/>
        </w:rPr>
        <w:t>系统综述显示，ASD学生在联合注意（joint attention）、象征性游戏和同伴互动方面存在显著困难，这些困难若未在课堂活动中被系统性处理，会导致学生选择独自旁观、拒绝小组活动或只机械完成任务而缺乏互动。基于JASPER等干预模型的研究表明，在常规课堂中嵌入针对联合注意和象征性游戏的策略，可以显著提升ASD学前学生的小组参与和与同伴的互动频率。</w:t>
      </w:r>
      <w:bookmarkStart w:id="24" w:name="fnref15_1"/>
      <w:bookmarkEnd w:id="24"/>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4AE49F7B">
      <w:pPr>
        <w:numPr>
          <w:ilvl w:val="0"/>
          <w:numId w:val="10"/>
        </w:numPr>
        <w:spacing w:before="105" w:after="105" w:line="360" w:lineRule="auto"/>
      </w:pPr>
      <w:r>
        <w:rPr>
          <w:rFonts w:ascii="inter" w:hAnsi="inter" w:eastAsia="inter" w:cs="inter"/>
          <w:color w:val="000000"/>
          <w:sz w:val="21"/>
        </w:rPr>
        <w:t>课堂参与关键维度与典型障碍——概览表</w:t>
      </w:r>
    </w:p>
    <w:p w14:paraId="192DB69E">
      <w:pPr>
        <w:spacing w:after="210" w:line="360" w:lineRule="auto"/>
      </w:pPr>
      <w:r>
        <w:rPr>
          <w:rFonts w:ascii="inter" w:hAnsi="inter" w:eastAsia="inter" w:cs="inter"/>
          <w:color w:val="000000"/>
        </w:rPr>
        <w:t>下表对ASD学生课堂参与的主要维度及其典型障碍进行结构化呈现（文字描述：表中列出了“行为参与”“认知参与”“社交参与”“情绪调节”四个维度，每一列对应ASD学生在该维度的常见困难及相应支持方向）。</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472"/>
        <w:gridCol w:w="4594"/>
        <w:gridCol w:w="3774"/>
      </w:tblGrid>
      <w:tr w14:paraId="1476843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84D3B40">
            <w:pPr>
              <w:spacing w:after="0" w:line="360" w:lineRule="auto"/>
            </w:pPr>
            <w:r>
              <w:rPr>
                <w:rFonts w:ascii="inter" w:hAnsi="inter" w:eastAsia="inter" w:cs="inter"/>
                <w:color w:val="000000"/>
                <w:sz w:val="17"/>
              </w:rPr>
              <w:t>维度</w:t>
            </w:r>
          </w:p>
        </w:tc>
        <w:tc>
          <w:tcPr>
            <w:tcBorders>
              <w:top w:val="single" w:color="000000" w:sz="0" w:space="0"/>
              <w:bottom w:val="single" w:color="000000" w:sz="0" w:space="0"/>
              <w:right w:val="single" w:color="000000" w:sz="0" w:space="0"/>
            </w:tcBorders>
          </w:tcPr>
          <w:p w14:paraId="026F9425">
            <w:pPr>
              <w:spacing w:after="0" w:line="360" w:lineRule="auto"/>
            </w:pPr>
            <w:r>
              <w:rPr>
                <w:rFonts w:ascii="inter" w:hAnsi="inter" w:eastAsia="inter" w:cs="inter"/>
                <w:color w:val="000000"/>
                <w:sz w:val="17"/>
              </w:rPr>
              <w:t>ASD学生典型困难</w:t>
            </w:r>
          </w:p>
        </w:tc>
        <w:tc>
          <w:tcPr>
            <w:tcBorders>
              <w:top w:val="single" w:color="000000" w:sz="0" w:space="0"/>
              <w:bottom w:val="single" w:color="000000" w:sz="0" w:space="0"/>
            </w:tcBorders>
          </w:tcPr>
          <w:p w14:paraId="288D0952">
            <w:pPr>
              <w:spacing w:after="0" w:line="360" w:lineRule="auto"/>
            </w:pPr>
            <w:r>
              <w:rPr>
                <w:rFonts w:ascii="inter" w:hAnsi="inter" w:eastAsia="inter" w:cs="inter"/>
                <w:color w:val="000000"/>
                <w:sz w:val="17"/>
              </w:rPr>
              <w:t>课堂支持关键方向</w:t>
            </w:r>
          </w:p>
        </w:tc>
      </w:tr>
      <w:tr w14:paraId="38ACC33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00D3F78">
            <w:pPr>
              <w:spacing w:after="0" w:line="360" w:lineRule="auto"/>
            </w:pPr>
            <w:r>
              <w:rPr>
                <w:rFonts w:ascii="inter" w:hAnsi="inter" w:eastAsia="inter" w:cs="inter"/>
                <w:color w:val="000000"/>
                <w:sz w:val="17"/>
              </w:rPr>
              <w:t>行为参与</w:t>
            </w:r>
          </w:p>
        </w:tc>
        <w:tc>
          <w:tcPr>
            <w:tcBorders>
              <w:top w:val="single" w:color="000000" w:sz="0" w:space="0"/>
              <w:bottom w:val="single" w:color="000000" w:sz="0" w:space="0"/>
              <w:right w:val="single" w:color="000000" w:sz="0" w:space="0"/>
            </w:tcBorders>
          </w:tcPr>
          <w:p w14:paraId="3F059905">
            <w:pPr>
              <w:spacing w:after="0" w:line="360" w:lineRule="auto"/>
            </w:pPr>
            <w:r>
              <w:rPr>
                <w:rFonts w:ascii="inter" w:hAnsi="inter" w:eastAsia="inter" w:cs="inter"/>
                <w:color w:val="000000"/>
                <w:sz w:val="17"/>
              </w:rPr>
              <w:t>走神、游离座位、任务坚持时间短、逃避学业要求</w:t>
            </w:r>
          </w:p>
        </w:tc>
        <w:tc>
          <w:tcPr>
            <w:tcBorders>
              <w:top w:val="single" w:color="000000" w:sz="0" w:space="0"/>
              <w:bottom w:val="single" w:color="000000" w:sz="0" w:space="0"/>
            </w:tcBorders>
          </w:tcPr>
          <w:p w14:paraId="040EBBF1">
            <w:pPr>
              <w:spacing w:after="0" w:line="360" w:lineRule="auto"/>
            </w:pPr>
            <w:r>
              <w:rPr>
                <w:rFonts w:ascii="inter" w:hAnsi="inter" w:eastAsia="inter" w:cs="inter"/>
                <w:color w:val="000000"/>
                <w:sz w:val="17"/>
              </w:rPr>
              <w:t>结构化任务、强化策略、视觉时间/任务提示</w:t>
            </w:r>
          </w:p>
        </w:tc>
      </w:tr>
      <w:tr w14:paraId="7D56373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4A14257">
            <w:pPr>
              <w:spacing w:after="0" w:line="360" w:lineRule="auto"/>
            </w:pPr>
            <w:r>
              <w:rPr>
                <w:rFonts w:ascii="inter" w:hAnsi="inter" w:eastAsia="inter" w:cs="inter"/>
                <w:color w:val="000000"/>
                <w:sz w:val="17"/>
              </w:rPr>
              <w:t>认知参与</w:t>
            </w:r>
          </w:p>
        </w:tc>
        <w:tc>
          <w:tcPr>
            <w:tcBorders>
              <w:top w:val="single" w:color="000000" w:sz="0" w:space="0"/>
              <w:bottom w:val="single" w:color="000000" w:sz="0" w:space="0"/>
              <w:right w:val="single" w:color="000000" w:sz="0" w:space="0"/>
            </w:tcBorders>
          </w:tcPr>
          <w:p w14:paraId="5A7CDC8E">
            <w:pPr>
              <w:spacing w:after="0" w:line="360" w:lineRule="auto"/>
            </w:pPr>
            <w:r>
              <w:rPr>
                <w:rFonts w:ascii="inter" w:hAnsi="inter" w:eastAsia="inter" w:cs="inter"/>
                <w:color w:val="000000"/>
                <w:sz w:val="17"/>
              </w:rPr>
              <w:t>难以理解抽象指令、注意转移困难、整体理解欠缺</w:t>
            </w:r>
          </w:p>
        </w:tc>
        <w:tc>
          <w:tcPr>
            <w:tcBorders>
              <w:top w:val="single" w:color="000000" w:sz="0" w:space="0"/>
              <w:bottom w:val="single" w:color="000000" w:sz="0" w:space="0"/>
            </w:tcBorders>
          </w:tcPr>
          <w:p w14:paraId="0D46356F">
            <w:pPr>
              <w:spacing w:after="0" w:line="360" w:lineRule="auto"/>
            </w:pPr>
            <w:r>
              <w:rPr>
                <w:rFonts w:ascii="inter" w:hAnsi="inter" w:eastAsia="inter" w:cs="inter"/>
                <w:color w:val="000000"/>
                <w:sz w:val="17"/>
              </w:rPr>
              <w:t>任务分解、具体化示范、多通道呈现（UDL）</w:t>
            </w:r>
          </w:p>
        </w:tc>
      </w:tr>
      <w:tr w14:paraId="6AA6FEC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0C3303E">
            <w:pPr>
              <w:spacing w:after="0" w:line="360" w:lineRule="auto"/>
            </w:pPr>
            <w:r>
              <w:rPr>
                <w:rFonts w:ascii="inter" w:hAnsi="inter" w:eastAsia="inter" w:cs="inter"/>
                <w:color w:val="000000"/>
                <w:sz w:val="17"/>
              </w:rPr>
              <w:t>社交参与</w:t>
            </w:r>
          </w:p>
        </w:tc>
        <w:tc>
          <w:tcPr>
            <w:tcBorders>
              <w:top w:val="single" w:color="000000" w:sz="0" w:space="0"/>
              <w:bottom w:val="single" w:color="000000" w:sz="0" w:space="0"/>
              <w:right w:val="single" w:color="000000" w:sz="0" w:space="0"/>
            </w:tcBorders>
          </w:tcPr>
          <w:p w14:paraId="0E2693F3">
            <w:pPr>
              <w:spacing w:after="0" w:line="360" w:lineRule="auto"/>
            </w:pPr>
            <w:r>
              <w:rPr>
                <w:rFonts w:ascii="inter" w:hAnsi="inter" w:eastAsia="inter" w:cs="inter"/>
                <w:color w:val="000000"/>
                <w:sz w:val="17"/>
              </w:rPr>
              <w:t>不主动举手、不参与讨论、小组合作中角色模糊</w:t>
            </w:r>
          </w:p>
        </w:tc>
        <w:tc>
          <w:tcPr>
            <w:tcBorders>
              <w:top w:val="single" w:color="000000" w:sz="0" w:space="0"/>
              <w:bottom w:val="single" w:color="000000" w:sz="0" w:space="0"/>
            </w:tcBorders>
          </w:tcPr>
          <w:p w14:paraId="36302DD3">
            <w:pPr>
              <w:spacing w:after="0" w:line="360" w:lineRule="auto"/>
            </w:pPr>
            <w:r>
              <w:rPr>
                <w:rFonts w:ascii="inter" w:hAnsi="inter" w:eastAsia="inter" w:cs="inter"/>
                <w:color w:val="000000"/>
                <w:sz w:val="17"/>
              </w:rPr>
              <w:t>同伴媒介教学、社交故事、角色扮演、小组脚本</w:t>
            </w:r>
          </w:p>
        </w:tc>
      </w:tr>
      <w:tr w14:paraId="6B41733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89066AD">
            <w:pPr>
              <w:spacing w:after="0" w:line="360" w:lineRule="auto"/>
            </w:pPr>
            <w:r>
              <w:rPr>
                <w:rFonts w:ascii="inter" w:hAnsi="inter" w:eastAsia="inter" w:cs="inter"/>
                <w:color w:val="000000"/>
                <w:sz w:val="17"/>
              </w:rPr>
              <w:t>情绪与感官调节</w:t>
            </w:r>
          </w:p>
        </w:tc>
        <w:tc>
          <w:tcPr>
            <w:tcBorders>
              <w:top w:val="single" w:color="000000" w:sz="0" w:space="0"/>
              <w:bottom w:val="single" w:color="000000" w:sz="0" w:space="0"/>
              <w:right w:val="single" w:color="000000" w:sz="0" w:space="0"/>
            </w:tcBorders>
          </w:tcPr>
          <w:p w14:paraId="570A2CB3">
            <w:pPr>
              <w:spacing w:after="0" w:line="360" w:lineRule="auto"/>
            </w:pPr>
            <w:r>
              <w:rPr>
                <w:rFonts w:ascii="inter" w:hAnsi="inter" w:eastAsia="inter" w:cs="inter"/>
                <w:color w:val="000000"/>
                <w:sz w:val="17"/>
              </w:rPr>
              <w:t>因噪声/拥挤/变更而焦虑、情绪爆发或退缩、自我刺激行为</w:t>
            </w:r>
          </w:p>
        </w:tc>
        <w:tc>
          <w:tcPr>
            <w:tcBorders>
              <w:top w:val="single" w:color="000000" w:sz="0" w:space="0"/>
              <w:bottom w:val="single" w:color="000000" w:sz="0" w:space="0"/>
            </w:tcBorders>
          </w:tcPr>
          <w:p w14:paraId="092D9D7A">
            <w:pPr>
              <w:spacing w:after="0" w:line="360" w:lineRule="auto"/>
            </w:pPr>
            <w:r>
              <w:rPr>
                <w:rFonts w:ascii="inter" w:hAnsi="inter" w:eastAsia="inter" w:cs="inter"/>
                <w:color w:val="000000"/>
                <w:sz w:val="17"/>
              </w:rPr>
              <w:t>感官友好环境、情绪调节技能教学、冷静角</w:t>
            </w:r>
          </w:p>
        </w:tc>
      </w:tr>
    </w:tbl>
    <w:p w14:paraId="614A32F6"/>
    <w:p w14:paraId="761B0094">
      <w:pPr>
        <w:spacing w:after="210" w:line="360" w:lineRule="auto"/>
      </w:pPr>
      <w:r>
        <w:rPr>
          <w:rFonts w:ascii="inter" w:hAnsi="inter" w:eastAsia="inter" w:cs="inter"/>
          <w:color w:val="000000"/>
        </w:rPr>
        <w:t>该表提示：要系统性提升ASD学生课堂参与度，必须同时从任务结构、社交机会、情绪/感官调节和教学呈现方式四个维度进行综合设计。</w:t>
      </w:r>
    </w:p>
    <w:p w14:paraId="7C284BD3">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0EC5592E">
      <w:pPr>
        <w:spacing w:before="315" w:after="105" w:line="360" w:lineRule="auto"/>
        <w:ind w:left="-30"/>
        <w:jc w:val="left"/>
      </w:pPr>
      <w:bookmarkStart w:id="25" w:name="二_理论基础与核心术语界定"/>
      <w:r>
        <w:rPr>
          <w:rFonts w:ascii="inter" w:hAnsi="inter" w:eastAsia="inter" w:cs="inter"/>
          <w:b/>
          <w:color w:val="000000"/>
          <w:sz w:val="24"/>
        </w:rPr>
        <w:t>二、理论基础与核心术语界定</w:t>
      </w:r>
      <w:bookmarkEnd w:id="25"/>
    </w:p>
    <w:p w14:paraId="5C662323">
      <w:pPr>
        <w:spacing w:before="315" w:after="105" w:line="360" w:lineRule="auto"/>
        <w:ind w:left="-30"/>
        <w:jc w:val="left"/>
      </w:pPr>
      <w:bookmarkStart w:id="26" w:name="一_关键干预与教学模型"/>
      <w:r>
        <w:rPr>
          <w:rFonts w:ascii="inter" w:hAnsi="inter" w:eastAsia="inter" w:cs="inter"/>
          <w:b/>
          <w:color w:val="000000"/>
          <w:sz w:val="24"/>
        </w:rPr>
        <w:t>（一）关键干预与教学模型</w:t>
      </w:r>
      <w:bookmarkEnd w:id="26"/>
    </w:p>
    <w:p w14:paraId="1DC96AB0">
      <w:pPr>
        <w:numPr>
          <w:ilvl w:val="0"/>
          <w:numId w:val="11"/>
        </w:numPr>
        <w:spacing w:before="105" w:after="105" w:line="360" w:lineRule="auto"/>
      </w:pPr>
      <w:r>
        <w:rPr>
          <w:rFonts w:ascii="inter" w:hAnsi="inter" w:eastAsia="inter" w:cs="inter"/>
          <w:color w:val="000000"/>
          <w:sz w:val="21"/>
        </w:rPr>
        <w:t>应用行为分析（Applied Behavior Analysis, ABA）</w:t>
      </w:r>
    </w:p>
    <w:p w14:paraId="486EBCBC">
      <w:pPr>
        <w:spacing w:after="210" w:line="360" w:lineRule="auto"/>
      </w:pPr>
      <w:r>
        <w:rPr>
          <w:rFonts w:ascii="inter" w:hAnsi="inter" w:eastAsia="inter" w:cs="inter"/>
          <w:color w:val="000000"/>
        </w:rPr>
        <w:t>ABA是一种基于行为主义与学习理论的系统性方法，通过功能性行为评估（Functional Behavior Assessment, FBA）、强化（reinforcement）、提示（prompting）、渐隐（fading）等技术，增加期望行为、减少问题行为。在课堂层面，ABA相关策略包括：离散性试验训练（DTT）、关键反应训练（PRT）、早期密集行为干预（EIBI）等。</w:t>
      </w:r>
      <w:bookmarkStart w:id="27" w:name="fnref17"/>
      <w:bookmarkEnd w:id="27"/>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28" w:name="fnref3_2"/>
      <w:bookmarkEnd w:id="28"/>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29" w:name="fnref14_1"/>
      <w:bookmarkEnd w:id="29"/>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5D2B073D">
      <w:pPr>
        <w:numPr>
          <w:ilvl w:val="0"/>
          <w:numId w:val="12"/>
        </w:numPr>
        <w:spacing w:before="105" w:after="105" w:line="360" w:lineRule="auto"/>
      </w:pPr>
      <w:r>
        <w:rPr>
          <w:rFonts w:ascii="inter" w:hAnsi="inter" w:eastAsia="inter" w:cs="inter"/>
          <w:color w:val="000000"/>
          <w:sz w:val="21"/>
        </w:rPr>
        <w:t>结构化教学（TEACCH）</w:t>
      </w:r>
    </w:p>
    <w:p w14:paraId="2CCA6594">
      <w:pPr>
        <w:spacing w:after="210" w:line="360" w:lineRule="auto"/>
      </w:pPr>
      <w:r>
        <w:rPr>
          <w:rFonts w:ascii="inter" w:hAnsi="inter" w:eastAsia="inter" w:cs="inter"/>
          <w:color w:val="000000"/>
        </w:rPr>
        <w:t>TEACCH（Treatment and Education of Autistic and related Communication-handicapped Children）强调“高度组织与可预测”的学习环境，核心包括：清晰物理结构、视觉日程、工作系统、任务分解和视觉化提示，以促进独立性和参与度。CDC将TEACCH列为典型教育性干预模式之一，认为对偏好视觉学习和结构化环境的ASD学生尤其适用。</w:t>
      </w:r>
      <w:bookmarkStart w:id="30" w:name="fnref18"/>
      <w:bookmarkEnd w:id="30"/>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31" w:name="fnref19"/>
      <w:bookmarkEnd w:id="31"/>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bookmarkStart w:id="32" w:name="fnref20"/>
      <w:bookmarkEnd w:id="32"/>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33" w:name="fnref6_1"/>
      <w:bookmarkEnd w:id="33"/>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78CDD8F6">
      <w:pPr>
        <w:numPr>
          <w:ilvl w:val="0"/>
          <w:numId w:val="13"/>
        </w:numPr>
        <w:spacing w:before="105" w:after="105" w:line="360" w:lineRule="auto"/>
      </w:pPr>
      <w:r>
        <w:rPr>
          <w:rFonts w:ascii="inter" w:hAnsi="inter" w:eastAsia="inter" w:cs="inter"/>
          <w:color w:val="000000"/>
          <w:sz w:val="21"/>
        </w:rPr>
        <w:t>图片交换沟通系统（PECS）与增强与替代沟通（AAC）</w:t>
      </w:r>
    </w:p>
    <w:p w14:paraId="5D28D483">
      <w:pPr>
        <w:spacing w:after="210" w:line="360" w:lineRule="auto"/>
      </w:pPr>
      <w:r>
        <w:rPr>
          <w:rFonts w:ascii="inter" w:hAnsi="inter" w:eastAsia="inter" w:cs="inter"/>
          <w:color w:val="000000"/>
        </w:rPr>
        <w:t>PECS是一种利用图片交换实现功能性沟通的系统，经多项研究证实可提升非口语ASD儿童的主动沟通和课堂参与。更广泛的AAC（Augmentative and Alternative Communication）包括图片板、语音生成设备以及平板沟通应用（如Proloquo2Go等），研究表明这类辅助技术并不会阻碍自然言语发展，反而促进沟通和社交参与。</w:t>
      </w:r>
      <w:bookmarkStart w:id="34" w:name="fnref9_1"/>
      <w:bookmarkEnd w:id="34"/>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35" w:name="fnref21"/>
      <w:bookmarkEnd w:id="35"/>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bookmarkStart w:id="36" w:name="fnref22"/>
      <w:bookmarkEnd w:id="36"/>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37" w:name="fnref23"/>
      <w:bookmarkEnd w:id="37"/>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bookmarkStart w:id="38" w:name="fnref14_2"/>
      <w:bookmarkEnd w:id="38"/>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39" w:name="fnref17_1"/>
      <w:bookmarkEnd w:id="39"/>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574A9190">
      <w:pPr>
        <w:numPr>
          <w:ilvl w:val="0"/>
          <w:numId w:val="14"/>
        </w:numPr>
        <w:spacing w:before="105" w:after="105" w:line="360" w:lineRule="auto"/>
      </w:pPr>
      <w:r>
        <w:rPr>
          <w:rFonts w:ascii="inter" w:hAnsi="inter" w:eastAsia="inter" w:cs="inter"/>
          <w:color w:val="000000"/>
          <w:sz w:val="21"/>
        </w:rPr>
        <w:t>社交故事（Social Stories）与社交叙事干预</w:t>
      </w:r>
    </w:p>
    <w:p w14:paraId="7338C20F">
      <w:pPr>
        <w:spacing w:after="210" w:line="360" w:lineRule="auto"/>
      </w:pPr>
      <w:r>
        <w:rPr>
          <w:rFonts w:ascii="inter" w:hAnsi="inter" w:eastAsia="inter" w:cs="inter"/>
          <w:color w:val="000000"/>
        </w:rPr>
        <w:t>社交故事通过简洁文字和图片描述特定情境（如回答问题、轮流发言），明确社会线索和期望行为，被国际指南视为改善社交理解与课堂规则遵守的循证策略之一。</w:t>
      </w:r>
      <w:bookmarkStart w:id="40" w:name="fnref3_3"/>
      <w:bookmarkEnd w:id="40"/>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41" w:name="fnref14_3"/>
      <w:bookmarkEnd w:id="41"/>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42" w:name="fnref9_2"/>
      <w:bookmarkEnd w:id="42"/>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24A3ED73">
      <w:pPr>
        <w:numPr>
          <w:ilvl w:val="0"/>
          <w:numId w:val="15"/>
        </w:numPr>
        <w:spacing w:before="105" w:after="105" w:line="360" w:lineRule="auto"/>
      </w:pPr>
      <w:r>
        <w:rPr>
          <w:rFonts w:ascii="inter" w:hAnsi="inter" w:eastAsia="inter" w:cs="inter"/>
          <w:color w:val="000000"/>
          <w:sz w:val="21"/>
        </w:rPr>
        <w:t>正向行为支持 / 积极行为干预与支持（Positive Behavior Support / PBIS）</w:t>
      </w:r>
    </w:p>
    <w:p w14:paraId="6B9B3846">
      <w:pPr>
        <w:spacing w:after="210" w:line="360" w:lineRule="auto"/>
      </w:pPr>
      <w:r>
        <w:rPr>
          <w:rFonts w:ascii="inter" w:hAnsi="inter" w:eastAsia="inter" w:cs="inter"/>
          <w:color w:val="000000"/>
        </w:rPr>
        <w:t>正向行为支持（PBS）是一种基于功能性评估、以预防性和教育性为核心的行为支持框架，强调通过调整环境、教授替代行为和系统性强化来减少问题行为、提升适应性行为。学校范围的积极行为干预与支持（School-wide PBIS）已被证实对ASD学生尤为有益，因为其提供可预测的规则、日常重教和一致的强化系统，符合ASD学生对结构和可预期性的需求。</w:t>
      </w:r>
      <w:bookmarkStart w:id="43" w:name="fnref24"/>
      <w:bookmarkEnd w:id="43"/>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bookmarkStart w:id="44" w:name="fnref25"/>
      <w:bookmarkEnd w:id="44"/>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bookmarkStart w:id="45" w:name="fnref26"/>
      <w:bookmarkEnd w:id="45"/>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bookmarkStart w:id="46" w:name="fnref27"/>
      <w:bookmarkEnd w:id="46"/>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5C5163C8">
      <w:pPr>
        <w:numPr>
          <w:ilvl w:val="0"/>
          <w:numId w:val="16"/>
        </w:numPr>
        <w:spacing w:before="105" w:after="105" w:line="360" w:lineRule="auto"/>
      </w:pPr>
      <w:r>
        <w:rPr>
          <w:rFonts w:ascii="inter" w:hAnsi="inter" w:eastAsia="inter" w:cs="inter"/>
          <w:color w:val="000000"/>
          <w:sz w:val="21"/>
        </w:rPr>
        <w:t>通用学习设计（Universal Design for Learning, UDL）</w:t>
      </w:r>
    </w:p>
    <w:p w14:paraId="75E7415A">
      <w:pPr>
        <w:spacing w:after="210" w:line="360" w:lineRule="auto"/>
      </w:pPr>
      <w:r>
        <w:rPr>
          <w:rFonts w:ascii="inter" w:hAnsi="inter" w:eastAsia="inter" w:cs="inter"/>
          <w:color w:val="000000"/>
        </w:rPr>
        <w:t>UDL是一个课程与教学设计框架，主张在课程开发之初，即提供多重表征方式（representation）、多重参与方式（engagement）、多重表达方式（expression），以兼顾不同学习者的差异。对ASD学生而言，UDL通过视觉支持、灵活表达形式和多样化参与路径，减少个别化“补救”需求，有助于在普通课堂环境中自然提升其参与度。</w:t>
      </w:r>
      <w:bookmarkStart w:id="47" w:name="fnref28"/>
      <w:bookmarkEnd w:id="47"/>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bookmarkStart w:id="48" w:name="fnref29"/>
      <w:bookmarkEnd w:id="48"/>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bookmarkStart w:id="49" w:name="fnref30"/>
      <w:bookmarkEnd w:id="49"/>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bookmarkStart w:id="50" w:name="fnref31"/>
      <w:bookmarkEnd w:id="50"/>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bookmarkStart w:id="51" w:name="fnref32"/>
      <w:bookmarkEnd w:id="51"/>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p>
    <w:p w14:paraId="2AE84055">
      <w:pPr>
        <w:numPr>
          <w:ilvl w:val="0"/>
          <w:numId w:val="17"/>
        </w:numPr>
        <w:spacing w:before="105" w:after="105" w:line="360" w:lineRule="auto"/>
      </w:pPr>
      <w:r>
        <w:rPr>
          <w:rFonts w:ascii="inter" w:hAnsi="inter" w:eastAsia="inter" w:cs="inter"/>
          <w:color w:val="000000"/>
          <w:sz w:val="21"/>
        </w:rPr>
        <w:t>辅助技术（Assistive Technology, AT）</w:t>
      </w:r>
    </w:p>
    <w:p w14:paraId="60C6D43D">
      <w:pPr>
        <w:spacing w:after="210" w:line="360" w:lineRule="auto"/>
      </w:pPr>
      <w:r>
        <w:rPr>
          <w:rFonts w:ascii="inter" w:hAnsi="inter" w:eastAsia="inter" w:cs="inter"/>
          <w:color w:val="000000"/>
        </w:rPr>
        <w:t>AT指广泛的科技辅助工具，包括低技术（如视觉时间表、任务条）、中技术（录音机、计时器）和高技术（平板沟通应用、语音生成设备、学习软件）等。研究表明，辅助技术可显著提升ASD学生在沟通、自主学习和社会互动中的参与机会和主动性。</w:t>
      </w:r>
      <w:bookmarkStart w:id="52" w:name="fnref21_1"/>
      <w:bookmarkEnd w:id="52"/>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bookmarkStart w:id="53" w:name="fnref33"/>
      <w:bookmarkEnd w:id="53"/>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bookmarkStart w:id="54" w:name="fnref34"/>
      <w:bookmarkEnd w:id="54"/>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bookmarkStart w:id="55" w:name="fnref22_1"/>
      <w:bookmarkEnd w:id="55"/>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56" w:name="fnref23_1"/>
      <w:bookmarkEnd w:id="56"/>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6CF6F2A5">
      <w:pPr>
        <w:spacing w:before="315" w:after="105" w:line="360" w:lineRule="auto"/>
        <w:ind w:left="-30"/>
        <w:jc w:val="left"/>
      </w:pPr>
      <w:bookmarkStart w:id="57" w:name="二_课堂参与与全纳教育的概念衔接"/>
      <w:r>
        <w:rPr>
          <w:rFonts w:ascii="inter" w:hAnsi="inter" w:eastAsia="inter" w:cs="inter"/>
          <w:b/>
          <w:color w:val="000000"/>
          <w:sz w:val="24"/>
        </w:rPr>
        <w:t>（二）课堂参与与全纳教育的概念衔接</w:t>
      </w:r>
      <w:bookmarkEnd w:id="57"/>
    </w:p>
    <w:p w14:paraId="06B452BF">
      <w:pPr>
        <w:spacing w:after="210" w:line="360" w:lineRule="auto"/>
      </w:pPr>
      <w:r>
        <w:rPr>
          <w:rFonts w:ascii="inter" w:hAnsi="inter" w:eastAsia="inter" w:cs="inter"/>
          <w:color w:val="000000"/>
        </w:rPr>
        <w:t>课堂参与度不应仅被理解为“安静坐在座位上听课”，而是包括：</w:t>
      </w:r>
    </w:p>
    <w:p w14:paraId="21001FA1">
      <w:pPr>
        <w:numPr>
          <w:ilvl w:val="0"/>
          <w:numId w:val="18"/>
        </w:numPr>
        <w:spacing w:before="105" w:after="105" w:line="360" w:lineRule="auto"/>
      </w:pPr>
      <w:r>
        <w:rPr>
          <w:rFonts w:ascii="inter" w:hAnsi="inter" w:eastAsia="inter" w:cs="inter"/>
          <w:color w:val="000000"/>
          <w:sz w:val="21"/>
        </w:rPr>
        <w:t>行为上的投入（actively on-task）；</w:t>
      </w:r>
    </w:p>
    <w:p w14:paraId="53BCA3D8">
      <w:pPr>
        <w:numPr>
          <w:ilvl w:val="0"/>
          <w:numId w:val="18"/>
        </w:numPr>
        <w:spacing w:before="105" w:after="105" w:line="360" w:lineRule="auto"/>
      </w:pPr>
      <w:r>
        <w:rPr>
          <w:rFonts w:ascii="inter" w:hAnsi="inter" w:eastAsia="inter" w:cs="inter"/>
          <w:color w:val="000000"/>
          <w:sz w:val="21"/>
        </w:rPr>
        <w:t>认知上的加工与思考；</w:t>
      </w:r>
    </w:p>
    <w:p w14:paraId="7EA239A9">
      <w:pPr>
        <w:numPr>
          <w:ilvl w:val="0"/>
          <w:numId w:val="18"/>
        </w:numPr>
        <w:spacing w:before="105" w:after="105" w:line="360" w:lineRule="auto"/>
      </w:pPr>
      <w:r>
        <w:rPr>
          <w:rFonts w:ascii="inter" w:hAnsi="inter" w:eastAsia="inter" w:cs="inter"/>
          <w:color w:val="000000"/>
          <w:sz w:val="21"/>
        </w:rPr>
        <w:t>情绪上的安全与归属感；</w:t>
      </w:r>
    </w:p>
    <w:p w14:paraId="62616B8D">
      <w:pPr>
        <w:numPr>
          <w:ilvl w:val="0"/>
          <w:numId w:val="18"/>
        </w:numPr>
        <w:spacing w:before="105" w:after="105" w:line="360" w:lineRule="auto"/>
      </w:pPr>
      <w:r>
        <w:rPr>
          <w:rFonts w:ascii="inter" w:hAnsi="inter" w:eastAsia="inter" w:cs="inter"/>
          <w:color w:val="000000"/>
          <w:sz w:val="21"/>
        </w:rPr>
        <w:t>社交上的互动与合作。</w:t>
      </w:r>
    </w:p>
    <w:p w14:paraId="201E9E04">
      <w:pPr>
        <w:spacing w:after="210" w:line="360" w:lineRule="auto"/>
      </w:pPr>
      <w:r>
        <w:rPr>
          <w:rFonts w:ascii="inter" w:hAnsi="inter" w:eastAsia="inter" w:cs="inter"/>
          <w:color w:val="000000"/>
        </w:rPr>
        <w:t>WHO与联合国在自闭症与残障人权利框架下强调，全纳教育并非简单的“物理融合”，而是要通过课程、教学和支持系统的调整，让有障碍的学生在同一课堂中“真正学习并被看见”。因此，“提升课堂参与度”本质上是推动ASD学生在全纳教育中从“被安置”走向“被真正纳入”的过程。</w:t>
      </w:r>
      <w:bookmarkStart w:id="58" w:name="fnref1_3"/>
      <w:bookmarkEnd w:id="58"/>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59" w:name="fnref5_2"/>
      <w:bookmarkEnd w:id="59"/>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6AC69FEB">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24E92320">
      <w:pPr>
        <w:spacing w:before="315" w:after="105" w:line="360" w:lineRule="auto"/>
        <w:ind w:left="-30"/>
        <w:jc w:val="left"/>
      </w:pPr>
      <w:bookmarkStart w:id="60" w:name="三_提升asd学生课堂参与度的策略类型与比较评估"/>
      <w:r>
        <w:rPr>
          <w:rFonts w:ascii="inter" w:hAnsi="inter" w:eastAsia="inter" w:cs="inter"/>
          <w:b/>
          <w:color w:val="000000"/>
          <w:sz w:val="24"/>
        </w:rPr>
        <w:t>三、提升ASD学生课堂参与度的策略类型与比较评估</w:t>
      </w:r>
      <w:bookmarkEnd w:id="60"/>
    </w:p>
    <w:p w14:paraId="1DA0B693">
      <w:pPr>
        <w:spacing w:after="210" w:line="360" w:lineRule="auto"/>
      </w:pPr>
      <w:r>
        <w:rPr>
          <w:rFonts w:ascii="inter" w:hAnsi="inter" w:eastAsia="inter" w:cs="inter"/>
          <w:color w:val="000000"/>
        </w:rPr>
        <w:t>本部分从五大策略类别系统梳理，回应“有效策略是什么”和“如何增强课堂参与”两个核心问题，并对各类策略的优势、潜在局限与适用条件进行辩证分析。</w:t>
      </w:r>
    </w:p>
    <w:p w14:paraId="6456F2FB">
      <w:pPr>
        <w:spacing w:before="315" w:after="105" w:line="360" w:lineRule="auto"/>
        <w:ind w:left="-30"/>
        <w:jc w:val="left"/>
      </w:pPr>
      <w:bookmarkStart w:id="61" w:name="一_基于行为的支持与干预体系_aba与pbs_pbis"/>
      <w:r>
        <w:rPr>
          <w:rFonts w:ascii="inter" w:hAnsi="inter" w:eastAsia="inter" w:cs="inter"/>
          <w:b/>
          <w:color w:val="000000"/>
          <w:sz w:val="24"/>
        </w:rPr>
        <w:t>（一）基于行为的支持与干预体系：ABA与PBS/PBIS</w:t>
      </w:r>
      <w:bookmarkEnd w:id="61"/>
    </w:p>
    <w:p w14:paraId="4C0BC513">
      <w:pPr>
        <w:numPr>
          <w:ilvl w:val="0"/>
          <w:numId w:val="19"/>
        </w:numPr>
        <w:spacing w:before="105" w:after="105" w:line="360" w:lineRule="auto"/>
      </w:pPr>
      <w:r>
        <w:rPr>
          <w:rFonts w:ascii="inter" w:hAnsi="inter" w:eastAsia="inter" w:cs="inter"/>
          <w:color w:val="000000"/>
          <w:sz w:val="21"/>
        </w:rPr>
        <w:t>策略内涵与作用机制</w:t>
      </w:r>
    </w:p>
    <w:p w14:paraId="25AD9CD2">
      <w:pPr>
        <w:spacing w:after="210" w:line="360" w:lineRule="auto"/>
      </w:pPr>
      <w:r>
        <w:rPr>
          <w:rFonts w:ascii="inter" w:hAnsi="inter" w:eastAsia="inter" w:cs="inter"/>
          <w:color w:val="000000"/>
        </w:rPr>
        <w:t>据CDC和多国实践指南，ABA及其衍生技术（如DTT、PRT、EIBI）是支持ASD儿童行为和学习的主要循证模式之一。在课堂参与领域，关键做法包括：</w:t>
      </w:r>
      <w:bookmarkStart w:id="62" w:name="fnref14_4"/>
      <w:bookmarkEnd w:id="62"/>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63" w:name="fnref17_2"/>
      <w:bookmarkEnd w:id="63"/>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64" w:name="fnref3_4"/>
      <w:bookmarkEnd w:id="64"/>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0B4FB9FE">
      <w:pPr>
        <w:numPr>
          <w:ilvl w:val="0"/>
          <w:numId w:val="20"/>
        </w:numPr>
        <w:spacing w:before="105" w:after="105" w:line="360" w:lineRule="auto"/>
      </w:pPr>
      <w:r>
        <w:rPr>
          <w:rFonts w:ascii="inter" w:hAnsi="inter" w:eastAsia="inter" w:cs="inter"/>
          <w:color w:val="000000"/>
          <w:sz w:val="21"/>
        </w:rPr>
        <w:t>对“离座、发呆、逃避任务”等问题行为进行功能性行为评估（FBA），明确其功能（逃避、寻求注意、自我刺激等）；</w:t>
      </w:r>
    </w:p>
    <w:p w14:paraId="4EB635E4">
      <w:pPr>
        <w:numPr>
          <w:ilvl w:val="0"/>
          <w:numId w:val="20"/>
        </w:numPr>
        <w:spacing w:before="105" w:after="105" w:line="360" w:lineRule="auto"/>
      </w:pPr>
      <w:r>
        <w:rPr>
          <w:rFonts w:ascii="inter" w:hAnsi="inter" w:eastAsia="inter" w:cs="inter"/>
          <w:color w:val="000000"/>
          <w:sz w:val="21"/>
        </w:rPr>
        <w:t>通过差别强化、替代行为训练与任务调整，降低问题行为的“收益”；</w:t>
      </w:r>
    </w:p>
    <w:p w14:paraId="6CEF2206">
      <w:pPr>
        <w:numPr>
          <w:ilvl w:val="0"/>
          <w:numId w:val="20"/>
        </w:numPr>
        <w:spacing w:before="105" w:after="105" w:line="360" w:lineRule="auto"/>
      </w:pPr>
      <w:r>
        <w:rPr>
          <w:rFonts w:ascii="inter" w:hAnsi="inter" w:eastAsia="inter" w:cs="inter"/>
          <w:color w:val="000000"/>
          <w:sz w:val="21"/>
        </w:rPr>
        <w:t>运用强化系统（如代币经济、自然强化）提升“举手发言、完成任务、参与小组”的频率。</w:t>
      </w:r>
      <w:bookmarkStart w:id="65" w:name="fnref35"/>
      <w:bookmarkEnd w:id="65"/>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bookmarkStart w:id="66" w:name="fnref36"/>
      <w:bookmarkEnd w:id="66"/>
      <w:r>
        <w:fldChar w:fldCharType="begin"/>
      </w:r>
      <w:r>
        <w:instrText xml:space="preserve"> HYPERLINK \l "fn36" \h </w:instrText>
      </w:r>
      <w:r>
        <w:fldChar w:fldCharType="separate"/>
      </w:r>
      <w:r>
        <w:rPr>
          <w:rFonts w:ascii="inter" w:hAnsi="inter" w:eastAsia="inter" w:cs="inter"/>
          <w:color w:val="000000"/>
          <w:sz w:val="21"/>
          <w:u w:val="single"/>
          <w:vertAlign w:val="superscript"/>
        </w:rPr>
        <w:t>[36]</w:t>
      </w:r>
      <w:r>
        <w:rPr>
          <w:rFonts w:ascii="inter" w:hAnsi="inter" w:eastAsia="inter" w:cs="inter"/>
          <w:color w:val="000000"/>
          <w:sz w:val="21"/>
          <w:u w:val="single"/>
          <w:vertAlign w:val="superscript"/>
        </w:rPr>
        <w:fldChar w:fldCharType="end"/>
      </w:r>
      <w:bookmarkStart w:id="67" w:name="fnref17_3"/>
      <w:bookmarkEnd w:id="67"/>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p>
    <w:p w14:paraId="6F57D59F">
      <w:pPr>
        <w:spacing w:after="210" w:line="360" w:lineRule="auto"/>
      </w:pPr>
      <w:r>
        <w:rPr>
          <w:rFonts w:ascii="inter" w:hAnsi="inter" w:eastAsia="inter" w:cs="inter"/>
          <w:color w:val="000000"/>
        </w:rPr>
        <w:t>同时，PBS/PBIS将上述行为技术置于积极预防、全校系统框架中，通过明确校级期望、视觉规则、预防性教学和多层级支持（普遍性、针对性和个别化），为ASD学生提供可预期的行为环境。</w:t>
      </w:r>
      <w:bookmarkStart w:id="68" w:name="fnref25_1"/>
      <w:bookmarkEnd w:id="68"/>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bookmarkStart w:id="69" w:name="fnref26_1"/>
      <w:bookmarkEnd w:id="69"/>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bookmarkStart w:id="70" w:name="fnref27_1"/>
      <w:bookmarkEnd w:id="70"/>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49551FFF">
      <w:pPr>
        <w:numPr>
          <w:ilvl w:val="0"/>
          <w:numId w:val="21"/>
        </w:numPr>
        <w:spacing w:before="105" w:after="105" w:line="360" w:lineRule="auto"/>
      </w:pPr>
      <w:r>
        <w:rPr>
          <w:rFonts w:ascii="inter" w:hAnsi="inter" w:eastAsia="inter" w:cs="inter"/>
          <w:color w:val="000000"/>
          <w:sz w:val="21"/>
        </w:rPr>
        <w:t>优势</w:t>
      </w:r>
    </w:p>
    <w:p w14:paraId="3D40D02A">
      <w:pPr>
        <w:numPr>
          <w:ilvl w:val="0"/>
          <w:numId w:val="22"/>
        </w:numPr>
        <w:spacing w:before="105" w:after="105" w:line="360" w:lineRule="auto"/>
      </w:pPr>
      <w:r>
        <w:rPr>
          <w:rFonts w:ascii="inter" w:hAnsi="inter" w:eastAsia="inter" w:cs="inter"/>
          <w:color w:val="000000"/>
          <w:sz w:val="21"/>
        </w:rPr>
        <w:t>循证基础扎实，针对课堂“在任务行为”（on-task behavior）和干扰行为的改善效果显著；</w:t>
      </w:r>
      <w:bookmarkStart w:id="71" w:name="fnref35_1"/>
      <w:bookmarkEnd w:id="71"/>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bookmarkStart w:id="72" w:name="fnref17_4"/>
      <w:bookmarkEnd w:id="72"/>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bookmarkStart w:id="73" w:name="fnref3_5"/>
      <w:bookmarkEnd w:id="73"/>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p>
    <w:p w14:paraId="54C61F92">
      <w:pPr>
        <w:numPr>
          <w:ilvl w:val="0"/>
          <w:numId w:val="22"/>
        </w:numPr>
        <w:spacing w:before="105" w:after="105" w:line="360" w:lineRule="auto"/>
      </w:pPr>
      <w:r>
        <w:rPr>
          <w:rFonts w:ascii="inter" w:hAnsi="inter" w:eastAsia="inter" w:cs="inter"/>
          <w:color w:val="000000"/>
          <w:sz w:val="21"/>
        </w:rPr>
        <w:t>与课堂参与度的指标（举手次数、任务完成率、小组参与频次）高度对应，便于数据化监测；</w:t>
      </w:r>
      <w:bookmarkStart w:id="74" w:name="fnref36_1"/>
      <w:bookmarkEnd w:id="74"/>
      <w:r>
        <w:fldChar w:fldCharType="begin"/>
      </w:r>
      <w:r>
        <w:instrText xml:space="preserve"> HYPERLINK \l "fn36" \h </w:instrText>
      </w:r>
      <w:r>
        <w:fldChar w:fldCharType="separate"/>
      </w:r>
      <w:r>
        <w:rPr>
          <w:rFonts w:ascii="inter" w:hAnsi="inter" w:eastAsia="inter" w:cs="inter"/>
          <w:color w:val="000000"/>
          <w:sz w:val="21"/>
          <w:u w:val="single"/>
          <w:vertAlign w:val="superscript"/>
        </w:rPr>
        <w:t>[36]</w:t>
      </w:r>
      <w:r>
        <w:rPr>
          <w:rFonts w:ascii="inter" w:hAnsi="inter" w:eastAsia="inter" w:cs="inter"/>
          <w:color w:val="000000"/>
          <w:sz w:val="21"/>
          <w:u w:val="single"/>
          <w:vertAlign w:val="superscript"/>
        </w:rPr>
        <w:fldChar w:fldCharType="end"/>
      </w:r>
      <w:bookmarkStart w:id="75" w:name="fnref35_2"/>
      <w:bookmarkEnd w:id="75"/>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p>
    <w:p w14:paraId="6FA88712">
      <w:pPr>
        <w:numPr>
          <w:ilvl w:val="0"/>
          <w:numId w:val="22"/>
        </w:numPr>
        <w:spacing w:before="105" w:after="105" w:line="360" w:lineRule="auto"/>
      </w:pPr>
      <w:r>
        <w:rPr>
          <w:rFonts w:ascii="inter" w:hAnsi="inter" w:eastAsia="inter" w:cs="inter"/>
          <w:color w:val="000000"/>
          <w:sz w:val="21"/>
        </w:rPr>
        <w:t>与校本PBIS整合后，可降低教师随意惩戒，改善班级气氛，对所有学生（包括ASD）产生正向溢出效应。</w:t>
      </w:r>
      <w:bookmarkStart w:id="76" w:name="fnref26_2"/>
      <w:bookmarkEnd w:id="76"/>
      <w:r>
        <w:fldChar w:fldCharType="begin"/>
      </w:r>
      <w:r>
        <w:instrText xml:space="preserve"> HYPERLINK \l "fn26" \h </w:instrText>
      </w:r>
      <w:r>
        <w:fldChar w:fldCharType="separate"/>
      </w:r>
      <w:r>
        <w:rPr>
          <w:rFonts w:ascii="inter" w:hAnsi="inter" w:eastAsia="inter" w:cs="inter"/>
          <w:color w:val="000000"/>
          <w:sz w:val="21"/>
          <w:u w:val="single"/>
          <w:vertAlign w:val="superscript"/>
        </w:rPr>
        <w:t>[26]</w:t>
      </w:r>
      <w:r>
        <w:rPr>
          <w:rFonts w:ascii="inter" w:hAnsi="inter" w:eastAsia="inter" w:cs="inter"/>
          <w:color w:val="000000"/>
          <w:sz w:val="21"/>
          <w:u w:val="single"/>
          <w:vertAlign w:val="superscript"/>
        </w:rPr>
        <w:fldChar w:fldCharType="end"/>
      </w:r>
      <w:bookmarkStart w:id="77" w:name="fnref27_2"/>
      <w:bookmarkEnd w:id="77"/>
      <w:r>
        <w:fldChar w:fldCharType="begin"/>
      </w:r>
      <w:r>
        <w:instrText xml:space="preserve"> HYPERLINK \l "fn27" \h </w:instrText>
      </w:r>
      <w:r>
        <w:fldChar w:fldCharType="separate"/>
      </w:r>
      <w:r>
        <w:rPr>
          <w:rFonts w:ascii="inter" w:hAnsi="inter" w:eastAsia="inter" w:cs="inter"/>
          <w:color w:val="000000"/>
          <w:sz w:val="21"/>
          <w:u w:val="single"/>
          <w:vertAlign w:val="superscript"/>
        </w:rPr>
        <w:t>[27]</w:t>
      </w:r>
      <w:r>
        <w:rPr>
          <w:rFonts w:ascii="inter" w:hAnsi="inter" w:eastAsia="inter" w:cs="inter"/>
          <w:color w:val="000000"/>
          <w:sz w:val="21"/>
          <w:u w:val="single"/>
          <w:vertAlign w:val="superscript"/>
        </w:rPr>
        <w:fldChar w:fldCharType="end"/>
      </w:r>
    </w:p>
    <w:p w14:paraId="0ED249F3">
      <w:pPr>
        <w:numPr>
          <w:ilvl w:val="0"/>
          <w:numId w:val="23"/>
        </w:numPr>
        <w:spacing w:before="105" w:after="105" w:line="360" w:lineRule="auto"/>
      </w:pPr>
      <w:r>
        <w:rPr>
          <w:rFonts w:ascii="inter" w:hAnsi="inter" w:eastAsia="inter" w:cs="inter"/>
          <w:color w:val="000000"/>
          <w:sz w:val="21"/>
        </w:rPr>
        <w:t>潜在局限与适用条件</w:t>
      </w:r>
    </w:p>
    <w:p w14:paraId="3326BDC8">
      <w:pPr>
        <w:numPr>
          <w:ilvl w:val="0"/>
          <w:numId w:val="24"/>
        </w:numPr>
        <w:spacing w:before="105" w:after="105" w:line="360" w:lineRule="auto"/>
      </w:pPr>
      <w:r>
        <w:rPr>
          <w:rFonts w:ascii="inter" w:hAnsi="inter" w:eastAsia="inter" w:cs="inter"/>
          <w:color w:val="000000"/>
          <w:sz w:val="21"/>
        </w:rPr>
        <w:t>潜在局限：</w:t>
      </w:r>
    </w:p>
    <w:p w14:paraId="7CBD8A71">
      <w:pPr>
        <w:numPr>
          <w:ilvl w:val="1"/>
          <w:numId w:val="24"/>
        </w:numPr>
        <w:spacing w:before="105" w:after="105" w:line="360" w:lineRule="auto"/>
      </w:pPr>
      <w:r>
        <w:rPr>
          <w:rFonts w:ascii="inter" w:hAnsi="inter" w:eastAsia="inter" w:cs="inter"/>
          <w:color w:val="000000"/>
          <w:sz w:val="21"/>
        </w:rPr>
        <w:t>过度聚焦可观察行为，若缺乏对ASD学生感知觉异常和情绪体验的理解，可能导致“表面服从、内在痛苦”；</w:t>
      </w:r>
    </w:p>
    <w:p w14:paraId="3C25B531">
      <w:pPr>
        <w:numPr>
          <w:ilvl w:val="1"/>
          <w:numId w:val="24"/>
        </w:numPr>
        <w:spacing w:before="105" w:after="105" w:line="360" w:lineRule="auto"/>
      </w:pPr>
      <w:r>
        <w:rPr>
          <w:rFonts w:ascii="inter" w:hAnsi="inter" w:eastAsia="inter" w:cs="inter"/>
          <w:color w:val="000000"/>
          <w:sz w:val="21"/>
        </w:rPr>
        <w:t>若强化物设置不当，可能形成对物质奖励的过度依赖；</w:t>
      </w:r>
    </w:p>
    <w:p w14:paraId="400B58C1">
      <w:pPr>
        <w:numPr>
          <w:ilvl w:val="1"/>
          <w:numId w:val="24"/>
        </w:numPr>
        <w:spacing w:before="105" w:after="105" w:line="360" w:lineRule="auto"/>
      </w:pPr>
      <w:r>
        <w:rPr>
          <w:rFonts w:ascii="inter" w:hAnsi="inter" w:eastAsia="inter" w:cs="inter"/>
          <w:color w:val="000000"/>
          <w:sz w:val="21"/>
        </w:rPr>
        <w:t>传统DTT模式在集体课堂中可操作性有限，且容易与“机械训练”相联系，引发家长或自闭症倡导团体的担忧。</w:t>
      </w:r>
      <w:bookmarkStart w:id="78" w:name="fnref17_5"/>
      <w:bookmarkEnd w:id="78"/>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p>
    <w:p w14:paraId="6C73886C">
      <w:pPr>
        <w:numPr>
          <w:ilvl w:val="0"/>
          <w:numId w:val="24"/>
        </w:numPr>
        <w:spacing w:before="105" w:after="105" w:line="360" w:lineRule="auto"/>
      </w:pPr>
      <w:r>
        <w:rPr>
          <w:rFonts w:ascii="inter" w:hAnsi="inter" w:eastAsia="inter" w:cs="inter"/>
          <w:color w:val="000000"/>
          <w:sz w:val="21"/>
        </w:rPr>
        <w:t>适用条件：</w:t>
      </w:r>
    </w:p>
    <w:p w14:paraId="1D9595ED">
      <w:pPr>
        <w:numPr>
          <w:ilvl w:val="1"/>
          <w:numId w:val="24"/>
        </w:numPr>
        <w:spacing w:before="105" w:after="105" w:line="360" w:lineRule="auto"/>
      </w:pPr>
      <w:r>
        <w:rPr>
          <w:rFonts w:ascii="inter" w:hAnsi="inter" w:eastAsia="inter" w:cs="inter"/>
          <w:color w:val="000000"/>
          <w:sz w:val="21"/>
        </w:rPr>
        <w:t>适合需要显著改善课堂规则遵守和在任务行为的学生；</w:t>
      </w:r>
    </w:p>
    <w:p w14:paraId="44E3EA03">
      <w:pPr>
        <w:numPr>
          <w:ilvl w:val="1"/>
          <w:numId w:val="24"/>
        </w:numPr>
        <w:spacing w:before="105" w:after="105" w:line="360" w:lineRule="auto"/>
      </w:pPr>
      <w:r>
        <w:rPr>
          <w:rFonts w:ascii="inter" w:hAnsi="inter" w:eastAsia="inter" w:cs="inter"/>
          <w:color w:val="000000"/>
          <w:sz w:val="21"/>
        </w:rPr>
        <w:t>适宜纳入学校整体PBIS框架，通过班级规则、视觉行为期望和正向强化营造“参与友好”的课堂氛围；</w:t>
      </w:r>
      <w:bookmarkStart w:id="79" w:name="fnref27_3"/>
      <w:bookmarkEnd w:id="79"/>
      <w:r>
        <w:fldChar w:fldCharType="begin"/>
      </w:r>
      <w:r>
        <w:instrText xml:space="preserve"> HYPERLINK \l "fn27" \h </w:instrText>
      </w:r>
      <w:r>
        <w:fldChar w:fldCharType="separate"/>
      </w:r>
      <w:r>
        <w:rPr>
          <w:rFonts w:ascii="inter" w:hAnsi="inter" w:eastAsia="inter" w:cs="inter"/>
          <w:color w:val="000000"/>
          <w:sz w:val="21"/>
          <w:u w:val="single"/>
          <w:vertAlign w:val="superscript"/>
        </w:rPr>
        <w:t>[27]</w:t>
      </w:r>
      <w:r>
        <w:rPr>
          <w:rFonts w:ascii="inter" w:hAnsi="inter" w:eastAsia="inter" w:cs="inter"/>
          <w:color w:val="000000"/>
          <w:sz w:val="21"/>
          <w:u w:val="single"/>
          <w:vertAlign w:val="superscript"/>
        </w:rPr>
        <w:fldChar w:fldCharType="end"/>
      </w:r>
      <w:bookmarkStart w:id="80" w:name="fnref26_3"/>
      <w:bookmarkEnd w:id="80"/>
      <w:r>
        <w:fldChar w:fldCharType="begin"/>
      </w:r>
      <w:r>
        <w:instrText xml:space="preserve"> HYPERLINK \l "fn26" \h </w:instrText>
      </w:r>
      <w:r>
        <w:fldChar w:fldCharType="separate"/>
      </w:r>
      <w:r>
        <w:rPr>
          <w:rFonts w:ascii="inter" w:hAnsi="inter" w:eastAsia="inter" w:cs="inter"/>
          <w:color w:val="000000"/>
          <w:sz w:val="21"/>
          <w:u w:val="single"/>
          <w:vertAlign w:val="superscript"/>
        </w:rPr>
        <w:t>[26]</w:t>
      </w:r>
      <w:r>
        <w:rPr>
          <w:rFonts w:ascii="inter" w:hAnsi="inter" w:eastAsia="inter" w:cs="inter"/>
          <w:color w:val="000000"/>
          <w:sz w:val="21"/>
          <w:u w:val="single"/>
          <w:vertAlign w:val="superscript"/>
        </w:rPr>
        <w:fldChar w:fldCharType="end"/>
      </w:r>
    </w:p>
    <w:p w14:paraId="33C70804">
      <w:pPr>
        <w:numPr>
          <w:ilvl w:val="1"/>
          <w:numId w:val="24"/>
        </w:numPr>
        <w:spacing w:before="105" w:after="105" w:line="360" w:lineRule="auto"/>
      </w:pPr>
      <w:r>
        <w:rPr>
          <w:rFonts w:ascii="inter" w:hAnsi="inter" w:eastAsia="inter" w:cs="inter"/>
          <w:color w:val="000000"/>
          <w:sz w:val="21"/>
        </w:rPr>
        <w:t>建议由受过ABA与PBS培训的教师或行为支持团队实施，并重视学生主观感受与尊严。</w:t>
      </w:r>
    </w:p>
    <w:p w14:paraId="6BE7B371">
      <w:pPr>
        <w:spacing w:before="315" w:after="105" w:line="360" w:lineRule="auto"/>
        <w:ind w:left="-30"/>
        <w:jc w:val="left"/>
      </w:pPr>
      <w:bookmarkStart w:id="81" w:name="二_结构化教学与视觉支持_teacch与相关实践"/>
      <w:r>
        <w:rPr>
          <w:rFonts w:ascii="inter" w:hAnsi="inter" w:eastAsia="inter" w:cs="inter"/>
          <w:b/>
          <w:color w:val="000000"/>
          <w:sz w:val="24"/>
        </w:rPr>
        <w:t>（二）结构化教学与视觉支持：TEACCH与相关实践</w:t>
      </w:r>
      <w:bookmarkEnd w:id="81"/>
    </w:p>
    <w:p w14:paraId="3B34B5CB">
      <w:pPr>
        <w:numPr>
          <w:ilvl w:val="0"/>
          <w:numId w:val="25"/>
        </w:numPr>
        <w:spacing w:before="105" w:after="105" w:line="360" w:lineRule="auto"/>
      </w:pPr>
      <w:r>
        <w:rPr>
          <w:rFonts w:ascii="inter" w:hAnsi="inter" w:eastAsia="inter" w:cs="inter"/>
          <w:color w:val="000000"/>
          <w:sz w:val="21"/>
        </w:rPr>
        <w:t>核心策略</w:t>
      </w:r>
    </w:p>
    <w:p w14:paraId="5AE39FC5">
      <w:pPr>
        <w:spacing w:after="210" w:line="360" w:lineRule="auto"/>
      </w:pPr>
      <w:r>
        <w:rPr>
          <w:rFonts w:ascii="inter" w:hAnsi="inter" w:eastAsia="inter" w:cs="inter"/>
          <w:color w:val="000000"/>
        </w:rPr>
        <w:t>据CDC和TEACCH项目资料，TEACCH强调通过环境与任务的高度结构化，来适配ASD学生的“视觉优势”和对可预期性的偏好。在提升课堂参与方面，关键要素包括：</w:t>
      </w:r>
      <w:bookmarkStart w:id="82" w:name="fnref19_1"/>
      <w:bookmarkEnd w:id="82"/>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bookmarkStart w:id="83" w:name="fnref20_1"/>
      <w:bookmarkEnd w:id="83"/>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84" w:name="fnref18_1"/>
      <w:bookmarkEnd w:id="84"/>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85" w:name="fnref6_2"/>
      <w:bookmarkEnd w:id="85"/>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2C13F8F7">
      <w:pPr>
        <w:numPr>
          <w:ilvl w:val="0"/>
          <w:numId w:val="26"/>
        </w:numPr>
        <w:spacing w:before="105" w:after="105" w:line="360" w:lineRule="auto"/>
      </w:pPr>
      <w:r>
        <w:rPr>
          <w:rFonts w:ascii="inter" w:hAnsi="inter" w:eastAsia="inter" w:cs="inter"/>
          <w:color w:val="000000"/>
          <w:sz w:val="21"/>
        </w:rPr>
        <w:t>明确的物理结构：将教室划分为小组区、独立作业区、感官休息区等，减少视觉与听觉干扰；</w:t>
      </w:r>
      <w:bookmarkStart w:id="86" w:name="fnref37"/>
      <w:bookmarkEnd w:id="86"/>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bookmarkStart w:id="87" w:name="fnref16_1"/>
      <w:bookmarkEnd w:id="87"/>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bookmarkStart w:id="88" w:name="fnref29_1"/>
      <w:bookmarkEnd w:id="88"/>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p>
    <w:p w14:paraId="52C37AEF">
      <w:pPr>
        <w:numPr>
          <w:ilvl w:val="0"/>
          <w:numId w:val="26"/>
        </w:numPr>
        <w:spacing w:before="105" w:after="105" w:line="360" w:lineRule="auto"/>
      </w:pPr>
      <w:r>
        <w:rPr>
          <w:rFonts w:ascii="inter" w:hAnsi="inter" w:eastAsia="inter" w:cs="inter"/>
          <w:color w:val="000000"/>
          <w:sz w:val="21"/>
        </w:rPr>
        <w:t>视觉日程（Visual Schedules）：用图卡/文字列出当日活动顺序，降低对过渡的焦虑；</w:t>
      </w:r>
      <w:bookmarkStart w:id="89" w:name="fnref38"/>
      <w:bookmarkEnd w:id="89"/>
      <w:r>
        <w:fldChar w:fldCharType="begin"/>
      </w:r>
      <w:r>
        <w:instrText xml:space="preserve"> HYPERLINK \l "fn38" \h </w:instrText>
      </w:r>
      <w:r>
        <w:fldChar w:fldCharType="separate"/>
      </w:r>
      <w:r>
        <w:rPr>
          <w:rFonts w:ascii="inter" w:hAnsi="inter" w:eastAsia="inter" w:cs="inter"/>
          <w:color w:val="000000"/>
          <w:sz w:val="21"/>
          <w:u w:val="single"/>
          <w:vertAlign w:val="superscript"/>
        </w:rPr>
        <w:t>[38]</w:t>
      </w:r>
      <w:r>
        <w:rPr>
          <w:rFonts w:ascii="inter" w:hAnsi="inter" w:eastAsia="inter" w:cs="inter"/>
          <w:color w:val="000000"/>
          <w:sz w:val="21"/>
          <w:u w:val="single"/>
          <w:vertAlign w:val="superscript"/>
        </w:rPr>
        <w:fldChar w:fldCharType="end"/>
      </w:r>
      <w:bookmarkStart w:id="90" w:name="fnref18_2"/>
      <w:bookmarkEnd w:id="90"/>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bookmarkStart w:id="91" w:name="fnref6_3"/>
      <w:bookmarkEnd w:id="91"/>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24F96516">
      <w:pPr>
        <w:numPr>
          <w:ilvl w:val="0"/>
          <w:numId w:val="26"/>
        </w:numPr>
        <w:spacing w:before="105" w:after="105" w:line="360" w:lineRule="auto"/>
      </w:pPr>
      <w:r>
        <w:rPr>
          <w:rFonts w:ascii="inter" w:hAnsi="inter" w:eastAsia="inter" w:cs="inter"/>
          <w:color w:val="000000"/>
          <w:sz w:val="21"/>
        </w:rPr>
        <w:t>工作系统（Work Systems）：通过任务盒、任务清单，让学生清楚“要做什么”“做多少”“如何知道完成”“之后做什么”；</w:t>
      </w:r>
    </w:p>
    <w:p w14:paraId="336BE516">
      <w:pPr>
        <w:numPr>
          <w:ilvl w:val="0"/>
          <w:numId w:val="26"/>
        </w:numPr>
        <w:spacing w:before="105" w:after="105" w:line="360" w:lineRule="auto"/>
      </w:pPr>
      <w:r>
        <w:rPr>
          <w:rFonts w:ascii="inter" w:hAnsi="inter" w:eastAsia="inter" w:cs="inter"/>
          <w:color w:val="000000"/>
          <w:sz w:val="21"/>
        </w:rPr>
        <w:t>任务分析与视觉化任务分解，帮助学生逐步完成复杂学习任务。</w:t>
      </w:r>
      <w:bookmarkStart w:id="92" w:name="fnref20_2"/>
      <w:bookmarkEnd w:id="92"/>
      <w:r>
        <w:fldChar w:fldCharType="begin"/>
      </w:r>
      <w:r>
        <w:instrText xml:space="preserve"> HYPERLINK \l "fn20" \h </w:instrText>
      </w:r>
      <w:r>
        <w:fldChar w:fldCharType="separate"/>
      </w:r>
      <w:r>
        <w:rPr>
          <w:rFonts w:ascii="inter" w:hAnsi="inter" w:eastAsia="inter" w:cs="inter"/>
          <w:color w:val="000000"/>
          <w:sz w:val="21"/>
          <w:u w:val="single"/>
          <w:vertAlign w:val="superscript"/>
        </w:rPr>
        <w:t>[20]</w:t>
      </w:r>
      <w:r>
        <w:rPr>
          <w:rFonts w:ascii="inter" w:hAnsi="inter" w:eastAsia="inter" w:cs="inter"/>
          <w:color w:val="000000"/>
          <w:sz w:val="21"/>
          <w:u w:val="single"/>
          <w:vertAlign w:val="superscript"/>
        </w:rPr>
        <w:fldChar w:fldCharType="end"/>
      </w:r>
      <w:bookmarkStart w:id="93" w:name="fnref18_3"/>
      <w:bookmarkEnd w:id="93"/>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p>
    <w:p w14:paraId="0250F667">
      <w:pPr>
        <w:numPr>
          <w:ilvl w:val="0"/>
          <w:numId w:val="27"/>
        </w:numPr>
        <w:spacing w:before="105" w:after="105" w:line="360" w:lineRule="auto"/>
      </w:pPr>
      <w:r>
        <w:rPr>
          <w:rFonts w:ascii="inter" w:hAnsi="inter" w:eastAsia="inter" w:cs="inter"/>
          <w:color w:val="000000"/>
          <w:sz w:val="21"/>
        </w:rPr>
        <w:t>优势</w:t>
      </w:r>
    </w:p>
    <w:p w14:paraId="18174A80">
      <w:pPr>
        <w:numPr>
          <w:ilvl w:val="0"/>
          <w:numId w:val="28"/>
        </w:numPr>
        <w:spacing w:before="105" w:after="105" w:line="360" w:lineRule="auto"/>
      </w:pPr>
      <w:r>
        <w:rPr>
          <w:rFonts w:ascii="inter" w:hAnsi="inter" w:eastAsia="inter" w:cs="inter"/>
          <w:color w:val="000000"/>
          <w:sz w:val="21"/>
        </w:rPr>
        <w:t>研究表明，结构化教学与视觉支持有助于显著提升ASD学生在课堂的主动性和独立性，减少因不确定性引发的逃避和行为问题；</w:t>
      </w:r>
      <w:bookmarkStart w:id="94" w:name="fnref16_2"/>
      <w:bookmarkEnd w:id="94"/>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bookmarkStart w:id="95" w:name="fnref39"/>
      <w:bookmarkEnd w:id="95"/>
      <w:r>
        <w:fldChar w:fldCharType="begin"/>
      </w:r>
      <w:r>
        <w:instrText xml:space="preserve"> HYPERLINK \l "fn39" \h </w:instrText>
      </w:r>
      <w:r>
        <w:fldChar w:fldCharType="separate"/>
      </w:r>
      <w:r>
        <w:rPr>
          <w:rFonts w:ascii="inter" w:hAnsi="inter" w:eastAsia="inter" w:cs="inter"/>
          <w:color w:val="000000"/>
          <w:sz w:val="21"/>
          <w:u w:val="single"/>
          <w:vertAlign w:val="superscript"/>
        </w:rPr>
        <w:t>[39]</w:t>
      </w:r>
      <w:r>
        <w:rPr>
          <w:rFonts w:ascii="inter" w:hAnsi="inter" w:eastAsia="inter" w:cs="inter"/>
          <w:color w:val="000000"/>
          <w:sz w:val="21"/>
          <w:u w:val="single"/>
          <w:vertAlign w:val="superscript"/>
        </w:rPr>
        <w:fldChar w:fldCharType="end"/>
      </w:r>
      <w:bookmarkStart w:id="96" w:name="fnref29_2"/>
      <w:bookmarkEnd w:id="96"/>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bookmarkStart w:id="97" w:name="fnref18_4"/>
      <w:bookmarkEnd w:id="97"/>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bookmarkStart w:id="98" w:name="fnref37_1"/>
      <w:bookmarkEnd w:id="98"/>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bookmarkStart w:id="99" w:name="fnref9_3"/>
      <w:bookmarkEnd w:id="99"/>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2F159857">
      <w:pPr>
        <w:numPr>
          <w:ilvl w:val="0"/>
          <w:numId w:val="28"/>
        </w:numPr>
        <w:spacing w:before="105" w:after="105" w:line="360" w:lineRule="auto"/>
      </w:pPr>
      <w:r>
        <w:rPr>
          <w:rFonts w:ascii="inter" w:hAnsi="inter" w:eastAsia="inter" w:cs="inter"/>
          <w:color w:val="000000"/>
          <w:sz w:val="21"/>
        </w:rPr>
        <w:t>与UDL原则高度兼容，有利于在全班层面推行视觉支持，惠及其他有注意或语言困难的学生；</w:t>
      </w:r>
      <w:bookmarkStart w:id="100" w:name="fnref29_3"/>
      <w:bookmarkEnd w:id="100"/>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bookmarkStart w:id="101" w:name="fnref30_1"/>
      <w:bookmarkEnd w:id="101"/>
      <w:r>
        <w:fldChar w:fldCharType="begin"/>
      </w:r>
      <w:r>
        <w:instrText xml:space="preserve"> HYPERLINK \l "fn30" \h </w:instrText>
      </w:r>
      <w:r>
        <w:fldChar w:fldCharType="separate"/>
      </w:r>
      <w:r>
        <w:rPr>
          <w:rFonts w:ascii="inter" w:hAnsi="inter" w:eastAsia="inter" w:cs="inter"/>
          <w:color w:val="000000"/>
          <w:sz w:val="21"/>
          <w:u w:val="single"/>
          <w:vertAlign w:val="superscript"/>
        </w:rPr>
        <w:t>[30]</w:t>
      </w:r>
      <w:r>
        <w:rPr>
          <w:rFonts w:ascii="inter" w:hAnsi="inter" w:eastAsia="inter" w:cs="inter"/>
          <w:color w:val="000000"/>
          <w:sz w:val="21"/>
          <w:u w:val="single"/>
          <w:vertAlign w:val="superscript"/>
        </w:rPr>
        <w:fldChar w:fldCharType="end"/>
      </w:r>
      <w:bookmarkStart w:id="102" w:name="fnref31_1"/>
      <w:bookmarkEnd w:id="102"/>
      <w:r>
        <w:fldChar w:fldCharType="begin"/>
      </w:r>
      <w:r>
        <w:instrText xml:space="preserve"> HYPERLINK \l "fn31" \h </w:instrText>
      </w:r>
      <w:r>
        <w:fldChar w:fldCharType="separate"/>
      </w:r>
      <w:r>
        <w:rPr>
          <w:rFonts w:ascii="inter" w:hAnsi="inter" w:eastAsia="inter" w:cs="inter"/>
          <w:color w:val="000000"/>
          <w:sz w:val="21"/>
          <w:u w:val="single"/>
          <w:vertAlign w:val="superscript"/>
        </w:rPr>
        <w:t>[31]</w:t>
      </w:r>
      <w:r>
        <w:rPr>
          <w:rFonts w:ascii="inter" w:hAnsi="inter" w:eastAsia="inter" w:cs="inter"/>
          <w:color w:val="000000"/>
          <w:sz w:val="21"/>
          <w:u w:val="single"/>
          <w:vertAlign w:val="superscript"/>
        </w:rPr>
        <w:fldChar w:fldCharType="end"/>
      </w:r>
    </w:p>
    <w:p w14:paraId="0549B8E8">
      <w:pPr>
        <w:numPr>
          <w:ilvl w:val="0"/>
          <w:numId w:val="28"/>
        </w:numPr>
        <w:spacing w:before="105" w:after="105" w:line="360" w:lineRule="auto"/>
      </w:pPr>
      <w:r>
        <w:rPr>
          <w:rFonts w:ascii="inter" w:hAnsi="inter" w:eastAsia="inter" w:cs="inter"/>
          <w:color w:val="000000"/>
          <w:sz w:val="21"/>
        </w:rPr>
        <w:t>在低资源环境中，许多视觉支持可低成本自制，便于推广。</w:t>
      </w:r>
    </w:p>
    <w:p w14:paraId="04E716DA">
      <w:pPr>
        <w:numPr>
          <w:ilvl w:val="0"/>
          <w:numId w:val="29"/>
        </w:numPr>
        <w:spacing w:before="105" w:after="105" w:line="360" w:lineRule="auto"/>
      </w:pPr>
      <w:r>
        <w:rPr>
          <w:rFonts w:ascii="inter" w:hAnsi="inter" w:eastAsia="inter" w:cs="inter"/>
          <w:color w:val="000000"/>
          <w:sz w:val="21"/>
        </w:rPr>
        <w:t>潜在局限与适用条件</w:t>
      </w:r>
    </w:p>
    <w:p w14:paraId="3382F62E">
      <w:pPr>
        <w:numPr>
          <w:ilvl w:val="0"/>
          <w:numId w:val="30"/>
        </w:numPr>
        <w:spacing w:before="105" w:after="105" w:line="360" w:lineRule="auto"/>
      </w:pPr>
      <w:r>
        <w:rPr>
          <w:rFonts w:ascii="inter" w:hAnsi="inter" w:eastAsia="inter" w:cs="inter"/>
          <w:color w:val="000000"/>
          <w:sz w:val="21"/>
        </w:rPr>
        <w:t>潜在局限：</w:t>
      </w:r>
    </w:p>
    <w:p w14:paraId="6D26D271">
      <w:pPr>
        <w:numPr>
          <w:ilvl w:val="1"/>
          <w:numId w:val="30"/>
        </w:numPr>
        <w:spacing w:before="105" w:after="105" w:line="360" w:lineRule="auto"/>
      </w:pPr>
      <w:r>
        <w:rPr>
          <w:rFonts w:ascii="inter" w:hAnsi="inter" w:eastAsia="inter" w:cs="inter"/>
          <w:color w:val="000000"/>
          <w:sz w:val="21"/>
        </w:rPr>
        <w:t>若结构化设计过于僵化，可能限制学生的自主选择与创造性参与；</w:t>
      </w:r>
    </w:p>
    <w:p w14:paraId="6ACC2A90">
      <w:pPr>
        <w:numPr>
          <w:ilvl w:val="1"/>
          <w:numId w:val="30"/>
        </w:numPr>
        <w:spacing w:before="105" w:after="105" w:line="360" w:lineRule="auto"/>
      </w:pPr>
      <w:r>
        <w:rPr>
          <w:rFonts w:ascii="inter" w:hAnsi="inter" w:eastAsia="inter" w:cs="inter"/>
          <w:color w:val="000000"/>
          <w:sz w:val="21"/>
        </w:rPr>
        <w:t>对教师前期备课与环境布置要求较高，缺乏培训时容易流于形式（仅张贴日程而无系统运用）；</w:t>
      </w:r>
    </w:p>
    <w:p w14:paraId="2D458666">
      <w:pPr>
        <w:numPr>
          <w:ilvl w:val="1"/>
          <w:numId w:val="30"/>
        </w:numPr>
        <w:spacing w:before="105" w:after="105" w:line="360" w:lineRule="auto"/>
      </w:pPr>
      <w:r>
        <w:rPr>
          <w:rFonts w:ascii="inter" w:hAnsi="inter" w:eastAsia="inter" w:cs="inter"/>
          <w:color w:val="000000"/>
          <w:sz w:val="21"/>
        </w:rPr>
        <w:t>对高度流动或资源紧张的班级（大班额、场地受限）实施难度较大。</w:t>
      </w:r>
    </w:p>
    <w:p w14:paraId="3C442386">
      <w:pPr>
        <w:numPr>
          <w:ilvl w:val="0"/>
          <w:numId w:val="30"/>
        </w:numPr>
        <w:spacing w:before="105" w:after="105" w:line="360" w:lineRule="auto"/>
      </w:pPr>
      <w:r>
        <w:rPr>
          <w:rFonts w:ascii="inter" w:hAnsi="inter" w:eastAsia="inter" w:cs="inter"/>
          <w:color w:val="000000"/>
          <w:sz w:val="21"/>
        </w:rPr>
        <w:t>适用条件：</w:t>
      </w:r>
    </w:p>
    <w:p w14:paraId="7F55F3B4">
      <w:pPr>
        <w:numPr>
          <w:ilvl w:val="1"/>
          <w:numId w:val="30"/>
        </w:numPr>
        <w:spacing w:before="105" w:after="105" w:line="360" w:lineRule="auto"/>
      </w:pPr>
      <w:r>
        <w:rPr>
          <w:rFonts w:ascii="inter" w:hAnsi="inter" w:eastAsia="inter" w:cs="inter"/>
          <w:color w:val="000000"/>
          <w:sz w:val="21"/>
        </w:rPr>
        <w:t>适合多数ASD学生，尤其是对变动高度敏感、在转场时出现明显情绪困扰的学生；</w:t>
      </w:r>
      <w:bookmarkStart w:id="103" w:name="fnref18_5"/>
      <w:bookmarkEnd w:id="103"/>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bookmarkStart w:id="104" w:name="fnref14_5"/>
      <w:bookmarkEnd w:id="104"/>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p>
    <w:p w14:paraId="1411D32F">
      <w:pPr>
        <w:numPr>
          <w:ilvl w:val="1"/>
          <w:numId w:val="30"/>
        </w:numPr>
        <w:spacing w:before="105" w:after="105" w:line="360" w:lineRule="auto"/>
      </w:pPr>
      <w:r>
        <w:rPr>
          <w:rFonts w:ascii="inter" w:hAnsi="inter" w:eastAsia="inter" w:cs="inter"/>
          <w:color w:val="000000"/>
          <w:sz w:val="21"/>
        </w:rPr>
        <w:t>建议与班级层面UDL/视觉化教学结合，将视觉支持作为“常规设计”，在此基础上再为个别学生追加个性化安排。</w:t>
      </w:r>
      <w:bookmarkStart w:id="105" w:name="fnref30_2"/>
      <w:bookmarkEnd w:id="105"/>
      <w:r>
        <w:fldChar w:fldCharType="begin"/>
      </w:r>
      <w:r>
        <w:instrText xml:space="preserve"> HYPERLINK \l "fn30" \h </w:instrText>
      </w:r>
      <w:r>
        <w:fldChar w:fldCharType="separate"/>
      </w:r>
      <w:r>
        <w:rPr>
          <w:rFonts w:ascii="inter" w:hAnsi="inter" w:eastAsia="inter" w:cs="inter"/>
          <w:color w:val="000000"/>
          <w:sz w:val="21"/>
          <w:u w:val="single"/>
          <w:vertAlign w:val="superscript"/>
        </w:rPr>
        <w:t>[30]</w:t>
      </w:r>
      <w:r>
        <w:rPr>
          <w:rFonts w:ascii="inter" w:hAnsi="inter" w:eastAsia="inter" w:cs="inter"/>
          <w:color w:val="000000"/>
          <w:sz w:val="21"/>
          <w:u w:val="single"/>
          <w:vertAlign w:val="superscript"/>
        </w:rPr>
        <w:fldChar w:fldCharType="end"/>
      </w:r>
      <w:bookmarkStart w:id="106" w:name="fnref29_4"/>
      <w:bookmarkEnd w:id="106"/>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p>
    <w:p w14:paraId="6C7DE631">
      <w:pPr>
        <w:spacing w:before="315" w:after="105" w:line="360" w:lineRule="auto"/>
        <w:ind w:left="-30"/>
        <w:jc w:val="left"/>
      </w:pPr>
      <w:bookmarkStart w:id="107" w:name="三_沟通与社会互动支持_pecs_社交故事_同伴支持与jasper"/>
      <w:r>
        <w:rPr>
          <w:rFonts w:ascii="inter" w:hAnsi="inter" w:eastAsia="inter" w:cs="inter"/>
          <w:b/>
          <w:color w:val="000000"/>
          <w:sz w:val="24"/>
        </w:rPr>
        <w:t>（三）沟通与社会互动支持：PECS、社交故事、同伴支持与JASPER</w:t>
      </w:r>
      <w:bookmarkEnd w:id="107"/>
    </w:p>
    <w:p w14:paraId="2D05265C">
      <w:pPr>
        <w:numPr>
          <w:ilvl w:val="0"/>
          <w:numId w:val="31"/>
        </w:numPr>
        <w:spacing w:before="105" w:after="105" w:line="360" w:lineRule="auto"/>
      </w:pPr>
      <w:r>
        <w:rPr>
          <w:rFonts w:ascii="inter" w:hAnsi="inter" w:eastAsia="inter" w:cs="inter"/>
          <w:color w:val="000000"/>
          <w:sz w:val="21"/>
        </w:rPr>
        <w:t>功能性沟通与AAC（含PECS）</w:t>
      </w:r>
    </w:p>
    <w:p w14:paraId="3DDC6D38">
      <w:pPr>
        <w:spacing w:after="210" w:line="360" w:lineRule="auto"/>
      </w:pPr>
      <w:r>
        <w:rPr>
          <w:rFonts w:ascii="inter" w:hAnsi="inter" w:eastAsia="inter" w:cs="inter"/>
          <w:color w:val="000000"/>
        </w:rPr>
        <w:t>据多国指南和系统综述，PECS和其他AAC工具可显著提升ASD学生自发请求、回答和评论的频率，从而提高其在课堂活动（提问、回应指令、小组讨论）中的参与度。研究表明，AAC使用不会抑制自然口语发展，反而通过降低挫败感促进语言和社交发展。</w:t>
      </w:r>
      <w:bookmarkStart w:id="108" w:name="fnref23_2"/>
      <w:bookmarkEnd w:id="108"/>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bookmarkStart w:id="109" w:name="fnref9_4"/>
      <w:bookmarkEnd w:id="109"/>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10" w:name="fnref21_2"/>
      <w:bookmarkEnd w:id="110"/>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bookmarkStart w:id="111" w:name="fnref14_6"/>
      <w:bookmarkEnd w:id="111"/>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112" w:name="fnref17_6"/>
      <w:bookmarkEnd w:id="112"/>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2539E4E1">
      <w:pPr>
        <w:numPr>
          <w:ilvl w:val="0"/>
          <w:numId w:val="32"/>
        </w:numPr>
        <w:spacing w:before="105" w:after="105" w:line="360" w:lineRule="auto"/>
      </w:pPr>
      <w:r>
        <w:rPr>
          <w:rFonts w:ascii="inter" w:hAnsi="inter" w:eastAsia="inter" w:cs="inter"/>
          <w:color w:val="000000"/>
          <w:sz w:val="21"/>
        </w:rPr>
        <w:t>社交故事与视频建模</w:t>
      </w:r>
    </w:p>
    <w:p w14:paraId="5DCAE36B">
      <w:pPr>
        <w:spacing w:after="210" w:line="360" w:lineRule="auto"/>
      </w:pPr>
      <w:r>
        <w:rPr>
          <w:rFonts w:ascii="inter" w:hAnsi="inter" w:eastAsia="inter" w:cs="inter"/>
          <w:color w:val="000000"/>
        </w:rPr>
        <w:t>社交故事和视频社交故事通过将课堂情境分解为可理解的步骤，使ASD学生更易掌握“轮流发言”“小组合作”“回答问题”等参与规则。系统性回顾发现，视频自我建模、视频社交故事、自我监控等干预可显著提升ASD学生的课堂在任务行为和学业投入。</w:t>
      </w:r>
      <w:bookmarkStart w:id="113" w:name="fnref35_3"/>
      <w:bookmarkEnd w:id="113"/>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p>
    <w:p w14:paraId="503CBFA0">
      <w:pPr>
        <w:numPr>
          <w:ilvl w:val="0"/>
          <w:numId w:val="33"/>
        </w:numPr>
        <w:spacing w:before="105" w:after="105" w:line="360" w:lineRule="auto"/>
      </w:pPr>
      <w:r>
        <w:rPr>
          <w:rFonts w:ascii="inter" w:hAnsi="inter" w:eastAsia="inter" w:cs="inter"/>
          <w:color w:val="000000"/>
          <w:sz w:val="21"/>
        </w:rPr>
        <w:t>同伴媒介干预与JASPER</w:t>
      </w:r>
    </w:p>
    <w:p w14:paraId="570F81A1">
      <w:pPr>
        <w:numPr>
          <w:ilvl w:val="0"/>
          <w:numId w:val="34"/>
        </w:numPr>
        <w:spacing w:before="105" w:after="105" w:line="360" w:lineRule="auto"/>
      </w:pPr>
      <w:r>
        <w:rPr>
          <w:rFonts w:ascii="inter" w:hAnsi="inter" w:eastAsia="inter" w:cs="inter"/>
          <w:color w:val="000000"/>
          <w:sz w:val="21"/>
        </w:rPr>
        <w:t>同伴媒介教学（peer-mediated instruction）通过训练同伴在游戏或学习情境中发起互动、示范适当行为，被证实可以提升ASD学生的社交参与与课堂活动参与感。</w:t>
      </w:r>
      <w:bookmarkStart w:id="114" w:name="fnref37_2"/>
      <w:bookmarkEnd w:id="114"/>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bookmarkStart w:id="115" w:name="fnref15_2"/>
      <w:bookmarkEnd w:id="115"/>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bookmarkStart w:id="116" w:name="fnref17_7"/>
      <w:bookmarkEnd w:id="116"/>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p>
    <w:p w14:paraId="1362E2FA">
      <w:pPr>
        <w:numPr>
          <w:ilvl w:val="0"/>
          <w:numId w:val="34"/>
        </w:numPr>
        <w:spacing w:before="105" w:after="105" w:line="360" w:lineRule="auto"/>
      </w:pPr>
      <w:r>
        <w:rPr>
          <w:rFonts w:ascii="inter" w:hAnsi="inter" w:eastAsia="inter" w:cs="inter"/>
          <w:color w:val="000000"/>
          <w:sz w:val="21"/>
        </w:rPr>
        <w:t>JASPER（Joint Attention, Symbolic Play, Engagement, and Regulation）在学前课堂中嵌入联合注意和象征性游戏策略，实践研究显示接受JASPER策略培训的教师能在常规小组活动中嵌入更多互动机会，学生与同伴的交往显著增加。</w:t>
      </w:r>
      <w:bookmarkStart w:id="117" w:name="fnref15_3"/>
      <w:bookmarkEnd w:id="117"/>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p>
    <w:p w14:paraId="02B02739">
      <w:pPr>
        <w:numPr>
          <w:ilvl w:val="0"/>
          <w:numId w:val="35"/>
        </w:numPr>
        <w:spacing w:before="105" w:after="105" w:line="360" w:lineRule="auto"/>
      </w:pPr>
      <w:r>
        <w:rPr>
          <w:rFonts w:ascii="inter" w:hAnsi="inter" w:eastAsia="inter" w:cs="inter"/>
          <w:color w:val="000000"/>
          <w:sz w:val="21"/>
        </w:rPr>
        <w:t>优势与局限</w:t>
      </w:r>
    </w:p>
    <w:p w14:paraId="6AB834E5">
      <w:pPr>
        <w:numPr>
          <w:ilvl w:val="0"/>
          <w:numId w:val="36"/>
        </w:numPr>
        <w:spacing w:before="105" w:after="105" w:line="360" w:lineRule="auto"/>
      </w:pPr>
      <w:r>
        <w:rPr>
          <w:rFonts w:ascii="inter" w:hAnsi="inter" w:eastAsia="inter" w:cs="inter"/>
          <w:color w:val="000000"/>
          <w:sz w:val="21"/>
        </w:rPr>
        <w:t>优势：</w:t>
      </w:r>
    </w:p>
    <w:p w14:paraId="2236C751">
      <w:pPr>
        <w:numPr>
          <w:ilvl w:val="1"/>
          <w:numId w:val="36"/>
        </w:numPr>
        <w:spacing w:before="105" w:after="105" w:line="360" w:lineRule="auto"/>
      </w:pPr>
      <w:r>
        <w:rPr>
          <w:rFonts w:ascii="inter" w:hAnsi="inter" w:eastAsia="inter" w:cs="inter"/>
          <w:color w:val="000000"/>
          <w:sz w:val="21"/>
        </w:rPr>
        <w:t>直接作用于“社交参与”维度，是从“个别训练”走向“课堂自然情境”的关键桥梁；</w:t>
      </w:r>
      <w:bookmarkStart w:id="118" w:name="fnref15_4"/>
      <w:bookmarkEnd w:id="118"/>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bookmarkStart w:id="119" w:name="fnref35_4"/>
      <w:bookmarkEnd w:id="119"/>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p>
    <w:p w14:paraId="4D490BEF">
      <w:pPr>
        <w:numPr>
          <w:ilvl w:val="1"/>
          <w:numId w:val="36"/>
        </w:numPr>
        <w:spacing w:before="105" w:after="105" w:line="360" w:lineRule="auto"/>
      </w:pPr>
      <w:r>
        <w:rPr>
          <w:rFonts w:ascii="inter" w:hAnsi="inter" w:eastAsia="inter" w:cs="inter"/>
          <w:color w:val="000000"/>
          <w:sz w:val="21"/>
        </w:rPr>
        <w:t>强调沟通权与关系建立，与WHO所倡导的权利本位和社区本位支持高度契合。</w:t>
      </w:r>
      <w:bookmarkStart w:id="120" w:name="fnref5_3"/>
      <w:bookmarkEnd w:id="120"/>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bookmarkStart w:id="121" w:name="fnref1_4"/>
      <w:bookmarkEnd w:id="121"/>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5CC9F57B">
      <w:pPr>
        <w:numPr>
          <w:ilvl w:val="0"/>
          <w:numId w:val="36"/>
        </w:numPr>
        <w:spacing w:before="105" w:after="105" w:line="360" w:lineRule="auto"/>
      </w:pPr>
      <w:r>
        <w:rPr>
          <w:rFonts w:ascii="inter" w:hAnsi="inter" w:eastAsia="inter" w:cs="inter"/>
          <w:color w:val="000000"/>
          <w:sz w:val="21"/>
        </w:rPr>
        <w:t>潜在局限：</w:t>
      </w:r>
    </w:p>
    <w:p w14:paraId="7BF98B2C">
      <w:pPr>
        <w:numPr>
          <w:ilvl w:val="1"/>
          <w:numId w:val="36"/>
        </w:numPr>
        <w:spacing w:before="105" w:after="105" w:line="360" w:lineRule="auto"/>
      </w:pPr>
      <w:r>
        <w:rPr>
          <w:rFonts w:ascii="inter" w:hAnsi="inter" w:eastAsia="inter" w:cs="inter"/>
          <w:color w:val="000000"/>
          <w:sz w:val="21"/>
        </w:rPr>
        <w:t>受班级文化和同伴态度影响较大，如缺乏全班层面的接纳教育，同伴介入可能流于形式；</w:t>
      </w:r>
    </w:p>
    <w:p w14:paraId="6DDA8452">
      <w:pPr>
        <w:numPr>
          <w:ilvl w:val="1"/>
          <w:numId w:val="36"/>
        </w:numPr>
        <w:spacing w:before="105" w:after="105" w:line="360" w:lineRule="auto"/>
      </w:pPr>
      <w:r>
        <w:rPr>
          <w:rFonts w:ascii="inter" w:hAnsi="inter" w:eastAsia="inter" w:cs="inter"/>
          <w:color w:val="000000"/>
          <w:sz w:val="21"/>
        </w:rPr>
        <w:t>AAC与视频建模等策略对技术和设备有一定依赖，低资源学校推广存在障碍；</w:t>
      </w:r>
    </w:p>
    <w:p w14:paraId="22D87F5C">
      <w:pPr>
        <w:numPr>
          <w:ilvl w:val="1"/>
          <w:numId w:val="36"/>
        </w:numPr>
        <w:spacing w:before="105" w:after="105" w:line="360" w:lineRule="auto"/>
      </w:pPr>
      <w:r>
        <w:rPr>
          <w:rFonts w:ascii="inter" w:hAnsi="inter" w:eastAsia="inter" w:cs="inter"/>
          <w:color w:val="000000"/>
          <w:sz w:val="21"/>
        </w:rPr>
        <w:t>教师需要额外时间设计社交故事、脚本和视频，若缺乏团队支持易造成执行疲劳。</w:t>
      </w:r>
    </w:p>
    <w:p w14:paraId="4024F5CA">
      <w:pPr>
        <w:numPr>
          <w:ilvl w:val="0"/>
          <w:numId w:val="36"/>
        </w:numPr>
        <w:spacing w:before="105" w:after="105" w:line="360" w:lineRule="auto"/>
      </w:pPr>
      <w:r>
        <w:rPr>
          <w:rFonts w:ascii="inter" w:hAnsi="inter" w:eastAsia="inter" w:cs="inter"/>
          <w:color w:val="000000"/>
          <w:sz w:val="21"/>
        </w:rPr>
        <w:t>适用条件：</w:t>
      </w:r>
    </w:p>
    <w:p w14:paraId="0A7F891A">
      <w:pPr>
        <w:numPr>
          <w:ilvl w:val="1"/>
          <w:numId w:val="36"/>
        </w:numPr>
        <w:spacing w:before="105" w:after="105" w:line="360" w:lineRule="auto"/>
      </w:pPr>
      <w:r>
        <w:rPr>
          <w:rFonts w:ascii="inter" w:hAnsi="inter" w:eastAsia="inter" w:cs="inter"/>
          <w:color w:val="000000"/>
          <w:sz w:val="21"/>
        </w:rPr>
        <w:t>适合有潜在同伴互动兴趣但缺乏技能或规则理解的ASD学生；</w:t>
      </w:r>
    </w:p>
    <w:p w14:paraId="5F66B2DD">
      <w:pPr>
        <w:numPr>
          <w:ilvl w:val="1"/>
          <w:numId w:val="36"/>
        </w:numPr>
        <w:spacing w:before="105" w:after="105" w:line="360" w:lineRule="auto"/>
      </w:pPr>
      <w:r>
        <w:rPr>
          <w:rFonts w:ascii="inter" w:hAnsi="inter" w:eastAsia="inter" w:cs="inter"/>
          <w:color w:val="000000"/>
          <w:sz w:val="21"/>
        </w:rPr>
        <w:t>宜与学校的全纳教育宣教、反污名教育结合，营造支持性同伴文化。</w:t>
      </w:r>
      <w:bookmarkStart w:id="122" w:name="fnref39_1"/>
      <w:bookmarkEnd w:id="122"/>
      <w:r>
        <w:fldChar w:fldCharType="begin"/>
      </w:r>
      <w:r>
        <w:instrText xml:space="preserve"> HYPERLINK \l "fn39" \h </w:instrText>
      </w:r>
      <w:r>
        <w:fldChar w:fldCharType="separate"/>
      </w:r>
      <w:r>
        <w:rPr>
          <w:rFonts w:ascii="inter" w:hAnsi="inter" w:eastAsia="inter" w:cs="inter"/>
          <w:color w:val="000000"/>
          <w:sz w:val="21"/>
          <w:u w:val="single"/>
          <w:vertAlign w:val="superscript"/>
        </w:rPr>
        <w:t>[39]</w:t>
      </w:r>
      <w:r>
        <w:rPr>
          <w:rFonts w:ascii="inter" w:hAnsi="inter" w:eastAsia="inter" w:cs="inter"/>
          <w:color w:val="000000"/>
          <w:sz w:val="21"/>
          <w:u w:val="single"/>
          <w:vertAlign w:val="superscript"/>
        </w:rPr>
        <w:fldChar w:fldCharType="end"/>
      </w:r>
      <w:bookmarkStart w:id="123" w:name="fnref40"/>
      <w:bookmarkEnd w:id="123"/>
      <w:r>
        <w:fldChar w:fldCharType="begin"/>
      </w:r>
      <w:r>
        <w:instrText xml:space="preserve"> HYPERLINK \l "fn40" \h </w:instrText>
      </w:r>
      <w:r>
        <w:fldChar w:fldCharType="separate"/>
      </w:r>
      <w:r>
        <w:rPr>
          <w:rFonts w:ascii="inter" w:hAnsi="inter" w:eastAsia="inter" w:cs="inter"/>
          <w:color w:val="000000"/>
          <w:sz w:val="21"/>
          <w:u w:val="single"/>
          <w:vertAlign w:val="superscript"/>
        </w:rPr>
        <w:t>[40]</w:t>
      </w:r>
      <w:r>
        <w:rPr>
          <w:rFonts w:ascii="inter" w:hAnsi="inter" w:eastAsia="inter" w:cs="inter"/>
          <w:color w:val="000000"/>
          <w:sz w:val="21"/>
          <w:u w:val="single"/>
          <w:vertAlign w:val="superscript"/>
        </w:rPr>
        <w:fldChar w:fldCharType="end"/>
      </w:r>
    </w:p>
    <w:p w14:paraId="5122ED1A">
      <w:pPr>
        <w:spacing w:before="315" w:after="105" w:line="360" w:lineRule="auto"/>
        <w:ind w:left="-30"/>
        <w:jc w:val="left"/>
      </w:pPr>
      <w:bookmarkStart w:id="124" w:name="四_通用学习设计_udl_与差异化教学"/>
      <w:r>
        <w:rPr>
          <w:rFonts w:ascii="inter" w:hAnsi="inter" w:eastAsia="inter" w:cs="inter"/>
          <w:b/>
          <w:color w:val="000000"/>
          <w:sz w:val="24"/>
        </w:rPr>
        <w:t>（四）通用学习设计（UDL）与差异化教学</w:t>
      </w:r>
      <w:bookmarkEnd w:id="124"/>
    </w:p>
    <w:p w14:paraId="30309BA1">
      <w:pPr>
        <w:numPr>
          <w:ilvl w:val="0"/>
          <w:numId w:val="37"/>
        </w:numPr>
        <w:spacing w:before="105" w:after="105" w:line="360" w:lineRule="auto"/>
      </w:pPr>
      <w:r>
        <w:rPr>
          <w:rFonts w:ascii="inter" w:hAnsi="inter" w:eastAsia="inter" w:cs="inter"/>
          <w:color w:val="000000"/>
          <w:sz w:val="21"/>
        </w:rPr>
        <w:t>UDL在ASD课堂参与中的应用</w:t>
      </w:r>
    </w:p>
    <w:p w14:paraId="794ACBDC">
      <w:pPr>
        <w:spacing w:after="210" w:line="360" w:lineRule="auto"/>
      </w:pPr>
      <w:r>
        <w:rPr>
          <w:rFonts w:ascii="inter" w:hAnsi="inter" w:eastAsia="inter" w:cs="inter"/>
          <w:color w:val="000000"/>
        </w:rPr>
        <w:t>若从“课程本身是否可及”的角度看待ASD学生低参与，UDL提供了从源头减少障碍的路径。研究与实践指南指出，通过在设计阶段就引入：</w:t>
      </w:r>
    </w:p>
    <w:p w14:paraId="0776A9F2">
      <w:pPr>
        <w:numPr>
          <w:ilvl w:val="0"/>
          <w:numId w:val="38"/>
        </w:numPr>
        <w:spacing w:before="105" w:after="105" w:line="360" w:lineRule="auto"/>
      </w:pPr>
      <w:r>
        <w:rPr>
          <w:rFonts w:ascii="inter" w:hAnsi="inter" w:eastAsia="inter" w:cs="inter"/>
          <w:color w:val="000000"/>
          <w:sz w:val="21"/>
        </w:rPr>
        <w:t>多种表征方式：文字+图像+操作材料+短视频；</w:t>
      </w:r>
    </w:p>
    <w:p w14:paraId="6049169E">
      <w:pPr>
        <w:numPr>
          <w:ilvl w:val="0"/>
          <w:numId w:val="38"/>
        </w:numPr>
        <w:spacing w:before="105" w:after="105" w:line="360" w:lineRule="auto"/>
      </w:pPr>
      <w:r>
        <w:rPr>
          <w:rFonts w:ascii="inter" w:hAnsi="inter" w:eastAsia="inter" w:cs="inter"/>
          <w:color w:val="000000"/>
          <w:sz w:val="21"/>
        </w:rPr>
        <w:t>多种参与方式：个人任务+配对+小组讨论+在线互动；</w:t>
      </w:r>
    </w:p>
    <w:p w14:paraId="7F429FA6">
      <w:pPr>
        <w:numPr>
          <w:ilvl w:val="0"/>
          <w:numId w:val="38"/>
        </w:numPr>
        <w:spacing w:before="105" w:after="105" w:line="360" w:lineRule="auto"/>
      </w:pPr>
      <w:r>
        <w:rPr>
          <w:rFonts w:ascii="inter" w:hAnsi="inter" w:eastAsia="inter" w:cs="inter"/>
          <w:color w:val="000000"/>
          <w:sz w:val="21"/>
        </w:rPr>
        <w:t>多种表达方式：口头汇报+写作+绘画+录音/视频作品，</w:t>
      </w:r>
    </w:p>
    <w:p w14:paraId="0CB3B60B">
      <w:pPr>
        <w:spacing w:after="210" w:line="360" w:lineRule="auto"/>
      </w:pPr>
      <w:r>
        <w:rPr>
          <w:rFonts w:ascii="inter" w:hAnsi="inter" w:eastAsia="inter" w:cs="inter"/>
          <w:color w:val="000000"/>
        </w:rPr>
        <w:t>可显著提升包括ASD在内的多元学生的学习动机与参与度。</w:t>
      </w:r>
      <w:bookmarkStart w:id="125" w:name="fnref31_2"/>
      <w:bookmarkEnd w:id="125"/>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bookmarkStart w:id="126" w:name="fnref32_1"/>
      <w:bookmarkEnd w:id="126"/>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bookmarkStart w:id="127" w:name="fnref28_1"/>
      <w:bookmarkEnd w:id="127"/>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bookmarkStart w:id="128" w:name="fnref29_5"/>
      <w:bookmarkEnd w:id="128"/>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bookmarkStart w:id="129" w:name="fnref30_3"/>
      <w:bookmarkEnd w:id="129"/>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p>
    <w:p w14:paraId="03568779">
      <w:pPr>
        <w:numPr>
          <w:ilvl w:val="0"/>
          <w:numId w:val="39"/>
        </w:numPr>
        <w:spacing w:before="105" w:after="105" w:line="360" w:lineRule="auto"/>
      </w:pPr>
      <w:r>
        <w:rPr>
          <w:rFonts w:ascii="inter" w:hAnsi="inter" w:eastAsia="inter" w:cs="inter"/>
          <w:color w:val="000000"/>
          <w:sz w:val="21"/>
        </w:rPr>
        <w:t>研究证据与政策导向</w:t>
      </w:r>
    </w:p>
    <w:p w14:paraId="66D3A96B">
      <w:pPr>
        <w:numPr>
          <w:ilvl w:val="0"/>
          <w:numId w:val="40"/>
        </w:numPr>
        <w:spacing w:before="105" w:after="105" w:line="360" w:lineRule="auto"/>
      </w:pPr>
      <w:r>
        <w:rPr>
          <w:rFonts w:ascii="inter" w:hAnsi="inter" w:eastAsia="inter" w:cs="inter"/>
          <w:color w:val="000000"/>
          <w:sz w:val="21"/>
        </w:rPr>
        <w:t>UDL干预研究显示，通过多媒体呈现和辅助技术整合，学生在课堂任务中的投入和学习表现普遍提升，ASD及其他学习障碍学生受益尤为明显；</w:t>
      </w:r>
      <w:bookmarkStart w:id="130" w:name="fnref29_6"/>
      <w:bookmarkEnd w:id="130"/>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bookmarkStart w:id="131" w:name="fnref30_4"/>
      <w:bookmarkEnd w:id="131"/>
      <w:r>
        <w:fldChar w:fldCharType="begin"/>
      </w:r>
      <w:r>
        <w:instrText xml:space="preserve"> HYPERLINK \l "fn30" \h </w:instrText>
      </w:r>
      <w:r>
        <w:fldChar w:fldCharType="separate"/>
      </w:r>
      <w:r>
        <w:rPr>
          <w:rFonts w:ascii="inter" w:hAnsi="inter" w:eastAsia="inter" w:cs="inter"/>
          <w:color w:val="000000"/>
          <w:sz w:val="21"/>
          <w:u w:val="single"/>
          <w:vertAlign w:val="superscript"/>
        </w:rPr>
        <w:t>[30]</w:t>
      </w:r>
      <w:r>
        <w:rPr>
          <w:rFonts w:ascii="inter" w:hAnsi="inter" w:eastAsia="inter" w:cs="inter"/>
          <w:color w:val="000000"/>
          <w:sz w:val="21"/>
          <w:u w:val="single"/>
          <w:vertAlign w:val="superscript"/>
        </w:rPr>
        <w:fldChar w:fldCharType="end"/>
      </w:r>
    </w:p>
    <w:p w14:paraId="155A3749">
      <w:pPr>
        <w:numPr>
          <w:ilvl w:val="0"/>
          <w:numId w:val="40"/>
        </w:numPr>
        <w:spacing w:before="105" w:after="105" w:line="360" w:lineRule="auto"/>
      </w:pPr>
      <w:r>
        <w:rPr>
          <w:rFonts w:ascii="inter" w:hAnsi="inter" w:eastAsia="inter" w:cs="inter"/>
          <w:color w:val="000000"/>
          <w:sz w:val="21"/>
        </w:rPr>
        <w:t>对教师和学生的调查表明，大多数人认可UDL有助于提升课堂包容性和学习参与，并建议将UDL融入教师专业发展体系；</w:t>
      </w:r>
      <w:bookmarkStart w:id="132" w:name="fnref32_2"/>
      <w:bookmarkEnd w:id="132"/>
      <w:r>
        <w:fldChar w:fldCharType="begin"/>
      </w:r>
      <w:r>
        <w:instrText xml:space="preserve"> HYPERLINK \l "fn32" \h </w:instrText>
      </w:r>
      <w:r>
        <w:fldChar w:fldCharType="separate"/>
      </w:r>
      <w:r>
        <w:rPr>
          <w:rFonts w:ascii="inter" w:hAnsi="inter" w:eastAsia="inter" w:cs="inter"/>
          <w:color w:val="000000"/>
          <w:sz w:val="21"/>
          <w:u w:val="single"/>
          <w:vertAlign w:val="superscript"/>
        </w:rPr>
        <w:t>[32]</w:t>
      </w:r>
      <w:r>
        <w:rPr>
          <w:rFonts w:ascii="inter" w:hAnsi="inter" w:eastAsia="inter" w:cs="inter"/>
          <w:color w:val="000000"/>
          <w:sz w:val="21"/>
          <w:u w:val="single"/>
          <w:vertAlign w:val="superscript"/>
        </w:rPr>
        <w:fldChar w:fldCharType="end"/>
      </w:r>
      <w:bookmarkStart w:id="133" w:name="fnref31_3"/>
      <w:bookmarkEnd w:id="133"/>
      <w:r>
        <w:fldChar w:fldCharType="begin"/>
      </w:r>
      <w:r>
        <w:instrText xml:space="preserve"> HYPERLINK \l "fn31" \h </w:instrText>
      </w:r>
      <w:r>
        <w:fldChar w:fldCharType="separate"/>
      </w:r>
      <w:r>
        <w:rPr>
          <w:rFonts w:ascii="inter" w:hAnsi="inter" w:eastAsia="inter" w:cs="inter"/>
          <w:color w:val="000000"/>
          <w:sz w:val="21"/>
          <w:u w:val="single"/>
          <w:vertAlign w:val="superscript"/>
        </w:rPr>
        <w:t>[31]</w:t>
      </w:r>
      <w:r>
        <w:rPr>
          <w:rFonts w:ascii="inter" w:hAnsi="inter" w:eastAsia="inter" w:cs="inter"/>
          <w:color w:val="000000"/>
          <w:sz w:val="21"/>
          <w:u w:val="single"/>
          <w:vertAlign w:val="superscript"/>
        </w:rPr>
        <w:fldChar w:fldCharType="end"/>
      </w:r>
    </w:p>
    <w:p w14:paraId="204F7A9C">
      <w:pPr>
        <w:numPr>
          <w:ilvl w:val="0"/>
          <w:numId w:val="40"/>
        </w:numPr>
        <w:spacing w:before="105" w:after="105" w:line="360" w:lineRule="auto"/>
      </w:pPr>
      <w:r>
        <w:rPr>
          <w:rFonts w:ascii="inter" w:hAnsi="inter" w:eastAsia="inter" w:cs="inter"/>
          <w:color w:val="000000"/>
          <w:sz w:val="21"/>
        </w:rPr>
        <w:t>多国特殊教育政策和全纳教育实践指南均将UDL视为支撑融合课堂设计的关键框架，以减少日后大量的“个别化补丁式调整”。</w:t>
      </w:r>
      <w:bookmarkStart w:id="134" w:name="fnref11_1"/>
      <w:bookmarkEnd w:id="134"/>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bookmarkStart w:id="135" w:name="fnref40_1"/>
      <w:bookmarkEnd w:id="135"/>
      <w:r>
        <w:fldChar w:fldCharType="begin"/>
      </w:r>
      <w:r>
        <w:instrText xml:space="preserve"> HYPERLINK \l "fn40" \h </w:instrText>
      </w:r>
      <w:r>
        <w:fldChar w:fldCharType="separate"/>
      </w:r>
      <w:r>
        <w:rPr>
          <w:rFonts w:ascii="inter" w:hAnsi="inter" w:eastAsia="inter" w:cs="inter"/>
          <w:color w:val="000000"/>
          <w:sz w:val="21"/>
          <w:u w:val="single"/>
          <w:vertAlign w:val="superscript"/>
        </w:rPr>
        <w:t>[40]</w:t>
      </w:r>
      <w:r>
        <w:rPr>
          <w:rFonts w:ascii="inter" w:hAnsi="inter" w:eastAsia="inter" w:cs="inter"/>
          <w:color w:val="000000"/>
          <w:sz w:val="21"/>
          <w:u w:val="single"/>
          <w:vertAlign w:val="superscript"/>
        </w:rPr>
        <w:fldChar w:fldCharType="end"/>
      </w:r>
      <w:bookmarkStart w:id="136" w:name="fnref12_1"/>
      <w:bookmarkEnd w:id="136"/>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137" w:name="fnref39_2"/>
      <w:bookmarkEnd w:id="137"/>
      <w:r>
        <w:fldChar w:fldCharType="begin"/>
      </w:r>
      <w:r>
        <w:instrText xml:space="preserve"> HYPERLINK \l "fn39" \h </w:instrText>
      </w:r>
      <w:r>
        <w:fldChar w:fldCharType="separate"/>
      </w:r>
      <w:r>
        <w:rPr>
          <w:rFonts w:ascii="inter" w:hAnsi="inter" w:eastAsia="inter" w:cs="inter"/>
          <w:color w:val="000000"/>
          <w:sz w:val="21"/>
          <w:u w:val="single"/>
          <w:vertAlign w:val="superscript"/>
        </w:rPr>
        <w:t>[39]</w:t>
      </w:r>
      <w:r>
        <w:rPr>
          <w:rFonts w:ascii="inter" w:hAnsi="inter" w:eastAsia="inter" w:cs="inter"/>
          <w:color w:val="000000"/>
          <w:sz w:val="21"/>
          <w:u w:val="single"/>
          <w:vertAlign w:val="superscript"/>
        </w:rPr>
        <w:fldChar w:fldCharType="end"/>
      </w:r>
      <w:bookmarkStart w:id="138" w:name="fnref7_1"/>
      <w:bookmarkEnd w:id="138"/>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02151378">
      <w:pPr>
        <w:numPr>
          <w:ilvl w:val="0"/>
          <w:numId w:val="41"/>
        </w:numPr>
        <w:spacing w:before="105" w:after="105" w:line="360" w:lineRule="auto"/>
      </w:pPr>
      <w:r>
        <w:rPr>
          <w:rFonts w:ascii="inter" w:hAnsi="inter" w:eastAsia="inter" w:cs="inter"/>
          <w:color w:val="000000"/>
          <w:sz w:val="21"/>
        </w:rPr>
        <w:t>优势与局限</w:t>
      </w:r>
    </w:p>
    <w:p w14:paraId="3D92DE6B">
      <w:pPr>
        <w:numPr>
          <w:ilvl w:val="0"/>
          <w:numId w:val="42"/>
        </w:numPr>
        <w:spacing w:before="105" w:after="105" w:line="360" w:lineRule="auto"/>
      </w:pPr>
      <w:r>
        <w:rPr>
          <w:rFonts w:ascii="inter" w:hAnsi="inter" w:eastAsia="inter" w:cs="inter"/>
          <w:color w:val="000000"/>
          <w:sz w:val="21"/>
        </w:rPr>
        <w:t>优势：</w:t>
      </w:r>
    </w:p>
    <w:p w14:paraId="7059D21B">
      <w:pPr>
        <w:numPr>
          <w:ilvl w:val="1"/>
          <w:numId w:val="42"/>
        </w:numPr>
        <w:spacing w:before="105" w:after="105" w:line="360" w:lineRule="auto"/>
      </w:pPr>
      <w:r>
        <w:rPr>
          <w:rFonts w:ascii="inter" w:hAnsi="inter" w:eastAsia="inter" w:cs="inter"/>
          <w:color w:val="000000"/>
          <w:sz w:val="21"/>
        </w:rPr>
        <w:t>从“系统设计”层面消减障碍，减少对个别学生“标签化”的支持方式；</w:t>
      </w:r>
    </w:p>
    <w:p w14:paraId="0FA75FD2">
      <w:pPr>
        <w:numPr>
          <w:ilvl w:val="1"/>
          <w:numId w:val="42"/>
        </w:numPr>
        <w:spacing w:before="105" w:after="105" w:line="360" w:lineRule="auto"/>
      </w:pPr>
      <w:r>
        <w:rPr>
          <w:rFonts w:ascii="inter" w:hAnsi="inter" w:eastAsia="inter" w:cs="inter"/>
          <w:color w:val="000000"/>
          <w:sz w:val="21"/>
        </w:rPr>
        <w:t>有利于实现SDG4中“为所有人提供包容和公平的优质教育”的目标，因为其强调“一开始就为多样性设计”；</w:t>
      </w:r>
      <w:bookmarkStart w:id="139" w:name="fnref30_5"/>
      <w:bookmarkEnd w:id="139"/>
      <w:r>
        <w:fldChar w:fldCharType="begin"/>
      </w:r>
      <w:r>
        <w:instrText xml:space="preserve"> HYPERLINK \l "fn30" \h </w:instrText>
      </w:r>
      <w:r>
        <w:fldChar w:fldCharType="separate"/>
      </w:r>
      <w:r>
        <w:rPr>
          <w:rFonts w:ascii="inter" w:hAnsi="inter" w:eastAsia="inter" w:cs="inter"/>
          <w:color w:val="000000"/>
          <w:sz w:val="21"/>
          <w:u w:val="single"/>
          <w:vertAlign w:val="superscript"/>
        </w:rPr>
        <w:t>[30]</w:t>
      </w:r>
      <w:r>
        <w:rPr>
          <w:rFonts w:ascii="inter" w:hAnsi="inter" w:eastAsia="inter" w:cs="inter"/>
          <w:color w:val="000000"/>
          <w:sz w:val="21"/>
          <w:u w:val="single"/>
          <w:vertAlign w:val="superscript"/>
        </w:rPr>
        <w:fldChar w:fldCharType="end"/>
      </w:r>
      <w:bookmarkStart w:id="140" w:name="fnref32_3"/>
      <w:bookmarkEnd w:id="140"/>
      <w:r>
        <w:fldChar w:fldCharType="begin"/>
      </w:r>
      <w:r>
        <w:instrText xml:space="preserve"> HYPERLINK \l "fn32" \h </w:instrText>
      </w:r>
      <w:r>
        <w:fldChar w:fldCharType="separate"/>
      </w:r>
      <w:r>
        <w:rPr>
          <w:rFonts w:ascii="inter" w:hAnsi="inter" w:eastAsia="inter" w:cs="inter"/>
          <w:color w:val="000000"/>
          <w:sz w:val="21"/>
          <w:u w:val="single"/>
          <w:vertAlign w:val="superscript"/>
        </w:rPr>
        <w:t>[32]</w:t>
      </w:r>
      <w:r>
        <w:rPr>
          <w:rFonts w:ascii="inter" w:hAnsi="inter" w:eastAsia="inter" w:cs="inter"/>
          <w:color w:val="000000"/>
          <w:sz w:val="21"/>
          <w:u w:val="single"/>
          <w:vertAlign w:val="superscript"/>
        </w:rPr>
        <w:fldChar w:fldCharType="end"/>
      </w:r>
    </w:p>
    <w:p w14:paraId="664040B1">
      <w:pPr>
        <w:numPr>
          <w:ilvl w:val="1"/>
          <w:numId w:val="42"/>
        </w:numPr>
        <w:spacing w:before="105" w:after="105" w:line="360" w:lineRule="auto"/>
      </w:pPr>
      <w:r>
        <w:rPr>
          <w:rFonts w:ascii="inter" w:hAnsi="inter" w:eastAsia="inter" w:cs="inter"/>
          <w:color w:val="000000"/>
          <w:sz w:val="21"/>
        </w:rPr>
        <w:t>与结构化教学、AT和社交支持高度兼容。</w:t>
      </w:r>
    </w:p>
    <w:p w14:paraId="239F058D">
      <w:pPr>
        <w:numPr>
          <w:ilvl w:val="0"/>
          <w:numId w:val="42"/>
        </w:numPr>
        <w:spacing w:before="105" w:after="105" w:line="360" w:lineRule="auto"/>
      </w:pPr>
      <w:r>
        <w:rPr>
          <w:rFonts w:ascii="inter" w:hAnsi="inter" w:eastAsia="inter" w:cs="inter"/>
          <w:color w:val="000000"/>
          <w:sz w:val="21"/>
        </w:rPr>
        <w:t>潜在局限：</w:t>
      </w:r>
    </w:p>
    <w:p w14:paraId="412FD3A1">
      <w:pPr>
        <w:numPr>
          <w:ilvl w:val="1"/>
          <w:numId w:val="42"/>
        </w:numPr>
        <w:spacing w:before="105" w:after="105" w:line="360" w:lineRule="auto"/>
      </w:pPr>
      <w:r>
        <w:rPr>
          <w:rFonts w:ascii="inter" w:hAnsi="inter" w:eastAsia="inter" w:cs="inter"/>
          <w:color w:val="000000"/>
          <w:sz w:val="21"/>
        </w:rPr>
        <w:t>对教师备课时间与课程开发能力要求较高，欠缺制度与资源支持时难以长期坚持；</w:t>
      </w:r>
      <w:bookmarkStart w:id="141" w:name="fnref29_7"/>
      <w:bookmarkEnd w:id="141"/>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p>
    <w:p w14:paraId="30478CFE">
      <w:pPr>
        <w:numPr>
          <w:ilvl w:val="1"/>
          <w:numId w:val="42"/>
        </w:numPr>
        <w:spacing w:before="105" w:after="105" w:line="360" w:lineRule="auto"/>
      </w:pPr>
      <w:r>
        <w:rPr>
          <w:rFonts w:ascii="inter" w:hAnsi="inter" w:eastAsia="inter" w:cs="inter"/>
          <w:color w:val="000000"/>
          <w:sz w:val="21"/>
        </w:rPr>
        <w:t>当前大部分研究集中于小规模试点和特定学科，跨学科、跨学段的证据仍需深化。</w:t>
      </w:r>
      <w:bookmarkStart w:id="142" w:name="fnref30_6"/>
      <w:bookmarkEnd w:id="142"/>
      <w:r>
        <w:fldChar w:fldCharType="begin"/>
      </w:r>
      <w:r>
        <w:instrText xml:space="preserve"> HYPERLINK \l "fn30" \h </w:instrText>
      </w:r>
      <w:r>
        <w:fldChar w:fldCharType="separate"/>
      </w:r>
      <w:r>
        <w:rPr>
          <w:rFonts w:ascii="inter" w:hAnsi="inter" w:eastAsia="inter" w:cs="inter"/>
          <w:color w:val="000000"/>
          <w:sz w:val="21"/>
          <w:u w:val="single"/>
          <w:vertAlign w:val="superscript"/>
        </w:rPr>
        <w:t>[30]</w:t>
      </w:r>
      <w:r>
        <w:rPr>
          <w:rFonts w:ascii="inter" w:hAnsi="inter" w:eastAsia="inter" w:cs="inter"/>
          <w:color w:val="000000"/>
          <w:sz w:val="21"/>
          <w:u w:val="single"/>
          <w:vertAlign w:val="superscript"/>
        </w:rPr>
        <w:fldChar w:fldCharType="end"/>
      </w:r>
    </w:p>
    <w:p w14:paraId="5BE34A83">
      <w:pPr>
        <w:numPr>
          <w:ilvl w:val="0"/>
          <w:numId w:val="42"/>
        </w:numPr>
        <w:spacing w:before="105" w:after="105" w:line="360" w:lineRule="auto"/>
      </w:pPr>
      <w:r>
        <w:rPr>
          <w:rFonts w:ascii="inter" w:hAnsi="inter" w:eastAsia="inter" w:cs="inter"/>
          <w:color w:val="000000"/>
          <w:sz w:val="21"/>
        </w:rPr>
        <w:t>适用条件：</w:t>
      </w:r>
    </w:p>
    <w:p w14:paraId="623D9714">
      <w:pPr>
        <w:numPr>
          <w:ilvl w:val="1"/>
          <w:numId w:val="42"/>
        </w:numPr>
        <w:spacing w:before="105" w:after="105" w:line="360" w:lineRule="auto"/>
      </w:pPr>
      <w:r>
        <w:rPr>
          <w:rFonts w:ascii="inter" w:hAnsi="inter" w:eastAsia="inter" w:cs="inter"/>
          <w:color w:val="000000"/>
          <w:sz w:val="21"/>
        </w:rPr>
        <w:t>适用于希望整体提升班级参与度的普通课堂，特别是随班就读ASD学生比例较高或学生差异性显著的班级；</w:t>
      </w:r>
    </w:p>
    <w:p w14:paraId="3B0F18AD">
      <w:pPr>
        <w:numPr>
          <w:ilvl w:val="1"/>
          <w:numId w:val="42"/>
        </w:numPr>
        <w:spacing w:before="105" w:after="105" w:line="360" w:lineRule="auto"/>
      </w:pPr>
      <w:r>
        <w:rPr>
          <w:rFonts w:ascii="inter" w:hAnsi="inter" w:eastAsia="inter" w:cs="inter"/>
          <w:color w:val="000000"/>
          <w:sz w:val="21"/>
        </w:rPr>
        <w:t>需要与学校层面的课程领导、教研和教师培训体系结合，而非单一教师“孤立实验”。</w:t>
      </w:r>
    </w:p>
    <w:p w14:paraId="47917B1E">
      <w:pPr>
        <w:spacing w:before="315" w:after="105" w:line="360" w:lineRule="auto"/>
        <w:ind w:left="-30"/>
        <w:jc w:val="left"/>
      </w:pPr>
      <w:bookmarkStart w:id="143" w:name="五_辅助技术与感官环境支持"/>
      <w:r>
        <w:rPr>
          <w:rFonts w:ascii="inter" w:hAnsi="inter" w:eastAsia="inter" w:cs="inter"/>
          <w:b/>
          <w:color w:val="000000"/>
          <w:sz w:val="24"/>
        </w:rPr>
        <w:t>（五）辅助技术与感官环境支持</w:t>
      </w:r>
      <w:bookmarkEnd w:id="143"/>
    </w:p>
    <w:p w14:paraId="267D639A">
      <w:pPr>
        <w:numPr>
          <w:ilvl w:val="0"/>
          <w:numId w:val="43"/>
        </w:numPr>
        <w:spacing w:before="105" w:after="105" w:line="360" w:lineRule="auto"/>
      </w:pPr>
      <w:r>
        <w:rPr>
          <w:rFonts w:ascii="inter" w:hAnsi="inter" w:eastAsia="inter" w:cs="inter"/>
          <w:color w:val="000000"/>
          <w:sz w:val="21"/>
        </w:rPr>
        <w:t>辅助技术（AT）的参与促进作用</w:t>
      </w:r>
    </w:p>
    <w:p w14:paraId="6F2E6F44">
      <w:pPr>
        <w:spacing w:after="210" w:line="360" w:lineRule="auto"/>
      </w:pPr>
      <w:r>
        <w:rPr>
          <w:rFonts w:ascii="inter" w:hAnsi="inter" w:eastAsia="inter" w:cs="inter"/>
          <w:color w:val="000000"/>
        </w:rPr>
        <w:t>系统综述和实践报告指出，辅助技术在提升ASD学生课堂参与方面具有多重功能：</w:t>
      </w:r>
    </w:p>
    <w:p w14:paraId="58EBF5F7">
      <w:pPr>
        <w:numPr>
          <w:ilvl w:val="0"/>
          <w:numId w:val="44"/>
        </w:numPr>
        <w:spacing w:before="105" w:after="105" w:line="360" w:lineRule="auto"/>
      </w:pPr>
      <w:r>
        <w:rPr>
          <w:rFonts w:ascii="inter" w:hAnsi="inter" w:eastAsia="inter" w:cs="inter"/>
          <w:color w:val="000000"/>
          <w:sz w:val="21"/>
        </w:rPr>
        <w:t>沟通支持：AAC设备、语音生成设备、平板沟通应用帮助非口语或语言受限学生参与课堂提问、讨论和表达观点；</w:t>
      </w:r>
      <w:bookmarkStart w:id="144" w:name="fnref33_1"/>
      <w:bookmarkEnd w:id="144"/>
      <w:r>
        <w:fldChar w:fldCharType="begin"/>
      </w:r>
      <w:r>
        <w:instrText xml:space="preserve"> HYPERLINK \l "fn33" \h </w:instrText>
      </w:r>
      <w:r>
        <w:fldChar w:fldCharType="separate"/>
      </w:r>
      <w:r>
        <w:rPr>
          <w:rFonts w:ascii="inter" w:hAnsi="inter" w:eastAsia="inter" w:cs="inter"/>
          <w:color w:val="000000"/>
          <w:sz w:val="21"/>
          <w:u w:val="single"/>
          <w:vertAlign w:val="superscript"/>
        </w:rPr>
        <w:t>[33]</w:t>
      </w:r>
      <w:r>
        <w:rPr>
          <w:rFonts w:ascii="inter" w:hAnsi="inter" w:eastAsia="inter" w:cs="inter"/>
          <w:color w:val="000000"/>
          <w:sz w:val="21"/>
          <w:u w:val="single"/>
          <w:vertAlign w:val="superscript"/>
        </w:rPr>
        <w:fldChar w:fldCharType="end"/>
      </w:r>
      <w:bookmarkStart w:id="145" w:name="fnref34_1"/>
      <w:bookmarkEnd w:id="145"/>
      <w:r>
        <w:fldChar w:fldCharType="begin"/>
      </w:r>
      <w:r>
        <w:instrText xml:space="preserve"> HYPERLINK \l "fn34" \h </w:instrText>
      </w:r>
      <w:r>
        <w:fldChar w:fldCharType="separate"/>
      </w:r>
      <w:r>
        <w:rPr>
          <w:rFonts w:ascii="inter" w:hAnsi="inter" w:eastAsia="inter" w:cs="inter"/>
          <w:color w:val="000000"/>
          <w:sz w:val="21"/>
          <w:u w:val="single"/>
          <w:vertAlign w:val="superscript"/>
        </w:rPr>
        <w:t>[34]</w:t>
      </w:r>
      <w:r>
        <w:rPr>
          <w:rFonts w:ascii="inter" w:hAnsi="inter" w:eastAsia="inter" w:cs="inter"/>
          <w:color w:val="000000"/>
          <w:sz w:val="21"/>
          <w:u w:val="single"/>
          <w:vertAlign w:val="superscript"/>
        </w:rPr>
        <w:fldChar w:fldCharType="end"/>
      </w:r>
      <w:bookmarkStart w:id="146" w:name="fnref22_2"/>
      <w:bookmarkEnd w:id="146"/>
      <w:r>
        <w:fldChar w:fldCharType="begin"/>
      </w:r>
      <w:r>
        <w:instrText xml:space="preserve"> HYPERLINK \l "fn22" \h </w:instrText>
      </w:r>
      <w:r>
        <w:fldChar w:fldCharType="separate"/>
      </w:r>
      <w:r>
        <w:rPr>
          <w:rFonts w:ascii="inter" w:hAnsi="inter" w:eastAsia="inter" w:cs="inter"/>
          <w:color w:val="000000"/>
          <w:sz w:val="21"/>
          <w:u w:val="single"/>
          <w:vertAlign w:val="superscript"/>
        </w:rPr>
        <w:t>[22]</w:t>
      </w:r>
      <w:r>
        <w:rPr>
          <w:rFonts w:ascii="inter" w:hAnsi="inter" w:eastAsia="inter" w:cs="inter"/>
          <w:color w:val="000000"/>
          <w:sz w:val="21"/>
          <w:u w:val="single"/>
          <w:vertAlign w:val="superscript"/>
        </w:rPr>
        <w:fldChar w:fldCharType="end"/>
      </w:r>
      <w:bookmarkStart w:id="147" w:name="fnref21_3"/>
      <w:bookmarkEnd w:id="147"/>
      <w:r>
        <w:fldChar w:fldCharType="begin"/>
      </w:r>
      <w:r>
        <w:instrText xml:space="preserve"> HYPERLINK \l "fn21" \h </w:instrText>
      </w:r>
      <w:r>
        <w:fldChar w:fldCharType="separate"/>
      </w:r>
      <w:r>
        <w:rPr>
          <w:rFonts w:ascii="inter" w:hAnsi="inter" w:eastAsia="inter" w:cs="inter"/>
          <w:color w:val="000000"/>
          <w:sz w:val="21"/>
          <w:u w:val="single"/>
          <w:vertAlign w:val="superscript"/>
        </w:rPr>
        <w:t>[21]</w:t>
      </w:r>
      <w:r>
        <w:rPr>
          <w:rFonts w:ascii="inter" w:hAnsi="inter" w:eastAsia="inter" w:cs="inter"/>
          <w:color w:val="000000"/>
          <w:sz w:val="21"/>
          <w:u w:val="single"/>
          <w:vertAlign w:val="superscript"/>
        </w:rPr>
        <w:fldChar w:fldCharType="end"/>
      </w:r>
      <w:bookmarkStart w:id="148" w:name="fnref23_3"/>
      <w:bookmarkEnd w:id="148"/>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p>
    <w:p w14:paraId="58A54D3E">
      <w:pPr>
        <w:numPr>
          <w:ilvl w:val="0"/>
          <w:numId w:val="44"/>
        </w:numPr>
        <w:spacing w:before="105" w:after="105" w:line="360" w:lineRule="auto"/>
      </w:pPr>
      <w:r>
        <w:rPr>
          <w:rFonts w:ascii="inter" w:hAnsi="inter" w:eastAsia="inter" w:cs="inter"/>
          <w:color w:val="000000"/>
          <w:sz w:val="21"/>
        </w:rPr>
        <w:t>学习组织与注意调节：计时器、任务管理应用、视觉提醒工具帮助学生理解任务长度和结构，减少因时间感缺失引发的焦虑；</w:t>
      </w:r>
      <w:bookmarkStart w:id="149" w:name="fnref22_3"/>
      <w:bookmarkEnd w:id="149"/>
      <w:r>
        <w:fldChar w:fldCharType="begin"/>
      </w:r>
      <w:r>
        <w:instrText xml:space="preserve"> HYPERLINK \l "fn22" \h </w:instrText>
      </w:r>
      <w:r>
        <w:fldChar w:fldCharType="separate"/>
      </w:r>
      <w:r>
        <w:rPr>
          <w:rFonts w:ascii="inter" w:hAnsi="inter" w:eastAsia="inter" w:cs="inter"/>
          <w:color w:val="000000"/>
          <w:sz w:val="21"/>
          <w:u w:val="single"/>
          <w:vertAlign w:val="superscript"/>
        </w:rPr>
        <w:t>[22]</w:t>
      </w:r>
      <w:r>
        <w:rPr>
          <w:rFonts w:ascii="inter" w:hAnsi="inter" w:eastAsia="inter" w:cs="inter"/>
          <w:color w:val="000000"/>
          <w:sz w:val="21"/>
          <w:u w:val="single"/>
          <w:vertAlign w:val="superscript"/>
        </w:rPr>
        <w:fldChar w:fldCharType="end"/>
      </w:r>
      <w:bookmarkStart w:id="150" w:name="fnref21_4"/>
      <w:bookmarkEnd w:id="150"/>
      <w:r>
        <w:fldChar w:fldCharType="begin"/>
      </w:r>
      <w:r>
        <w:instrText xml:space="preserve"> HYPERLINK \l "fn21" \h </w:instrText>
      </w:r>
      <w:r>
        <w:fldChar w:fldCharType="separate"/>
      </w:r>
      <w:r>
        <w:rPr>
          <w:rFonts w:ascii="inter" w:hAnsi="inter" w:eastAsia="inter" w:cs="inter"/>
          <w:color w:val="000000"/>
          <w:sz w:val="21"/>
          <w:u w:val="single"/>
          <w:vertAlign w:val="superscript"/>
        </w:rPr>
        <w:t>[21]</w:t>
      </w:r>
      <w:r>
        <w:rPr>
          <w:rFonts w:ascii="inter" w:hAnsi="inter" w:eastAsia="inter" w:cs="inter"/>
          <w:color w:val="000000"/>
          <w:sz w:val="21"/>
          <w:u w:val="single"/>
          <w:vertAlign w:val="superscript"/>
        </w:rPr>
        <w:fldChar w:fldCharType="end"/>
      </w:r>
      <w:bookmarkStart w:id="151" w:name="fnref29_8"/>
      <w:bookmarkEnd w:id="151"/>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p>
    <w:p w14:paraId="7DC07598">
      <w:pPr>
        <w:numPr>
          <w:ilvl w:val="0"/>
          <w:numId w:val="44"/>
        </w:numPr>
        <w:spacing w:before="105" w:after="105" w:line="360" w:lineRule="auto"/>
      </w:pPr>
      <w:r>
        <w:rPr>
          <w:rFonts w:ascii="inter" w:hAnsi="inter" w:eastAsia="inter" w:cs="inter"/>
          <w:color w:val="000000"/>
          <w:sz w:val="21"/>
        </w:rPr>
        <w:t>社会互动媒介：社会辅助机器人（Socially Assistive Robots, SARs）在某些研究中被发现能提高ASD儿童在互动任务中的语言产出与注视频率，并促成与同伴的更多互动。</w:t>
      </w:r>
      <w:bookmarkStart w:id="152" w:name="fnref22_4"/>
      <w:bookmarkEnd w:id="152"/>
      <w:r>
        <w:fldChar w:fldCharType="begin"/>
      </w:r>
      <w:r>
        <w:instrText xml:space="preserve"> HYPERLINK \l "fn22" \h </w:instrText>
      </w:r>
      <w:r>
        <w:fldChar w:fldCharType="separate"/>
      </w:r>
      <w:r>
        <w:rPr>
          <w:rFonts w:ascii="inter" w:hAnsi="inter" w:eastAsia="inter" w:cs="inter"/>
          <w:color w:val="000000"/>
          <w:sz w:val="21"/>
          <w:u w:val="single"/>
          <w:vertAlign w:val="superscript"/>
        </w:rPr>
        <w:t>[22]</w:t>
      </w:r>
      <w:r>
        <w:rPr>
          <w:rFonts w:ascii="inter" w:hAnsi="inter" w:eastAsia="inter" w:cs="inter"/>
          <w:color w:val="000000"/>
          <w:sz w:val="21"/>
          <w:u w:val="single"/>
          <w:vertAlign w:val="superscript"/>
        </w:rPr>
        <w:fldChar w:fldCharType="end"/>
      </w:r>
    </w:p>
    <w:p w14:paraId="0CF1DE93">
      <w:pPr>
        <w:numPr>
          <w:ilvl w:val="0"/>
          <w:numId w:val="45"/>
        </w:numPr>
        <w:spacing w:before="105" w:after="105" w:line="360" w:lineRule="auto"/>
      </w:pPr>
      <w:r>
        <w:rPr>
          <w:rFonts w:ascii="inter" w:hAnsi="inter" w:eastAsia="inter" w:cs="inter"/>
          <w:color w:val="000000"/>
          <w:sz w:val="21"/>
        </w:rPr>
        <w:t>感官友好环境与灵活座位</w:t>
      </w:r>
    </w:p>
    <w:p w14:paraId="360415CF">
      <w:pPr>
        <w:spacing w:after="210" w:line="360" w:lineRule="auto"/>
      </w:pPr>
      <w:r>
        <w:rPr>
          <w:rFonts w:ascii="inter" w:hAnsi="inter" w:eastAsia="inter" w:cs="inter"/>
          <w:color w:val="000000"/>
        </w:rPr>
        <w:t>据多项教育实践总结，设置安静角、感官休息区、提供减噪耳机、不同形式的座椅（如摇摆椅、坐垫、站立桌），有助于ASD学生自我调节，减少因感官过载导致的退缩和问题行为，从而间接提升课堂参与持续性。</w:t>
      </w:r>
      <w:bookmarkStart w:id="153" w:name="fnref41"/>
      <w:bookmarkEnd w:id="153"/>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bookmarkStart w:id="154" w:name="fnref38_1"/>
      <w:bookmarkEnd w:id="154"/>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bookmarkStart w:id="155" w:name="fnref16_3"/>
      <w:bookmarkEnd w:id="155"/>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bookmarkStart w:id="156" w:name="fnref37_3"/>
      <w:bookmarkEnd w:id="156"/>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bookmarkStart w:id="157" w:name="fnref29_9"/>
      <w:bookmarkEnd w:id="157"/>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p>
    <w:p w14:paraId="025DCCF5">
      <w:pPr>
        <w:numPr>
          <w:ilvl w:val="0"/>
          <w:numId w:val="46"/>
        </w:numPr>
        <w:spacing w:before="105" w:after="105" w:line="360" w:lineRule="auto"/>
      </w:pPr>
      <w:r>
        <w:rPr>
          <w:rFonts w:ascii="inter" w:hAnsi="inter" w:eastAsia="inter" w:cs="inter"/>
          <w:color w:val="000000"/>
          <w:sz w:val="21"/>
        </w:rPr>
        <w:t>优势与局限</w:t>
      </w:r>
    </w:p>
    <w:p w14:paraId="32D71A34">
      <w:pPr>
        <w:numPr>
          <w:ilvl w:val="0"/>
          <w:numId w:val="47"/>
        </w:numPr>
        <w:spacing w:before="105" w:after="105" w:line="360" w:lineRule="auto"/>
      </w:pPr>
      <w:r>
        <w:rPr>
          <w:rFonts w:ascii="inter" w:hAnsi="inter" w:eastAsia="inter" w:cs="inter"/>
          <w:color w:val="000000"/>
          <w:sz w:val="21"/>
        </w:rPr>
        <w:t>优势：</w:t>
      </w:r>
    </w:p>
    <w:p w14:paraId="62186BCE">
      <w:pPr>
        <w:numPr>
          <w:ilvl w:val="1"/>
          <w:numId w:val="47"/>
        </w:numPr>
        <w:spacing w:before="105" w:after="105" w:line="360" w:lineRule="auto"/>
      </w:pPr>
      <w:r>
        <w:rPr>
          <w:rFonts w:ascii="inter" w:hAnsi="inter" w:eastAsia="inter" w:cs="inter"/>
          <w:color w:val="000000"/>
          <w:sz w:val="21"/>
        </w:rPr>
        <w:t>能显著降低沟通和感官障碍所致的参与门槛，使一些原本“沉默”或“被动”的学生能够以替代方式参与活动；</w:t>
      </w:r>
      <w:bookmarkStart w:id="158" w:name="fnref34_2"/>
      <w:bookmarkEnd w:id="158"/>
      <w:r>
        <w:fldChar w:fldCharType="begin"/>
      </w:r>
      <w:r>
        <w:instrText xml:space="preserve"> HYPERLINK \l "fn34" \h </w:instrText>
      </w:r>
      <w:r>
        <w:fldChar w:fldCharType="separate"/>
      </w:r>
      <w:r>
        <w:rPr>
          <w:rFonts w:ascii="inter" w:hAnsi="inter" w:eastAsia="inter" w:cs="inter"/>
          <w:color w:val="000000"/>
          <w:sz w:val="21"/>
          <w:u w:val="single"/>
          <w:vertAlign w:val="superscript"/>
        </w:rPr>
        <w:t>[34]</w:t>
      </w:r>
      <w:r>
        <w:rPr>
          <w:rFonts w:ascii="inter" w:hAnsi="inter" w:eastAsia="inter" w:cs="inter"/>
          <w:color w:val="000000"/>
          <w:sz w:val="21"/>
          <w:u w:val="single"/>
          <w:vertAlign w:val="superscript"/>
        </w:rPr>
        <w:fldChar w:fldCharType="end"/>
      </w:r>
      <w:bookmarkStart w:id="159" w:name="fnref21_5"/>
      <w:bookmarkEnd w:id="159"/>
      <w:r>
        <w:fldChar w:fldCharType="begin"/>
      </w:r>
      <w:r>
        <w:instrText xml:space="preserve"> HYPERLINK \l "fn21" \h </w:instrText>
      </w:r>
      <w:r>
        <w:fldChar w:fldCharType="separate"/>
      </w:r>
      <w:r>
        <w:rPr>
          <w:rFonts w:ascii="inter" w:hAnsi="inter" w:eastAsia="inter" w:cs="inter"/>
          <w:color w:val="000000"/>
          <w:sz w:val="21"/>
          <w:u w:val="single"/>
          <w:vertAlign w:val="superscript"/>
        </w:rPr>
        <w:t>[21]</w:t>
      </w:r>
      <w:r>
        <w:rPr>
          <w:rFonts w:ascii="inter" w:hAnsi="inter" w:eastAsia="inter" w:cs="inter"/>
          <w:color w:val="000000"/>
          <w:sz w:val="21"/>
          <w:u w:val="single"/>
          <w:vertAlign w:val="superscript"/>
        </w:rPr>
        <w:fldChar w:fldCharType="end"/>
      </w:r>
      <w:bookmarkStart w:id="160" w:name="fnref33_2"/>
      <w:bookmarkEnd w:id="160"/>
      <w:r>
        <w:fldChar w:fldCharType="begin"/>
      </w:r>
      <w:r>
        <w:instrText xml:space="preserve"> HYPERLINK \l "fn33" \h </w:instrText>
      </w:r>
      <w:r>
        <w:fldChar w:fldCharType="separate"/>
      </w:r>
      <w:r>
        <w:rPr>
          <w:rFonts w:ascii="inter" w:hAnsi="inter" w:eastAsia="inter" w:cs="inter"/>
          <w:color w:val="000000"/>
          <w:sz w:val="21"/>
          <w:u w:val="single"/>
          <w:vertAlign w:val="superscript"/>
        </w:rPr>
        <w:t>[33]</w:t>
      </w:r>
      <w:r>
        <w:rPr>
          <w:rFonts w:ascii="inter" w:hAnsi="inter" w:eastAsia="inter" w:cs="inter"/>
          <w:color w:val="000000"/>
          <w:sz w:val="21"/>
          <w:u w:val="single"/>
          <w:vertAlign w:val="superscript"/>
        </w:rPr>
        <w:fldChar w:fldCharType="end"/>
      </w:r>
      <w:bookmarkStart w:id="161" w:name="fnref23_4"/>
      <w:bookmarkEnd w:id="161"/>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bookmarkStart w:id="162" w:name="fnref22_5"/>
      <w:bookmarkEnd w:id="162"/>
      <w:r>
        <w:fldChar w:fldCharType="begin"/>
      </w:r>
      <w:r>
        <w:instrText xml:space="preserve"> HYPERLINK \l "fn22" \h </w:instrText>
      </w:r>
      <w:r>
        <w:fldChar w:fldCharType="separate"/>
      </w:r>
      <w:r>
        <w:rPr>
          <w:rFonts w:ascii="inter" w:hAnsi="inter" w:eastAsia="inter" w:cs="inter"/>
          <w:color w:val="000000"/>
          <w:sz w:val="21"/>
          <w:u w:val="single"/>
          <w:vertAlign w:val="superscript"/>
        </w:rPr>
        <w:t>[22]</w:t>
      </w:r>
      <w:r>
        <w:rPr>
          <w:rFonts w:ascii="inter" w:hAnsi="inter" w:eastAsia="inter" w:cs="inter"/>
          <w:color w:val="000000"/>
          <w:sz w:val="21"/>
          <w:u w:val="single"/>
          <w:vertAlign w:val="superscript"/>
        </w:rPr>
        <w:fldChar w:fldCharType="end"/>
      </w:r>
    </w:p>
    <w:p w14:paraId="18D78F62">
      <w:pPr>
        <w:numPr>
          <w:ilvl w:val="1"/>
          <w:numId w:val="47"/>
        </w:numPr>
        <w:spacing w:before="105" w:after="105" w:line="360" w:lineRule="auto"/>
      </w:pPr>
      <w:r>
        <w:rPr>
          <w:rFonts w:ascii="inter" w:hAnsi="inter" w:eastAsia="inter" w:cs="inter"/>
          <w:color w:val="000000"/>
          <w:sz w:val="21"/>
        </w:rPr>
        <w:t>某些低技术AT（视觉卡片、计时器、任务板）成本低，易于推广。</w:t>
      </w:r>
    </w:p>
    <w:p w14:paraId="49E4F4C4">
      <w:pPr>
        <w:numPr>
          <w:ilvl w:val="0"/>
          <w:numId w:val="47"/>
        </w:numPr>
        <w:spacing w:before="105" w:after="105" w:line="360" w:lineRule="auto"/>
      </w:pPr>
      <w:r>
        <w:rPr>
          <w:rFonts w:ascii="inter" w:hAnsi="inter" w:eastAsia="inter" w:cs="inter"/>
          <w:color w:val="000000"/>
          <w:sz w:val="21"/>
        </w:rPr>
        <w:t>潜在局限：</w:t>
      </w:r>
    </w:p>
    <w:p w14:paraId="7B11B49F">
      <w:pPr>
        <w:numPr>
          <w:ilvl w:val="1"/>
          <w:numId w:val="47"/>
        </w:numPr>
        <w:spacing w:before="105" w:after="105" w:line="360" w:lineRule="auto"/>
      </w:pPr>
      <w:r>
        <w:rPr>
          <w:rFonts w:ascii="inter" w:hAnsi="inter" w:eastAsia="inter" w:cs="inter"/>
          <w:color w:val="000000"/>
          <w:sz w:val="21"/>
        </w:rPr>
        <w:t>高技术设备成本和维护需求较大，对资源有限学校是重要制约因素；</w:t>
      </w:r>
    </w:p>
    <w:p w14:paraId="56275B4C">
      <w:pPr>
        <w:numPr>
          <w:ilvl w:val="1"/>
          <w:numId w:val="47"/>
        </w:numPr>
        <w:spacing w:before="105" w:after="105" w:line="360" w:lineRule="auto"/>
      </w:pPr>
      <w:r>
        <w:rPr>
          <w:rFonts w:ascii="inter" w:hAnsi="inter" w:eastAsia="inter" w:cs="inter"/>
          <w:color w:val="000000"/>
          <w:sz w:val="21"/>
        </w:rPr>
        <w:t>若设计和管理不当，平板等设备可能成为学生逃避课堂任务或沉迷单一兴趣的工具，需要结合行为策略加以规范使用；</w:t>
      </w:r>
      <w:bookmarkStart w:id="163" w:name="fnref21_6"/>
      <w:bookmarkEnd w:id="163"/>
      <w:r>
        <w:fldChar w:fldCharType="begin"/>
      </w:r>
      <w:r>
        <w:instrText xml:space="preserve"> HYPERLINK \l "fn21" \h </w:instrText>
      </w:r>
      <w:r>
        <w:fldChar w:fldCharType="separate"/>
      </w:r>
      <w:r>
        <w:rPr>
          <w:rFonts w:ascii="inter" w:hAnsi="inter" w:eastAsia="inter" w:cs="inter"/>
          <w:color w:val="000000"/>
          <w:sz w:val="21"/>
          <w:u w:val="single"/>
          <w:vertAlign w:val="superscript"/>
        </w:rPr>
        <w:t>[21]</w:t>
      </w:r>
      <w:r>
        <w:rPr>
          <w:rFonts w:ascii="inter" w:hAnsi="inter" w:eastAsia="inter" w:cs="inter"/>
          <w:color w:val="000000"/>
          <w:sz w:val="21"/>
          <w:u w:val="single"/>
          <w:vertAlign w:val="superscript"/>
        </w:rPr>
        <w:fldChar w:fldCharType="end"/>
      </w:r>
      <w:bookmarkStart w:id="164" w:name="fnref34_3"/>
      <w:bookmarkEnd w:id="164"/>
      <w:r>
        <w:fldChar w:fldCharType="begin"/>
      </w:r>
      <w:r>
        <w:instrText xml:space="preserve"> HYPERLINK \l "fn34" \h </w:instrText>
      </w:r>
      <w:r>
        <w:fldChar w:fldCharType="separate"/>
      </w:r>
      <w:r>
        <w:rPr>
          <w:rFonts w:ascii="inter" w:hAnsi="inter" w:eastAsia="inter" w:cs="inter"/>
          <w:color w:val="000000"/>
          <w:sz w:val="21"/>
          <w:u w:val="single"/>
          <w:vertAlign w:val="superscript"/>
        </w:rPr>
        <w:t>[34]</w:t>
      </w:r>
      <w:r>
        <w:rPr>
          <w:rFonts w:ascii="inter" w:hAnsi="inter" w:eastAsia="inter" w:cs="inter"/>
          <w:color w:val="000000"/>
          <w:sz w:val="21"/>
          <w:u w:val="single"/>
          <w:vertAlign w:val="superscript"/>
        </w:rPr>
        <w:fldChar w:fldCharType="end"/>
      </w:r>
    </w:p>
    <w:p w14:paraId="39B14C6F">
      <w:pPr>
        <w:numPr>
          <w:ilvl w:val="1"/>
          <w:numId w:val="47"/>
        </w:numPr>
        <w:spacing w:before="105" w:after="105" w:line="360" w:lineRule="auto"/>
      </w:pPr>
      <w:r>
        <w:rPr>
          <w:rFonts w:ascii="inter" w:hAnsi="inter" w:eastAsia="inter" w:cs="inter"/>
          <w:color w:val="000000"/>
          <w:sz w:val="21"/>
        </w:rPr>
        <w:t>社会辅助机器人等前沿技术仍处于研究与试点阶段，尚不宜视为普适方案。</w:t>
      </w:r>
      <w:bookmarkStart w:id="165" w:name="fnref22_6"/>
      <w:bookmarkEnd w:id="165"/>
      <w:r>
        <w:fldChar w:fldCharType="begin"/>
      </w:r>
      <w:r>
        <w:instrText xml:space="preserve"> HYPERLINK \l "fn22" \h </w:instrText>
      </w:r>
      <w:r>
        <w:fldChar w:fldCharType="separate"/>
      </w:r>
      <w:r>
        <w:rPr>
          <w:rFonts w:ascii="inter" w:hAnsi="inter" w:eastAsia="inter" w:cs="inter"/>
          <w:color w:val="000000"/>
          <w:sz w:val="21"/>
          <w:u w:val="single"/>
          <w:vertAlign w:val="superscript"/>
        </w:rPr>
        <w:t>[22]</w:t>
      </w:r>
      <w:r>
        <w:rPr>
          <w:rFonts w:ascii="inter" w:hAnsi="inter" w:eastAsia="inter" w:cs="inter"/>
          <w:color w:val="000000"/>
          <w:sz w:val="21"/>
          <w:u w:val="single"/>
          <w:vertAlign w:val="superscript"/>
        </w:rPr>
        <w:fldChar w:fldCharType="end"/>
      </w:r>
    </w:p>
    <w:p w14:paraId="3CCDAA0A">
      <w:pPr>
        <w:numPr>
          <w:ilvl w:val="0"/>
          <w:numId w:val="47"/>
        </w:numPr>
        <w:spacing w:before="105" w:after="105" w:line="360" w:lineRule="auto"/>
      </w:pPr>
      <w:r>
        <w:rPr>
          <w:rFonts w:ascii="inter" w:hAnsi="inter" w:eastAsia="inter" w:cs="inter"/>
          <w:color w:val="000000"/>
          <w:sz w:val="21"/>
        </w:rPr>
        <w:t>适用条件：</w:t>
      </w:r>
    </w:p>
    <w:p w14:paraId="223DAA11">
      <w:pPr>
        <w:numPr>
          <w:ilvl w:val="1"/>
          <w:numId w:val="47"/>
        </w:numPr>
        <w:spacing w:before="105" w:after="105" w:line="360" w:lineRule="auto"/>
      </w:pPr>
      <w:r>
        <w:rPr>
          <w:rFonts w:ascii="inter" w:hAnsi="inter" w:eastAsia="inter" w:cs="inter"/>
          <w:color w:val="000000"/>
          <w:sz w:val="21"/>
        </w:rPr>
        <w:t>建议在进行功能性评估基础上，选用与学生具体障碍和课堂目标高度匹配的AT，而非“技术驱动”；</w:t>
      </w:r>
    </w:p>
    <w:p w14:paraId="524C7BD5">
      <w:pPr>
        <w:numPr>
          <w:ilvl w:val="1"/>
          <w:numId w:val="47"/>
        </w:numPr>
        <w:spacing w:before="105" w:after="105" w:line="360" w:lineRule="auto"/>
      </w:pPr>
      <w:r>
        <w:rPr>
          <w:rFonts w:ascii="inter" w:hAnsi="inter" w:eastAsia="inter" w:cs="inter"/>
          <w:color w:val="000000"/>
          <w:sz w:val="21"/>
        </w:rPr>
        <w:t>适合纳入个别化教育计划（IEP/个别化支持方案）和学校的资源统筹规划之中。</w:t>
      </w:r>
    </w:p>
    <w:p w14:paraId="4668EFA4">
      <w:pPr>
        <w:spacing w:before="315" w:after="105" w:line="360" w:lineRule="auto"/>
        <w:ind w:left="-30"/>
        <w:jc w:val="left"/>
      </w:pPr>
      <w:bookmarkStart w:id="166" w:name="六_策略类型比较总表_视觉化概要"/>
      <w:r>
        <w:rPr>
          <w:rFonts w:ascii="inter" w:hAnsi="inter" w:eastAsia="inter" w:cs="inter"/>
          <w:b/>
          <w:color w:val="000000"/>
          <w:sz w:val="24"/>
        </w:rPr>
        <w:t>（六）策略类型比较总表（视觉化概要）</w:t>
      </w:r>
      <w:bookmarkEnd w:id="166"/>
    </w:p>
    <w:p w14:paraId="769B4B6F">
      <w:pPr>
        <w:spacing w:after="210" w:line="360" w:lineRule="auto"/>
      </w:pPr>
      <w:r>
        <w:rPr>
          <w:rFonts w:ascii="inter" w:hAnsi="inter" w:eastAsia="inter" w:cs="inter"/>
          <w:color w:val="000000"/>
        </w:rPr>
        <w:t>下列表格将前述五类主要策略从“核心目标”“典型工具”“主要优势”“潜在局限”“主要适用情境”五个维度加以对比（文字说明：该表帮助决策者在政策和校本层面进行组合与优先级选择，而非简单“择一而用”）。</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697"/>
        <w:gridCol w:w="1272"/>
        <w:gridCol w:w="2053"/>
        <w:gridCol w:w="1553"/>
        <w:gridCol w:w="1490"/>
        <w:gridCol w:w="1775"/>
      </w:tblGrid>
      <w:tr w14:paraId="22D4314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A59BF28">
            <w:pPr>
              <w:spacing w:after="0" w:line="360" w:lineRule="auto"/>
            </w:pPr>
            <w:r>
              <w:rPr>
                <w:rFonts w:ascii="inter" w:hAnsi="inter" w:eastAsia="inter" w:cs="inter"/>
                <w:color w:val="000000"/>
                <w:sz w:val="17"/>
              </w:rPr>
              <w:t>策略类别</w:t>
            </w:r>
          </w:p>
        </w:tc>
        <w:tc>
          <w:tcPr>
            <w:tcBorders>
              <w:top w:val="single" w:color="000000" w:sz="0" w:space="0"/>
              <w:bottom w:val="single" w:color="000000" w:sz="0" w:space="0"/>
              <w:right w:val="single" w:color="000000" w:sz="0" w:space="0"/>
            </w:tcBorders>
          </w:tcPr>
          <w:p w14:paraId="452F93FD">
            <w:pPr>
              <w:spacing w:after="0" w:line="360" w:lineRule="auto"/>
            </w:pPr>
            <w:r>
              <w:rPr>
                <w:rFonts w:ascii="inter" w:hAnsi="inter" w:eastAsia="inter" w:cs="inter"/>
                <w:color w:val="000000"/>
                <w:sz w:val="17"/>
              </w:rPr>
              <w:t>核心目标</w:t>
            </w:r>
          </w:p>
        </w:tc>
        <w:tc>
          <w:tcPr>
            <w:tcBorders>
              <w:top w:val="single" w:color="000000" w:sz="0" w:space="0"/>
              <w:bottom w:val="single" w:color="000000" w:sz="0" w:space="0"/>
              <w:right w:val="single" w:color="000000" w:sz="0" w:space="0"/>
            </w:tcBorders>
          </w:tcPr>
          <w:p w14:paraId="25C60900">
            <w:pPr>
              <w:spacing w:after="0" w:line="360" w:lineRule="auto"/>
            </w:pPr>
            <w:r>
              <w:rPr>
                <w:rFonts w:ascii="inter" w:hAnsi="inter" w:eastAsia="inter" w:cs="inter"/>
                <w:color w:val="000000"/>
                <w:sz w:val="17"/>
              </w:rPr>
              <w:t>典型工具/方法</w:t>
            </w:r>
          </w:p>
        </w:tc>
        <w:tc>
          <w:tcPr>
            <w:tcBorders>
              <w:top w:val="single" w:color="000000" w:sz="0" w:space="0"/>
              <w:bottom w:val="single" w:color="000000" w:sz="0" w:space="0"/>
              <w:right w:val="single" w:color="000000" w:sz="0" w:space="0"/>
            </w:tcBorders>
          </w:tcPr>
          <w:p w14:paraId="59B6A36A">
            <w:pPr>
              <w:spacing w:after="0" w:line="360" w:lineRule="auto"/>
            </w:pPr>
            <w:r>
              <w:rPr>
                <w:rFonts w:ascii="inter" w:hAnsi="inter" w:eastAsia="inter" w:cs="inter"/>
                <w:color w:val="000000"/>
                <w:sz w:val="17"/>
              </w:rPr>
              <w:t>主要优势</w:t>
            </w:r>
          </w:p>
        </w:tc>
        <w:tc>
          <w:tcPr>
            <w:tcBorders>
              <w:top w:val="single" w:color="000000" w:sz="0" w:space="0"/>
              <w:bottom w:val="single" w:color="000000" w:sz="0" w:space="0"/>
              <w:right w:val="single" w:color="000000" w:sz="0" w:space="0"/>
            </w:tcBorders>
          </w:tcPr>
          <w:p w14:paraId="600E3EBA">
            <w:pPr>
              <w:spacing w:after="0" w:line="360" w:lineRule="auto"/>
            </w:pPr>
            <w:r>
              <w:rPr>
                <w:rFonts w:ascii="inter" w:hAnsi="inter" w:eastAsia="inter" w:cs="inter"/>
                <w:color w:val="000000"/>
                <w:sz w:val="17"/>
              </w:rPr>
              <w:t>潜在局限与风险</w:t>
            </w:r>
          </w:p>
        </w:tc>
        <w:tc>
          <w:tcPr>
            <w:tcBorders>
              <w:top w:val="single" w:color="000000" w:sz="0" w:space="0"/>
              <w:bottom w:val="single" w:color="000000" w:sz="0" w:space="0"/>
            </w:tcBorders>
          </w:tcPr>
          <w:p w14:paraId="556B5F45">
            <w:pPr>
              <w:spacing w:after="0" w:line="360" w:lineRule="auto"/>
            </w:pPr>
            <w:r>
              <w:rPr>
                <w:rFonts w:ascii="inter" w:hAnsi="inter" w:eastAsia="inter" w:cs="inter"/>
                <w:color w:val="000000"/>
                <w:sz w:val="17"/>
              </w:rPr>
              <w:t>主要适用情境</w:t>
            </w:r>
          </w:p>
        </w:tc>
      </w:tr>
      <w:tr w14:paraId="28F50EC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35E02DD">
            <w:pPr>
              <w:spacing w:after="0" w:line="360" w:lineRule="auto"/>
            </w:pPr>
            <w:r>
              <w:rPr>
                <w:rFonts w:ascii="inter" w:hAnsi="inter" w:eastAsia="inter" w:cs="inter"/>
                <w:color w:val="000000"/>
                <w:sz w:val="17"/>
              </w:rPr>
              <w:t>行为支持（ABA+PBS）</w:t>
            </w:r>
          </w:p>
        </w:tc>
        <w:tc>
          <w:tcPr>
            <w:tcBorders>
              <w:top w:val="single" w:color="000000" w:sz="0" w:space="0"/>
              <w:bottom w:val="single" w:color="000000" w:sz="0" w:space="0"/>
              <w:right w:val="single" w:color="000000" w:sz="0" w:space="0"/>
            </w:tcBorders>
          </w:tcPr>
          <w:p w14:paraId="658CD105">
            <w:pPr>
              <w:spacing w:after="0" w:line="360" w:lineRule="auto"/>
            </w:pPr>
            <w:r>
              <w:rPr>
                <w:rFonts w:ascii="inter" w:hAnsi="inter" w:eastAsia="inter" w:cs="inter"/>
                <w:color w:val="000000"/>
                <w:sz w:val="17"/>
              </w:rPr>
              <w:t>提升在任务行为，减少问题行为</w:t>
            </w:r>
          </w:p>
        </w:tc>
        <w:tc>
          <w:tcPr>
            <w:tcBorders>
              <w:top w:val="single" w:color="000000" w:sz="0" w:space="0"/>
              <w:bottom w:val="single" w:color="000000" w:sz="0" w:space="0"/>
              <w:right w:val="single" w:color="000000" w:sz="0" w:space="0"/>
            </w:tcBorders>
          </w:tcPr>
          <w:p w14:paraId="22FE98A9">
            <w:pPr>
              <w:spacing w:after="0" w:line="360" w:lineRule="auto"/>
            </w:pPr>
            <w:r>
              <w:rPr>
                <w:rFonts w:ascii="inter" w:hAnsi="inter" w:eastAsia="inter" w:cs="inter"/>
                <w:color w:val="000000"/>
                <w:sz w:val="17"/>
              </w:rPr>
              <w:t>FBA、强化、代币经济、PBIS三层级支持</w:t>
            </w:r>
          </w:p>
        </w:tc>
        <w:tc>
          <w:tcPr>
            <w:tcBorders>
              <w:top w:val="single" w:color="000000" w:sz="0" w:space="0"/>
              <w:bottom w:val="single" w:color="000000" w:sz="0" w:space="0"/>
              <w:right w:val="single" w:color="000000" w:sz="0" w:space="0"/>
            </w:tcBorders>
          </w:tcPr>
          <w:p w14:paraId="12F88D5E">
            <w:pPr>
              <w:spacing w:after="0" w:line="360" w:lineRule="auto"/>
            </w:pPr>
            <w:r>
              <w:rPr>
                <w:rFonts w:ascii="inter" w:hAnsi="inter" w:eastAsia="inter" w:cs="inter"/>
                <w:color w:val="000000"/>
                <w:sz w:val="17"/>
              </w:rPr>
              <w:t>循证充分，效果可量化，便于监测</w:t>
            </w:r>
            <w:r>
              <w:fldChar w:fldCharType="begin"/>
            </w:r>
            <w:r>
              <w:instrText xml:space="preserve"> HYPERLINK \l "fn35" \h </w:instrText>
            </w:r>
            <w:r>
              <w:fldChar w:fldCharType="separate"/>
            </w:r>
            <w:r>
              <w:rPr>
                <w:rFonts w:ascii="inter" w:hAnsi="inter" w:eastAsia="inter" w:cs="inter"/>
                <w:color w:val="000000"/>
                <w:sz w:val="17"/>
                <w:u w:val="single"/>
                <w:vertAlign w:val="superscript"/>
              </w:rPr>
              <w:t>[35]</w:t>
            </w:r>
            <w:r>
              <w:rPr>
                <w:rFonts w:ascii="inter" w:hAnsi="inter" w:eastAsia="inter" w:cs="inter"/>
                <w:color w:val="000000"/>
                <w:sz w:val="17"/>
                <w:u w:val="single"/>
                <w:vertAlign w:val="superscript"/>
              </w:rPr>
              <w:fldChar w:fldCharType="end"/>
            </w:r>
            <w:r>
              <w:fldChar w:fldCharType="begin"/>
            </w:r>
            <w:r>
              <w:instrText xml:space="preserve"> HYPERLINK \l "fn17" \h </w:instrText>
            </w:r>
            <w:r>
              <w:fldChar w:fldCharType="separate"/>
            </w:r>
            <w:r>
              <w:rPr>
                <w:rFonts w:ascii="inter" w:hAnsi="inter" w:eastAsia="inter" w:cs="inter"/>
                <w:color w:val="000000"/>
                <w:sz w:val="17"/>
                <w:u w:val="single"/>
                <w:vertAlign w:val="superscript"/>
              </w:rPr>
              <w:t>[17]</w:t>
            </w:r>
            <w:r>
              <w:rPr>
                <w:rFonts w:ascii="inter" w:hAnsi="inter" w:eastAsia="inter" w:cs="inter"/>
                <w:color w:val="000000"/>
                <w:sz w:val="17"/>
                <w:u w:val="single"/>
                <w:vertAlign w:val="superscript"/>
              </w:rPr>
              <w:fldChar w:fldCharType="end"/>
            </w:r>
            <w:r>
              <w:fldChar w:fldCharType="begin"/>
            </w:r>
            <w:r>
              <w:instrText xml:space="preserve"> HYPERLINK \l "fn3" \h </w:instrText>
            </w:r>
            <w:r>
              <w:fldChar w:fldCharType="separate"/>
            </w:r>
            <w:r>
              <w:rPr>
                <w:rFonts w:ascii="inter" w:hAnsi="inter" w:eastAsia="inter" w:cs="inter"/>
                <w:color w:val="000000"/>
                <w:sz w:val="17"/>
                <w:u w:val="single"/>
                <w:vertAlign w:val="superscript"/>
              </w:rPr>
              <w:t>[3]</w:t>
            </w:r>
            <w:r>
              <w:rPr>
                <w:rFonts w:ascii="inter" w:hAnsi="inter" w:eastAsia="inter" w:cs="inter"/>
                <w:color w:val="000000"/>
                <w:sz w:val="17"/>
                <w:u w:val="single"/>
                <w:vertAlign w:val="superscript"/>
              </w:rPr>
              <w:fldChar w:fldCharType="end"/>
            </w:r>
            <w:r>
              <w:fldChar w:fldCharType="begin"/>
            </w:r>
            <w:r>
              <w:instrText xml:space="preserve"> HYPERLINK \l "fn26" \h </w:instrText>
            </w:r>
            <w:r>
              <w:fldChar w:fldCharType="separate"/>
            </w:r>
            <w:r>
              <w:rPr>
                <w:rFonts w:ascii="inter" w:hAnsi="inter" w:eastAsia="inter" w:cs="inter"/>
                <w:color w:val="000000"/>
                <w:sz w:val="17"/>
                <w:u w:val="single"/>
                <w:vertAlign w:val="superscript"/>
              </w:rPr>
              <w:t>[26]</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00C1ED05">
            <w:pPr>
              <w:spacing w:after="0" w:line="360" w:lineRule="auto"/>
            </w:pPr>
            <w:r>
              <w:rPr>
                <w:rFonts w:ascii="inter" w:hAnsi="inter" w:eastAsia="inter" w:cs="inter"/>
                <w:color w:val="000000"/>
                <w:sz w:val="17"/>
              </w:rPr>
              <w:t>可能忽视内在体验；过度依赖奖励；需专业培训</w:t>
            </w:r>
          </w:p>
        </w:tc>
        <w:tc>
          <w:tcPr>
            <w:tcBorders>
              <w:top w:val="single" w:color="000000" w:sz="0" w:space="0"/>
              <w:bottom w:val="single" w:color="000000" w:sz="0" w:space="0"/>
            </w:tcBorders>
          </w:tcPr>
          <w:p w14:paraId="4161AFE4">
            <w:pPr>
              <w:spacing w:after="0" w:line="360" w:lineRule="auto"/>
            </w:pPr>
            <w:r>
              <w:rPr>
                <w:rFonts w:ascii="inter" w:hAnsi="inter" w:eastAsia="inter" w:cs="inter"/>
                <w:color w:val="000000"/>
                <w:sz w:val="17"/>
              </w:rPr>
              <w:t>行为干扰显著、需重建课堂规则和参与习惯的班级</w:t>
            </w:r>
          </w:p>
        </w:tc>
      </w:tr>
      <w:tr w14:paraId="30253CA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08A3450">
            <w:pPr>
              <w:spacing w:after="0" w:line="360" w:lineRule="auto"/>
            </w:pPr>
            <w:r>
              <w:rPr>
                <w:rFonts w:ascii="inter" w:hAnsi="inter" w:eastAsia="inter" w:cs="inter"/>
                <w:color w:val="000000"/>
                <w:sz w:val="17"/>
              </w:rPr>
              <w:t>结构化教学（TEACCH）</w:t>
            </w:r>
          </w:p>
        </w:tc>
        <w:tc>
          <w:tcPr>
            <w:tcBorders>
              <w:top w:val="single" w:color="000000" w:sz="0" w:space="0"/>
              <w:bottom w:val="single" w:color="000000" w:sz="0" w:space="0"/>
              <w:right w:val="single" w:color="000000" w:sz="0" w:space="0"/>
            </w:tcBorders>
          </w:tcPr>
          <w:p w14:paraId="65B3CD94">
            <w:pPr>
              <w:spacing w:after="0" w:line="360" w:lineRule="auto"/>
            </w:pPr>
            <w:r>
              <w:rPr>
                <w:rFonts w:ascii="inter" w:hAnsi="inter" w:eastAsia="inter" w:cs="inter"/>
                <w:color w:val="000000"/>
                <w:sz w:val="17"/>
              </w:rPr>
              <w:t>降低不确定性，促进独立参与</w:t>
            </w:r>
          </w:p>
        </w:tc>
        <w:tc>
          <w:tcPr>
            <w:tcBorders>
              <w:top w:val="single" w:color="000000" w:sz="0" w:space="0"/>
              <w:bottom w:val="single" w:color="000000" w:sz="0" w:space="0"/>
              <w:right w:val="single" w:color="000000" w:sz="0" w:space="0"/>
            </w:tcBorders>
          </w:tcPr>
          <w:p w14:paraId="48F4DD51">
            <w:pPr>
              <w:spacing w:after="0" w:line="360" w:lineRule="auto"/>
            </w:pPr>
            <w:r>
              <w:rPr>
                <w:rFonts w:ascii="inter" w:hAnsi="inter" w:eastAsia="inter" w:cs="inter"/>
                <w:color w:val="000000"/>
                <w:sz w:val="17"/>
              </w:rPr>
              <w:t>视觉日程、工作系统、物理结构调整</w:t>
            </w:r>
          </w:p>
        </w:tc>
        <w:tc>
          <w:tcPr>
            <w:tcBorders>
              <w:top w:val="single" w:color="000000" w:sz="0" w:space="0"/>
              <w:bottom w:val="single" w:color="000000" w:sz="0" w:space="0"/>
              <w:right w:val="single" w:color="000000" w:sz="0" w:space="0"/>
            </w:tcBorders>
          </w:tcPr>
          <w:p w14:paraId="56253C7A">
            <w:pPr>
              <w:spacing w:after="0" w:line="360" w:lineRule="auto"/>
            </w:pPr>
            <w:r>
              <w:rPr>
                <w:rFonts w:ascii="inter" w:hAnsi="inter" w:eastAsia="inter" w:cs="inter"/>
                <w:color w:val="000000"/>
                <w:sz w:val="17"/>
              </w:rPr>
              <w:t>明显减轻焦虑，促进自我导向学习</w:t>
            </w:r>
            <w:r>
              <w:fldChar w:fldCharType="begin"/>
            </w:r>
            <w:r>
              <w:instrText xml:space="preserve"> HYPERLINK \l "fn18" \h </w:instrText>
            </w:r>
            <w:r>
              <w:fldChar w:fldCharType="separate"/>
            </w:r>
            <w:r>
              <w:rPr>
                <w:rFonts w:ascii="inter" w:hAnsi="inter" w:eastAsia="inter" w:cs="inter"/>
                <w:color w:val="000000"/>
                <w:sz w:val="17"/>
                <w:u w:val="single"/>
                <w:vertAlign w:val="superscript"/>
              </w:rPr>
              <w:t>[18]</w:t>
            </w:r>
            <w:r>
              <w:rPr>
                <w:rFonts w:ascii="inter" w:hAnsi="inter" w:eastAsia="inter" w:cs="inter"/>
                <w:color w:val="000000"/>
                <w:sz w:val="17"/>
                <w:u w:val="single"/>
                <w:vertAlign w:val="superscript"/>
              </w:rPr>
              <w:fldChar w:fldCharType="end"/>
            </w:r>
            <w:r>
              <w:fldChar w:fldCharType="begin"/>
            </w:r>
            <w:r>
              <w:instrText xml:space="preserve"> HYPERLINK \l "fn37" \h </w:instrText>
            </w:r>
            <w:r>
              <w:fldChar w:fldCharType="separate"/>
            </w:r>
            <w:r>
              <w:rPr>
                <w:rFonts w:ascii="inter" w:hAnsi="inter" w:eastAsia="inter" w:cs="inter"/>
                <w:color w:val="000000"/>
                <w:sz w:val="17"/>
                <w:u w:val="single"/>
                <w:vertAlign w:val="superscript"/>
              </w:rPr>
              <w:t>[37]</w:t>
            </w:r>
            <w:r>
              <w:rPr>
                <w:rFonts w:ascii="inter" w:hAnsi="inter" w:eastAsia="inter" w:cs="inter"/>
                <w:color w:val="000000"/>
                <w:sz w:val="17"/>
                <w:u w:val="single"/>
                <w:vertAlign w:val="superscript"/>
              </w:rPr>
              <w:fldChar w:fldCharType="end"/>
            </w:r>
            <w:r>
              <w:fldChar w:fldCharType="begin"/>
            </w:r>
            <w:r>
              <w:instrText xml:space="preserve"> HYPERLINK \l "fn39" \h </w:instrText>
            </w:r>
            <w:r>
              <w:fldChar w:fldCharType="separate"/>
            </w:r>
            <w:r>
              <w:rPr>
                <w:rFonts w:ascii="inter" w:hAnsi="inter" w:eastAsia="inter" w:cs="inter"/>
                <w:color w:val="000000"/>
                <w:sz w:val="17"/>
                <w:u w:val="single"/>
                <w:vertAlign w:val="superscript"/>
              </w:rPr>
              <w:t>[39]</w:t>
            </w:r>
            <w:r>
              <w:rPr>
                <w:rFonts w:ascii="inter" w:hAnsi="inter" w:eastAsia="inter" w:cs="inter"/>
                <w:color w:val="000000"/>
                <w:sz w:val="17"/>
                <w:u w:val="single"/>
                <w:vertAlign w:val="superscript"/>
              </w:rPr>
              <w:fldChar w:fldCharType="end"/>
            </w:r>
            <w:r>
              <w:fldChar w:fldCharType="begin"/>
            </w:r>
            <w:r>
              <w:instrText xml:space="preserve"> HYPERLINK \l "fn29" \h </w:instrText>
            </w:r>
            <w:r>
              <w:fldChar w:fldCharType="separate"/>
            </w:r>
            <w:r>
              <w:rPr>
                <w:rFonts w:ascii="inter" w:hAnsi="inter" w:eastAsia="inter" w:cs="inter"/>
                <w:color w:val="000000"/>
                <w:sz w:val="17"/>
                <w:u w:val="single"/>
                <w:vertAlign w:val="superscript"/>
              </w:rPr>
              <w:t>[29]</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3835B0A8">
            <w:pPr>
              <w:spacing w:after="0" w:line="360" w:lineRule="auto"/>
            </w:pPr>
            <w:r>
              <w:rPr>
                <w:rFonts w:ascii="inter" w:hAnsi="inter" w:eastAsia="inter" w:cs="inter"/>
                <w:color w:val="000000"/>
                <w:sz w:val="17"/>
              </w:rPr>
              <w:t>过度僵化会抑制自主性；实施准备工作量大</w:t>
            </w:r>
          </w:p>
        </w:tc>
        <w:tc>
          <w:tcPr>
            <w:tcBorders>
              <w:top w:val="single" w:color="000000" w:sz="0" w:space="0"/>
              <w:bottom w:val="single" w:color="000000" w:sz="0" w:space="0"/>
            </w:tcBorders>
          </w:tcPr>
          <w:p w14:paraId="2EA35304">
            <w:pPr>
              <w:spacing w:after="0" w:line="360" w:lineRule="auto"/>
            </w:pPr>
            <w:r>
              <w:rPr>
                <w:rFonts w:ascii="inter" w:hAnsi="inter" w:eastAsia="inter" w:cs="inter"/>
                <w:color w:val="000000"/>
                <w:sz w:val="17"/>
              </w:rPr>
              <w:t>感官敏感、转场困难学生；融合班级常规结构优化</w:t>
            </w:r>
          </w:p>
        </w:tc>
      </w:tr>
      <w:tr w14:paraId="6BBAC32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B695415">
            <w:pPr>
              <w:spacing w:after="0" w:line="360" w:lineRule="auto"/>
            </w:pPr>
            <w:r>
              <w:rPr>
                <w:rFonts w:ascii="inter" w:hAnsi="inter" w:eastAsia="inter" w:cs="inter"/>
                <w:color w:val="000000"/>
                <w:sz w:val="17"/>
              </w:rPr>
              <w:t>沟通与社交支持</w:t>
            </w:r>
          </w:p>
        </w:tc>
        <w:tc>
          <w:tcPr>
            <w:tcBorders>
              <w:top w:val="single" w:color="000000" w:sz="0" w:space="0"/>
              <w:bottom w:val="single" w:color="000000" w:sz="0" w:space="0"/>
              <w:right w:val="single" w:color="000000" w:sz="0" w:space="0"/>
            </w:tcBorders>
          </w:tcPr>
          <w:p w14:paraId="095D781D">
            <w:pPr>
              <w:spacing w:after="0" w:line="360" w:lineRule="auto"/>
            </w:pPr>
            <w:r>
              <w:rPr>
                <w:rFonts w:ascii="inter" w:hAnsi="inter" w:eastAsia="inter" w:cs="inter"/>
                <w:color w:val="000000"/>
                <w:sz w:val="17"/>
              </w:rPr>
              <w:t>增强表达与互动，提升社交参与</w:t>
            </w:r>
          </w:p>
        </w:tc>
        <w:tc>
          <w:tcPr>
            <w:tcBorders>
              <w:top w:val="single" w:color="000000" w:sz="0" w:space="0"/>
              <w:bottom w:val="single" w:color="000000" w:sz="0" w:space="0"/>
              <w:right w:val="single" w:color="000000" w:sz="0" w:space="0"/>
            </w:tcBorders>
          </w:tcPr>
          <w:p w14:paraId="30DF4E53">
            <w:pPr>
              <w:spacing w:after="0" w:line="360" w:lineRule="auto"/>
            </w:pPr>
            <w:r>
              <w:rPr>
                <w:rFonts w:ascii="inter" w:hAnsi="inter" w:eastAsia="inter" w:cs="inter"/>
                <w:color w:val="000000"/>
                <w:sz w:val="17"/>
              </w:rPr>
              <w:t>PECS/AAC、社交故事、同伴媒介、JASPER</w:t>
            </w:r>
          </w:p>
        </w:tc>
        <w:tc>
          <w:tcPr>
            <w:tcBorders>
              <w:top w:val="single" w:color="000000" w:sz="0" w:space="0"/>
              <w:bottom w:val="single" w:color="000000" w:sz="0" w:space="0"/>
              <w:right w:val="single" w:color="000000" w:sz="0" w:space="0"/>
            </w:tcBorders>
          </w:tcPr>
          <w:p w14:paraId="691F3E68">
            <w:pPr>
              <w:spacing w:after="0" w:line="360" w:lineRule="auto"/>
            </w:pPr>
            <w:r>
              <w:rPr>
                <w:rFonts w:ascii="inter" w:hAnsi="inter" w:eastAsia="inter" w:cs="inter"/>
                <w:color w:val="000000"/>
                <w:sz w:val="17"/>
              </w:rPr>
              <w:t>直接针对社交参与维度，促进人际关系</w:t>
            </w:r>
            <w:r>
              <w:fldChar w:fldCharType="begin"/>
            </w:r>
            <w:r>
              <w:instrText xml:space="preserve"> HYPERLINK \l "fn35" \h </w:instrText>
            </w:r>
            <w:r>
              <w:fldChar w:fldCharType="separate"/>
            </w:r>
            <w:r>
              <w:rPr>
                <w:rFonts w:ascii="inter" w:hAnsi="inter" w:eastAsia="inter" w:cs="inter"/>
                <w:color w:val="000000"/>
                <w:sz w:val="17"/>
                <w:u w:val="single"/>
                <w:vertAlign w:val="superscript"/>
              </w:rPr>
              <w:t>[35]</w:t>
            </w:r>
            <w:r>
              <w:rPr>
                <w:rFonts w:ascii="inter" w:hAnsi="inter" w:eastAsia="inter" w:cs="inter"/>
                <w:color w:val="000000"/>
                <w:sz w:val="17"/>
                <w:u w:val="single"/>
                <w:vertAlign w:val="superscript"/>
              </w:rPr>
              <w:fldChar w:fldCharType="end"/>
            </w:r>
            <w:r>
              <w:fldChar w:fldCharType="begin"/>
            </w:r>
            <w:r>
              <w:instrText xml:space="preserve"> HYPERLINK \l "fn15" \h </w:instrText>
            </w:r>
            <w:r>
              <w:fldChar w:fldCharType="separate"/>
            </w:r>
            <w:r>
              <w:rPr>
                <w:rFonts w:ascii="inter" w:hAnsi="inter" w:eastAsia="inter" w:cs="inter"/>
                <w:color w:val="000000"/>
                <w:sz w:val="17"/>
                <w:u w:val="single"/>
                <w:vertAlign w:val="superscript"/>
              </w:rPr>
              <w:t>[15]</w:t>
            </w:r>
            <w:r>
              <w:rPr>
                <w:rFonts w:ascii="inter" w:hAnsi="inter" w:eastAsia="inter" w:cs="inter"/>
                <w:color w:val="000000"/>
                <w:sz w:val="17"/>
                <w:u w:val="single"/>
                <w:vertAlign w:val="superscript"/>
              </w:rPr>
              <w:fldChar w:fldCharType="end"/>
            </w:r>
            <w:r>
              <w:fldChar w:fldCharType="begin"/>
            </w:r>
            <w:r>
              <w:instrText xml:space="preserve"> HYPERLINK \l "fn9" \h </w:instrText>
            </w:r>
            <w:r>
              <w:fldChar w:fldCharType="separate"/>
            </w:r>
            <w:r>
              <w:rPr>
                <w:rFonts w:ascii="inter" w:hAnsi="inter" w:eastAsia="inter" w:cs="inter"/>
                <w:color w:val="000000"/>
                <w:sz w:val="17"/>
                <w:u w:val="single"/>
                <w:vertAlign w:val="superscript"/>
              </w:rPr>
              <w:t>[9]</w:t>
            </w:r>
            <w:r>
              <w:rPr>
                <w:rFonts w:ascii="inter" w:hAnsi="inter" w:eastAsia="inter" w:cs="inter"/>
                <w:color w:val="000000"/>
                <w:sz w:val="17"/>
                <w:u w:val="single"/>
                <w:vertAlign w:val="superscript"/>
              </w:rPr>
              <w:fldChar w:fldCharType="end"/>
            </w:r>
            <w:r>
              <w:fldChar w:fldCharType="begin"/>
            </w:r>
            <w:r>
              <w:instrText xml:space="preserve"> HYPERLINK \l "fn21" \h </w:instrText>
            </w:r>
            <w:r>
              <w:fldChar w:fldCharType="separate"/>
            </w:r>
            <w:r>
              <w:rPr>
                <w:rFonts w:ascii="inter" w:hAnsi="inter" w:eastAsia="inter" w:cs="inter"/>
                <w:color w:val="000000"/>
                <w:sz w:val="17"/>
                <w:u w:val="single"/>
                <w:vertAlign w:val="superscript"/>
              </w:rPr>
              <w:t>[21]</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6936BE1F">
            <w:pPr>
              <w:spacing w:after="0" w:line="360" w:lineRule="auto"/>
            </w:pPr>
            <w:r>
              <w:rPr>
                <w:rFonts w:ascii="inter" w:hAnsi="inter" w:eastAsia="inter" w:cs="inter"/>
                <w:color w:val="000000"/>
                <w:sz w:val="17"/>
              </w:rPr>
              <w:t>对同伴态度和学校文化依赖高；设计耗时</w:t>
            </w:r>
          </w:p>
        </w:tc>
        <w:tc>
          <w:tcPr>
            <w:tcBorders>
              <w:top w:val="single" w:color="000000" w:sz="0" w:space="0"/>
              <w:bottom w:val="single" w:color="000000" w:sz="0" w:space="0"/>
            </w:tcBorders>
          </w:tcPr>
          <w:p w14:paraId="6881CD64">
            <w:pPr>
              <w:spacing w:after="0" w:line="360" w:lineRule="auto"/>
            </w:pPr>
            <w:r>
              <w:rPr>
                <w:rFonts w:ascii="inter" w:hAnsi="inter" w:eastAsia="inter" w:cs="inter"/>
                <w:color w:val="000000"/>
                <w:sz w:val="17"/>
              </w:rPr>
              <w:t>有潜在互动动机但缺技能的ASD学生；重视社交学习的课堂</w:t>
            </w:r>
          </w:p>
        </w:tc>
      </w:tr>
      <w:tr w14:paraId="42F53AB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4C87343">
            <w:pPr>
              <w:spacing w:after="0" w:line="360" w:lineRule="auto"/>
            </w:pPr>
            <w:r>
              <w:rPr>
                <w:rFonts w:ascii="inter" w:hAnsi="inter" w:eastAsia="inter" w:cs="inter"/>
                <w:color w:val="000000"/>
                <w:sz w:val="17"/>
              </w:rPr>
              <w:t>UDL与差异化教学</w:t>
            </w:r>
          </w:p>
        </w:tc>
        <w:tc>
          <w:tcPr>
            <w:tcBorders>
              <w:top w:val="single" w:color="000000" w:sz="0" w:space="0"/>
              <w:bottom w:val="single" w:color="000000" w:sz="0" w:space="0"/>
              <w:right w:val="single" w:color="000000" w:sz="0" w:space="0"/>
            </w:tcBorders>
          </w:tcPr>
          <w:p w14:paraId="0D3185A6">
            <w:pPr>
              <w:spacing w:after="0" w:line="360" w:lineRule="auto"/>
            </w:pPr>
            <w:r>
              <w:rPr>
                <w:rFonts w:ascii="inter" w:hAnsi="inter" w:eastAsia="inter" w:cs="inter"/>
                <w:color w:val="000000"/>
                <w:sz w:val="17"/>
              </w:rPr>
              <w:t>从源头降低课程与任务的参与门槛</w:t>
            </w:r>
          </w:p>
        </w:tc>
        <w:tc>
          <w:tcPr>
            <w:tcBorders>
              <w:top w:val="single" w:color="000000" w:sz="0" w:space="0"/>
              <w:bottom w:val="single" w:color="000000" w:sz="0" w:space="0"/>
              <w:right w:val="single" w:color="000000" w:sz="0" w:space="0"/>
            </w:tcBorders>
          </w:tcPr>
          <w:p w14:paraId="7C6282CF">
            <w:pPr>
              <w:spacing w:after="0" w:line="360" w:lineRule="auto"/>
            </w:pPr>
            <w:r>
              <w:rPr>
                <w:rFonts w:ascii="inter" w:hAnsi="inter" w:eastAsia="inter" w:cs="inter"/>
                <w:color w:val="000000"/>
                <w:sz w:val="17"/>
              </w:rPr>
              <w:t>多种呈现/参与/表达设计</w:t>
            </w:r>
          </w:p>
        </w:tc>
        <w:tc>
          <w:tcPr>
            <w:tcBorders>
              <w:top w:val="single" w:color="000000" w:sz="0" w:space="0"/>
              <w:bottom w:val="single" w:color="000000" w:sz="0" w:space="0"/>
              <w:right w:val="single" w:color="000000" w:sz="0" w:space="0"/>
            </w:tcBorders>
          </w:tcPr>
          <w:p w14:paraId="58A26BC0">
            <w:pPr>
              <w:spacing w:after="0" w:line="360" w:lineRule="auto"/>
            </w:pPr>
            <w:r>
              <w:rPr>
                <w:rFonts w:ascii="inter" w:hAnsi="inter" w:eastAsia="inter" w:cs="inter"/>
                <w:color w:val="000000"/>
                <w:sz w:val="17"/>
              </w:rPr>
              <w:t>整体提升班级参与度，减少个别“补救”</w:t>
            </w:r>
            <w:r>
              <w:fldChar w:fldCharType="begin"/>
            </w:r>
            <w:r>
              <w:instrText xml:space="preserve"> HYPERLINK \l "fn28" \h </w:instrText>
            </w:r>
            <w:r>
              <w:fldChar w:fldCharType="separate"/>
            </w:r>
            <w:r>
              <w:rPr>
                <w:rFonts w:ascii="inter" w:hAnsi="inter" w:eastAsia="inter" w:cs="inter"/>
                <w:color w:val="000000"/>
                <w:sz w:val="17"/>
                <w:u w:val="single"/>
                <w:vertAlign w:val="superscript"/>
              </w:rPr>
              <w:t>[28]</w:t>
            </w:r>
            <w:r>
              <w:rPr>
                <w:rFonts w:ascii="inter" w:hAnsi="inter" w:eastAsia="inter" w:cs="inter"/>
                <w:color w:val="000000"/>
                <w:sz w:val="17"/>
                <w:u w:val="single"/>
                <w:vertAlign w:val="superscript"/>
              </w:rPr>
              <w:fldChar w:fldCharType="end"/>
            </w:r>
            <w:r>
              <w:fldChar w:fldCharType="begin"/>
            </w:r>
            <w:r>
              <w:instrText xml:space="preserve"> HYPERLINK \l "fn29" \h </w:instrText>
            </w:r>
            <w:r>
              <w:fldChar w:fldCharType="separate"/>
            </w:r>
            <w:r>
              <w:rPr>
                <w:rFonts w:ascii="inter" w:hAnsi="inter" w:eastAsia="inter" w:cs="inter"/>
                <w:color w:val="000000"/>
                <w:sz w:val="17"/>
                <w:u w:val="single"/>
                <w:vertAlign w:val="superscript"/>
              </w:rPr>
              <w:t>[29]</w:t>
            </w:r>
            <w:r>
              <w:rPr>
                <w:rFonts w:ascii="inter" w:hAnsi="inter" w:eastAsia="inter" w:cs="inter"/>
                <w:color w:val="000000"/>
                <w:sz w:val="17"/>
                <w:u w:val="single"/>
                <w:vertAlign w:val="superscript"/>
              </w:rPr>
              <w:fldChar w:fldCharType="end"/>
            </w:r>
            <w:r>
              <w:fldChar w:fldCharType="begin"/>
            </w:r>
            <w:r>
              <w:instrText xml:space="preserve"> HYPERLINK \l "fn30" \h </w:instrText>
            </w:r>
            <w:r>
              <w:fldChar w:fldCharType="separate"/>
            </w:r>
            <w:r>
              <w:rPr>
                <w:rFonts w:ascii="inter" w:hAnsi="inter" w:eastAsia="inter" w:cs="inter"/>
                <w:color w:val="000000"/>
                <w:sz w:val="17"/>
                <w:u w:val="single"/>
                <w:vertAlign w:val="superscript"/>
              </w:rPr>
              <w:t>[30]</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2014FD95">
            <w:pPr>
              <w:spacing w:after="0" w:line="360" w:lineRule="auto"/>
            </w:pPr>
            <w:r>
              <w:rPr>
                <w:rFonts w:ascii="inter" w:hAnsi="inter" w:eastAsia="inter" w:cs="inter"/>
                <w:color w:val="000000"/>
                <w:sz w:val="17"/>
              </w:rPr>
              <w:t>对课程设计与教研要求高；证据仍在拓展</w:t>
            </w:r>
          </w:p>
        </w:tc>
        <w:tc>
          <w:tcPr>
            <w:tcBorders>
              <w:top w:val="single" w:color="000000" w:sz="0" w:space="0"/>
              <w:bottom w:val="single" w:color="000000" w:sz="0" w:space="0"/>
            </w:tcBorders>
          </w:tcPr>
          <w:p w14:paraId="021FBF46">
            <w:pPr>
              <w:spacing w:after="0" w:line="360" w:lineRule="auto"/>
            </w:pPr>
            <w:r>
              <w:rPr>
                <w:rFonts w:ascii="inter" w:hAnsi="inter" w:eastAsia="inter" w:cs="inter"/>
                <w:color w:val="000000"/>
                <w:sz w:val="17"/>
              </w:rPr>
              <w:t>学生差异大、ASD随班就读较多的普通班</w:t>
            </w:r>
          </w:p>
        </w:tc>
      </w:tr>
      <w:tr w14:paraId="27CFF04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0B6ABCA">
            <w:pPr>
              <w:spacing w:after="0" w:line="360" w:lineRule="auto"/>
            </w:pPr>
            <w:r>
              <w:rPr>
                <w:rFonts w:ascii="inter" w:hAnsi="inter" w:eastAsia="inter" w:cs="inter"/>
                <w:color w:val="000000"/>
                <w:sz w:val="17"/>
              </w:rPr>
              <w:t>辅助技术与感官环境支持</w:t>
            </w:r>
          </w:p>
        </w:tc>
        <w:tc>
          <w:tcPr>
            <w:tcBorders>
              <w:top w:val="single" w:color="000000" w:sz="0" w:space="0"/>
              <w:bottom w:val="single" w:color="000000" w:sz="0" w:space="0"/>
              <w:right w:val="single" w:color="000000" w:sz="0" w:space="0"/>
            </w:tcBorders>
          </w:tcPr>
          <w:p w14:paraId="3E2A9763">
            <w:pPr>
              <w:spacing w:after="0" w:line="360" w:lineRule="auto"/>
            </w:pPr>
            <w:r>
              <w:rPr>
                <w:rFonts w:ascii="inter" w:hAnsi="inter" w:eastAsia="inter" w:cs="inter"/>
                <w:color w:val="000000"/>
                <w:sz w:val="17"/>
              </w:rPr>
              <w:t>降低沟通与感官障碍，支持自我调节</w:t>
            </w:r>
          </w:p>
        </w:tc>
        <w:tc>
          <w:tcPr>
            <w:tcBorders>
              <w:top w:val="single" w:color="000000" w:sz="0" w:space="0"/>
              <w:bottom w:val="single" w:color="000000" w:sz="0" w:space="0"/>
              <w:right w:val="single" w:color="000000" w:sz="0" w:space="0"/>
            </w:tcBorders>
          </w:tcPr>
          <w:p w14:paraId="2FAE77EE">
            <w:pPr>
              <w:spacing w:after="0" w:line="360" w:lineRule="auto"/>
            </w:pPr>
            <w:r>
              <w:rPr>
                <w:rFonts w:ascii="inter" w:hAnsi="inter" w:eastAsia="inter" w:cs="inter"/>
                <w:color w:val="000000"/>
                <w:sz w:val="17"/>
              </w:rPr>
              <w:t>AAC设备、学习软件、安静角、感官工具等</w:t>
            </w:r>
          </w:p>
        </w:tc>
        <w:tc>
          <w:tcPr>
            <w:tcBorders>
              <w:top w:val="single" w:color="000000" w:sz="0" w:space="0"/>
              <w:bottom w:val="single" w:color="000000" w:sz="0" w:space="0"/>
              <w:right w:val="single" w:color="000000" w:sz="0" w:space="0"/>
            </w:tcBorders>
          </w:tcPr>
          <w:p w14:paraId="110A839C">
            <w:pPr>
              <w:spacing w:after="0" w:line="360" w:lineRule="auto"/>
            </w:pPr>
            <w:r>
              <w:rPr>
                <w:rFonts w:ascii="inter" w:hAnsi="inter" w:eastAsia="inter" w:cs="inter"/>
                <w:color w:val="000000"/>
                <w:sz w:val="17"/>
              </w:rPr>
              <w:t>明显提高沟通机会与情绪稳定性</w:t>
            </w:r>
            <w:r>
              <w:fldChar w:fldCharType="begin"/>
            </w:r>
            <w:r>
              <w:instrText xml:space="preserve"> HYPERLINK \l "fn21" \h </w:instrText>
            </w:r>
            <w:r>
              <w:fldChar w:fldCharType="separate"/>
            </w:r>
            <w:r>
              <w:rPr>
                <w:rFonts w:ascii="inter" w:hAnsi="inter" w:eastAsia="inter" w:cs="inter"/>
                <w:color w:val="000000"/>
                <w:sz w:val="17"/>
                <w:u w:val="single"/>
                <w:vertAlign w:val="superscript"/>
              </w:rPr>
              <w:t>[21]</w:t>
            </w:r>
            <w:r>
              <w:rPr>
                <w:rFonts w:ascii="inter" w:hAnsi="inter" w:eastAsia="inter" w:cs="inter"/>
                <w:color w:val="000000"/>
                <w:sz w:val="17"/>
                <w:u w:val="single"/>
                <w:vertAlign w:val="superscript"/>
              </w:rPr>
              <w:fldChar w:fldCharType="end"/>
            </w:r>
            <w:r>
              <w:fldChar w:fldCharType="begin"/>
            </w:r>
            <w:r>
              <w:instrText xml:space="preserve"> HYPERLINK \l "fn33" \h </w:instrText>
            </w:r>
            <w:r>
              <w:fldChar w:fldCharType="separate"/>
            </w:r>
            <w:r>
              <w:rPr>
                <w:rFonts w:ascii="inter" w:hAnsi="inter" w:eastAsia="inter" w:cs="inter"/>
                <w:color w:val="000000"/>
                <w:sz w:val="17"/>
                <w:u w:val="single"/>
                <w:vertAlign w:val="superscript"/>
              </w:rPr>
              <w:t>[33]</w:t>
            </w:r>
            <w:r>
              <w:rPr>
                <w:rFonts w:ascii="inter" w:hAnsi="inter" w:eastAsia="inter" w:cs="inter"/>
                <w:color w:val="000000"/>
                <w:sz w:val="17"/>
                <w:u w:val="single"/>
                <w:vertAlign w:val="superscript"/>
              </w:rPr>
              <w:fldChar w:fldCharType="end"/>
            </w:r>
            <w:r>
              <w:fldChar w:fldCharType="begin"/>
            </w:r>
            <w:r>
              <w:instrText xml:space="preserve"> HYPERLINK \l "fn34" \h </w:instrText>
            </w:r>
            <w:r>
              <w:fldChar w:fldCharType="separate"/>
            </w:r>
            <w:r>
              <w:rPr>
                <w:rFonts w:ascii="inter" w:hAnsi="inter" w:eastAsia="inter" w:cs="inter"/>
                <w:color w:val="000000"/>
                <w:sz w:val="17"/>
                <w:u w:val="single"/>
                <w:vertAlign w:val="superscript"/>
              </w:rPr>
              <w:t>[34]</w:t>
            </w:r>
            <w:r>
              <w:rPr>
                <w:rFonts w:ascii="inter" w:hAnsi="inter" w:eastAsia="inter" w:cs="inter"/>
                <w:color w:val="000000"/>
                <w:sz w:val="17"/>
                <w:u w:val="single"/>
                <w:vertAlign w:val="superscript"/>
              </w:rPr>
              <w:fldChar w:fldCharType="end"/>
            </w:r>
            <w:r>
              <w:fldChar w:fldCharType="begin"/>
            </w:r>
            <w:r>
              <w:instrText xml:space="preserve"> HYPERLINK \l "fn22" \h </w:instrText>
            </w:r>
            <w:r>
              <w:fldChar w:fldCharType="separate"/>
            </w:r>
            <w:r>
              <w:rPr>
                <w:rFonts w:ascii="inter" w:hAnsi="inter" w:eastAsia="inter" w:cs="inter"/>
                <w:color w:val="000000"/>
                <w:sz w:val="17"/>
                <w:u w:val="single"/>
                <w:vertAlign w:val="superscript"/>
              </w:rPr>
              <w:t>[22]</w:t>
            </w:r>
            <w:r>
              <w:rPr>
                <w:rFonts w:ascii="inter" w:hAnsi="inter" w:eastAsia="inter" w:cs="inter"/>
                <w:color w:val="000000"/>
                <w:sz w:val="17"/>
                <w:u w:val="single"/>
                <w:vertAlign w:val="superscript"/>
              </w:rPr>
              <w:fldChar w:fldCharType="end"/>
            </w:r>
            <w:r>
              <w:fldChar w:fldCharType="begin"/>
            </w:r>
            <w:r>
              <w:instrText xml:space="preserve"> HYPERLINK \l "fn23" \h </w:instrText>
            </w:r>
            <w:r>
              <w:fldChar w:fldCharType="separate"/>
            </w:r>
            <w:r>
              <w:rPr>
                <w:rFonts w:ascii="inter" w:hAnsi="inter" w:eastAsia="inter" w:cs="inter"/>
                <w:color w:val="000000"/>
                <w:sz w:val="17"/>
                <w:u w:val="single"/>
                <w:vertAlign w:val="superscript"/>
              </w:rPr>
              <w:t>[23]</w:t>
            </w:r>
            <w:r>
              <w:rPr>
                <w:rFonts w:ascii="inter" w:hAnsi="inter" w:eastAsia="inter" w:cs="inter"/>
                <w:color w:val="000000"/>
                <w:sz w:val="17"/>
                <w:u w:val="single"/>
                <w:vertAlign w:val="superscript"/>
              </w:rPr>
              <w:fldChar w:fldCharType="end"/>
            </w:r>
          </w:p>
        </w:tc>
        <w:tc>
          <w:tcPr>
            <w:tcBorders>
              <w:top w:val="single" w:color="000000" w:sz="0" w:space="0"/>
              <w:bottom w:val="single" w:color="000000" w:sz="0" w:space="0"/>
              <w:right w:val="single" w:color="000000" w:sz="0" w:space="0"/>
            </w:tcBorders>
          </w:tcPr>
          <w:p w14:paraId="6967E56E">
            <w:pPr>
              <w:spacing w:after="0" w:line="360" w:lineRule="auto"/>
            </w:pPr>
            <w:r>
              <w:rPr>
                <w:rFonts w:ascii="inter" w:hAnsi="inter" w:eastAsia="inter" w:cs="inter"/>
                <w:color w:val="000000"/>
                <w:sz w:val="17"/>
              </w:rPr>
              <w:t>成本与管理压力；不当使用可能强化逃避行为</w:t>
            </w:r>
          </w:p>
        </w:tc>
        <w:tc>
          <w:tcPr>
            <w:tcBorders>
              <w:top w:val="single" w:color="000000" w:sz="0" w:space="0"/>
              <w:bottom w:val="single" w:color="000000" w:sz="0" w:space="0"/>
            </w:tcBorders>
          </w:tcPr>
          <w:p w14:paraId="224CCBE2">
            <w:pPr>
              <w:spacing w:after="0" w:line="360" w:lineRule="auto"/>
            </w:pPr>
            <w:r>
              <w:rPr>
                <w:rFonts w:ascii="inter" w:hAnsi="inter" w:eastAsia="inter" w:cs="inter"/>
                <w:color w:val="000000"/>
                <w:sz w:val="17"/>
              </w:rPr>
              <w:t>语言/运动障碍或感官异常显著的ASD学生</w:t>
            </w:r>
          </w:p>
        </w:tc>
      </w:tr>
    </w:tbl>
    <w:p w14:paraId="22AC5A3B"/>
    <w:p w14:paraId="38E0860A">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734FD8DC">
      <w:pPr>
        <w:spacing w:before="315" w:after="105" w:line="360" w:lineRule="auto"/>
        <w:ind w:left="-30"/>
        <w:jc w:val="left"/>
      </w:pPr>
      <w:bookmarkStart w:id="167" w:name="四_系统性实施路径_从课堂到学校与制度层面的整合方案"/>
      <w:r>
        <w:rPr>
          <w:rFonts w:ascii="inter" w:hAnsi="inter" w:eastAsia="inter" w:cs="inter"/>
          <w:b/>
          <w:color w:val="000000"/>
          <w:sz w:val="24"/>
        </w:rPr>
        <w:t>四、系统性实施路径：从课堂到学校与制度层面的整合方案</w:t>
      </w:r>
      <w:bookmarkEnd w:id="167"/>
    </w:p>
    <w:p w14:paraId="05283E74">
      <w:pPr>
        <w:spacing w:after="210" w:line="360" w:lineRule="auto"/>
      </w:pPr>
      <w:r>
        <w:rPr>
          <w:rFonts w:ascii="inter" w:hAnsi="inter" w:eastAsia="inter" w:cs="inter"/>
          <w:color w:val="000000"/>
        </w:rPr>
        <w:t>为回应“如何增强”这一实践性问题，本节提出一个涵盖学校层面、课堂层面与个别学生层面的多级实施方案。</w:t>
      </w:r>
    </w:p>
    <w:p w14:paraId="390C2A43">
      <w:pPr>
        <w:spacing w:before="315" w:after="105" w:line="360" w:lineRule="auto"/>
        <w:ind w:left="-30"/>
        <w:jc w:val="left"/>
      </w:pPr>
      <w:bookmarkStart w:id="168" w:name="一_多层级支持体系_mtss_框架下的课堂参与支持"/>
      <w:r>
        <w:rPr>
          <w:rFonts w:ascii="inter" w:hAnsi="inter" w:eastAsia="inter" w:cs="inter"/>
          <w:b/>
          <w:color w:val="000000"/>
          <w:sz w:val="24"/>
        </w:rPr>
        <w:t>（一）多层级支持体系（MTSS）框架下的课堂参与支持</w:t>
      </w:r>
      <w:bookmarkEnd w:id="168"/>
    </w:p>
    <w:p w14:paraId="4404349A">
      <w:pPr>
        <w:spacing w:after="210" w:line="360" w:lineRule="auto"/>
      </w:pPr>
      <w:r>
        <w:rPr>
          <w:rFonts w:ascii="inter" w:hAnsi="inter" w:eastAsia="inter" w:cs="inter"/>
          <w:color w:val="000000"/>
        </w:rPr>
        <w:t>借鉴PBIS和多层级支持体系（MTSS）的理念，可将ASD学生课堂参与度支持设计为“三层支持金字塔”：</w:t>
      </w:r>
    </w:p>
    <w:p w14:paraId="7E67F533">
      <w:pPr>
        <w:numPr>
          <w:ilvl w:val="0"/>
          <w:numId w:val="48"/>
        </w:numPr>
        <w:spacing w:before="105" w:after="105" w:line="360" w:lineRule="auto"/>
      </w:pPr>
      <w:r>
        <w:rPr>
          <w:rFonts w:ascii="inter" w:hAnsi="inter" w:eastAsia="inter" w:cs="inter"/>
          <w:color w:val="000000"/>
          <w:sz w:val="21"/>
        </w:rPr>
        <w:t>第一层：普遍性（全班/全校）支持</w:t>
      </w:r>
    </w:p>
    <w:p w14:paraId="64C5B1A4">
      <w:pPr>
        <w:spacing w:after="210" w:line="360" w:lineRule="auto"/>
      </w:pPr>
      <w:r>
        <w:rPr>
          <w:rFonts w:ascii="inter" w:hAnsi="inter" w:eastAsia="inter" w:cs="inter"/>
          <w:color w:val="000000"/>
        </w:rPr>
        <w:t>目标是通过全纳化的课程与环境设计，使绝大多数学生（包括相当部分ASD学生）在无额外个别化资源投入的情况下，也能获得足够的课堂参与机会。关键措施包括：</w:t>
      </w:r>
    </w:p>
    <w:p w14:paraId="3E594C54">
      <w:pPr>
        <w:numPr>
          <w:ilvl w:val="0"/>
          <w:numId w:val="49"/>
        </w:numPr>
        <w:spacing w:before="105" w:after="105" w:line="360" w:lineRule="auto"/>
      </w:pPr>
      <w:r>
        <w:rPr>
          <w:rFonts w:ascii="inter" w:hAnsi="inter" w:eastAsia="inter" w:cs="inter"/>
          <w:color w:val="000000"/>
          <w:sz w:val="21"/>
        </w:rPr>
        <w:t>在课程设计中系统运用UDL原则，多通道呈现内容，多路径参与活动；</w:t>
      </w:r>
      <w:bookmarkStart w:id="169" w:name="fnref28_3"/>
      <w:bookmarkEnd w:id="169"/>
      <w:r>
        <w:fldChar w:fldCharType="begin"/>
      </w:r>
      <w:r>
        <w:instrText xml:space="preserve"> HYPERLINK \l "fn28" \h </w:instrText>
      </w:r>
      <w:r>
        <w:fldChar w:fldCharType="separate"/>
      </w:r>
      <w:r>
        <w:rPr>
          <w:rFonts w:ascii="inter" w:hAnsi="inter" w:eastAsia="inter" w:cs="inter"/>
          <w:color w:val="000000"/>
          <w:sz w:val="21"/>
          <w:u w:val="single"/>
          <w:vertAlign w:val="superscript"/>
        </w:rPr>
        <w:t>[28]</w:t>
      </w:r>
      <w:r>
        <w:rPr>
          <w:rFonts w:ascii="inter" w:hAnsi="inter" w:eastAsia="inter" w:cs="inter"/>
          <w:color w:val="000000"/>
          <w:sz w:val="21"/>
          <w:u w:val="single"/>
          <w:vertAlign w:val="superscript"/>
        </w:rPr>
        <w:fldChar w:fldCharType="end"/>
      </w:r>
      <w:bookmarkStart w:id="170" w:name="fnref29_12"/>
      <w:bookmarkEnd w:id="170"/>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bookmarkStart w:id="171" w:name="fnref30_8"/>
      <w:bookmarkEnd w:id="171"/>
      <w:r>
        <w:fldChar w:fldCharType="begin"/>
      </w:r>
      <w:r>
        <w:instrText xml:space="preserve"> HYPERLINK \l "fn30" \h </w:instrText>
      </w:r>
      <w:r>
        <w:fldChar w:fldCharType="separate"/>
      </w:r>
      <w:r>
        <w:rPr>
          <w:rFonts w:ascii="inter" w:hAnsi="inter" w:eastAsia="inter" w:cs="inter"/>
          <w:color w:val="000000"/>
          <w:sz w:val="21"/>
          <w:u w:val="single"/>
          <w:vertAlign w:val="superscript"/>
        </w:rPr>
        <w:t>[30]</w:t>
      </w:r>
      <w:r>
        <w:rPr>
          <w:rFonts w:ascii="inter" w:hAnsi="inter" w:eastAsia="inter" w:cs="inter"/>
          <w:color w:val="000000"/>
          <w:sz w:val="21"/>
          <w:u w:val="single"/>
          <w:vertAlign w:val="superscript"/>
        </w:rPr>
        <w:fldChar w:fldCharType="end"/>
      </w:r>
    </w:p>
    <w:p w14:paraId="4D8D13E0">
      <w:pPr>
        <w:numPr>
          <w:ilvl w:val="0"/>
          <w:numId w:val="49"/>
        </w:numPr>
        <w:spacing w:before="105" w:after="105" w:line="360" w:lineRule="auto"/>
      </w:pPr>
      <w:r>
        <w:rPr>
          <w:rFonts w:ascii="inter" w:hAnsi="inter" w:eastAsia="inter" w:cs="inter"/>
          <w:color w:val="000000"/>
          <w:sz w:val="21"/>
        </w:rPr>
        <w:t>实施班级/学校层面PBIS：明确的行为期望、视觉化规则、常规行为教学与正向强化；</w:t>
      </w:r>
      <w:bookmarkStart w:id="172" w:name="fnref26_5"/>
      <w:bookmarkEnd w:id="172"/>
      <w:r>
        <w:fldChar w:fldCharType="begin"/>
      </w:r>
      <w:r>
        <w:instrText xml:space="preserve"> HYPERLINK \l "fn26" \h </w:instrText>
      </w:r>
      <w:r>
        <w:fldChar w:fldCharType="separate"/>
      </w:r>
      <w:r>
        <w:rPr>
          <w:rFonts w:ascii="inter" w:hAnsi="inter" w:eastAsia="inter" w:cs="inter"/>
          <w:color w:val="000000"/>
          <w:sz w:val="21"/>
          <w:u w:val="single"/>
          <w:vertAlign w:val="superscript"/>
        </w:rPr>
        <w:t>[26]</w:t>
      </w:r>
      <w:r>
        <w:rPr>
          <w:rFonts w:ascii="inter" w:hAnsi="inter" w:eastAsia="inter" w:cs="inter"/>
          <w:color w:val="000000"/>
          <w:sz w:val="21"/>
          <w:u w:val="single"/>
          <w:vertAlign w:val="superscript"/>
        </w:rPr>
        <w:fldChar w:fldCharType="end"/>
      </w:r>
      <w:bookmarkStart w:id="173" w:name="fnref27_4"/>
      <w:bookmarkEnd w:id="173"/>
      <w:r>
        <w:fldChar w:fldCharType="begin"/>
      </w:r>
      <w:r>
        <w:instrText xml:space="preserve"> HYPERLINK \l "fn27" \h </w:instrText>
      </w:r>
      <w:r>
        <w:fldChar w:fldCharType="separate"/>
      </w:r>
      <w:r>
        <w:rPr>
          <w:rFonts w:ascii="inter" w:hAnsi="inter" w:eastAsia="inter" w:cs="inter"/>
          <w:color w:val="000000"/>
          <w:sz w:val="21"/>
          <w:u w:val="single"/>
          <w:vertAlign w:val="superscript"/>
        </w:rPr>
        <w:t>[27]</w:t>
      </w:r>
      <w:r>
        <w:rPr>
          <w:rFonts w:ascii="inter" w:hAnsi="inter" w:eastAsia="inter" w:cs="inter"/>
          <w:color w:val="000000"/>
          <w:sz w:val="21"/>
          <w:u w:val="single"/>
          <w:vertAlign w:val="superscript"/>
        </w:rPr>
        <w:fldChar w:fldCharType="end"/>
      </w:r>
    </w:p>
    <w:p w14:paraId="0941A5F9">
      <w:pPr>
        <w:numPr>
          <w:ilvl w:val="0"/>
          <w:numId w:val="49"/>
        </w:numPr>
        <w:spacing w:before="105" w:after="105" w:line="360" w:lineRule="auto"/>
      </w:pPr>
      <w:r>
        <w:rPr>
          <w:rFonts w:ascii="inter" w:hAnsi="inter" w:eastAsia="inter" w:cs="inter"/>
          <w:color w:val="000000"/>
          <w:sz w:val="21"/>
        </w:rPr>
        <w:t>建立基础的感官友好环境标准（噪音控制、可调光线、安静角、灵活座位等）；</w:t>
      </w:r>
      <w:bookmarkStart w:id="174" w:name="fnref38_2"/>
      <w:bookmarkEnd w:id="174"/>
      <w:r>
        <w:fldChar w:fldCharType="begin"/>
      </w:r>
      <w:r>
        <w:instrText xml:space="preserve"> HYPERLINK \l "fn38" \h </w:instrText>
      </w:r>
      <w:r>
        <w:fldChar w:fldCharType="separate"/>
      </w:r>
      <w:r>
        <w:rPr>
          <w:rFonts w:ascii="inter" w:hAnsi="inter" w:eastAsia="inter" w:cs="inter"/>
          <w:color w:val="000000"/>
          <w:sz w:val="21"/>
          <w:u w:val="single"/>
          <w:vertAlign w:val="superscript"/>
        </w:rPr>
        <w:t>[38]</w:t>
      </w:r>
      <w:r>
        <w:rPr>
          <w:rFonts w:ascii="inter" w:hAnsi="inter" w:eastAsia="inter" w:cs="inter"/>
          <w:color w:val="000000"/>
          <w:sz w:val="21"/>
          <w:u w:val="single"/>
          <w:vertAlign w:val="superscript"/>
        </w:rPr>
        <w:fldChar w:fldCharType="end"/>
      </w:r>
      <w:bookmarkStart w:id="175" w:name="fnref41_1"/>
      <w:bookmarkEnd w:id="175"/>
      <w:r>
        <w:fldChar w:fldCharType="begin"/>
      </w:r>
      <w:r>
        <w:instrText xml:space="preserve"> HYPERLINK \l "fn41" \h </w:instrText>
      </w:r>
      <w:r>
        <w:fldChar w:fldCharType="separate"/>
      </w:r>
      <w:r>
        <w:rPr>
          <w:rFonts w:ascii="inter" w:hAnsi="inter" w:eastAsia="inter" w:cs="inter"/>
          <w:color w:val="000000"/>
          <w:sz w:val="21"/>
          <w:u w:val="single"/>
          <w:vertAlign w:val="superscript"/>
        </w:rPr>
        <w:t>[41]</w:t>
      </w:r>
      <w:r>
        <w:rPr>
          <w:rFonts w:ascii="inter" w:hAnsi="inter" w:eastAsia="inter" w:cs="inter"/>
          <w:color w:val="000000"/>
          <w:sz w:val="21"/>
          <w:u w:val="single"/>
          <w:vertAlign w:val="superscript"/>
        </w:rPr>
        <w:fldChar w:fldCharType="end"/>
      </w:r>
      <w:bookmarkStart w:id="176" w:name="fnref16_4"/>
      <w:bookmarkEnd w:id="176"/>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bookmarkStart w:id="177" w:name="fnref37_5"/>
      <w:bookmarkEnd w:id="177"/>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p>
    <w:p w14:paraId="68844762">
      <w:pPr>
        <w:numPr>
          <w:ilvl w:val="0"/>
          <w:numId w:val="49"/>
        </w:numPr>
        <w:spacing w:before="105" w:after="105" w:line="360" w:lineRule="auto"/>
      </w:pPr>
      <w:r>
        <w:rPr>
          <w:rFonts w:ascii="inter" w:hAnsi="inter" w:eastAsia="inter" w:cs="inter"/>
          <w:color w:val="000000"/>
          <w:sz w:val="21"/>
        </w:rPr>
        <w:t>将视觉日程和基本工作系统作为“班级标配”，而非仅为个别学生配置。</w:t>
      </w:r>
      <w:bookmarkStart w:id="178" w:name="fnref18_7"/>
      <w:bookmarkEnd w:id="178"/>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bookmarkStart w:id="179" w:name="fnref29_13"/>
      <w:bookmarkEnd w:id="179"/>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bookmarkStart w:id="180" w:name="fnref30_9"/>
      <w:bookmarkEnd w:id="180"/>
      <w:r>
        <w:fldChar w:fldCharType="begin"/>
      </w:r>
      <w:r>
        <w:instrText xml:space="preserve"> HYPERLINK \l "fn30" \h </w:instrText>
      </w:r>
      <w:r>
        <w:fldChar w:fldCharType="separate"/>
      </w:r>
      <w:r>
        <w:rPr>
          <w:rFonts w:ascii="inter" w:hAnsi="inter" w:eastAsia="inter" w:cs="inter"/>
          <w:color w:val="000000"/>
          <w:sz w:val="21"/>
          <w:u w:val="single"/>
          <w:vertAlign w:val="superscript"/>
        </w:rPr>
        <w:t>[30]</w:t>
      </w:r>
      <w:r>
        <w:rPr>
          <w:rFonts w:ascii="inter" w:hAnsi="inter" w:eastAsia="inter" w:cs="inter"/>
          <w:color w:val="000000"/>
          <w:sz w:val="21"/>
          <w:u w:val="single"/>
          <w:vertAlign w:val="superscript"/>
        </w:rPr>
        <w:fldChar w:fldCharType="end"/>
      </w:r>
    </w:p>
    <w:p w14:paraId="404AF217">
      <w:pPr>
        <w:numPr>
          <w:ilvl w:val="0"/>
          <w:numId w:val="50"/>
        </w:numPr>
        <w:spacing w:before="105" w:after="105" w:line="360" w:lineRule="auto"/>
      </w:pPr>
      <w:r>
        <w:rPr>
          <w:rFonts w:ascii="inter" w:hAnsi="inter" w:eastAsia="inter" w:cs="inter"/>
          <w:color w:val="000000"/>
          <w:sz w:val="21"/>
        </w:rPr>
        <w:t>第二层：针对性小组支持</w:t>
      </w:r>
    </w:p>
    <w:p w14:paraId="28B0BA37">
      <w:pPr>
        <w:spacing w:after="210" w:line="360" w:lineRule="auto"/>
      </w:pPr>
      <w:r>
        <w:rPr>
          <w:rFonts w:ascii="inter" w:hAnsi="inter" w:eastAsia="inter" w:cs="inter"/>
          <w:color w:val="000000"/>
        </w:rPr>
        <w:t>针对在普遍支持下仍参与度不足的一部分ASD学生和其他有困难的学生，提供小组形式的强化支持：</w:t>
      </w:r>
    </w:p>
    <w:p w14:paraId="725DFFCA">
      <w:pPr>
        <w:numPr>
          <w:ilvl w:val="0"/>
          <w:numId w:val="51"/>
        </w:numPr>
        <w:spacing w:before="105" w:after="105" w:line="360" w:lineRule="auto"/>
      </w:pPr>
      <w:r>
        <w:rPr>
          <w:rFonts w:ascii="inter" w:hAnsi="inter" w:eastAsia="inter" w:cs="inter"/>
          <w:color w:val="000000"/>
          <w:sz w:val="21"/>
        </w:rPr>
        <w:t>小组社交技能训练、社交故事小组、合作学习小组；</w:t>
      </w:r>
    </w:p>
    <w:p w14:paraId="48BC4F17">
      <w:pPr>
        <w:numPr>
          <w:ilvl w:val="0"/>
          <w:numId w:val="51"/>
        </w:numPr>
        <w:spacing w:before="105" w:after="105" w:line="360" w:lineRule="auto"/>
      </w:pPr>
      <w:r>
        <w:rPr>
          <w:rFonts w:ascii="inter" w:hAnsi="inter" w:eastAsia="inter" w:cs="inter"/>
          <w:color w:val="000000"/>
          <w:sz w:val="21"/>
        </w:rPr>
        <w:t>针对课堂参与技能（如举手、轮流发言、完成任务）的自我监控小组训练；</w:t>
      </w:r>
      <w:bookmarkStart w:id="181" w:name="fnref35_7"/>
      <w:bookmarkEnd w:id="181"/>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p>
    <w:p w14:paraId="49BE20D9">
      <w:pPr>
        <w:numPr>
          <w:ilvl w:val="0"/>
          <w:numId w:val="51"/>
        </w:numPr>
        <w:spacing w:before="105" w:after="105" w:line="360" w:lineRule="auto"/>
      </w:pPr>
      <w:r>
        <w:rPr>
          <w:rFonts w:ascii="inter" w:hAnsi="inter" w:eastAsia="inter" w:cs="inter"/>
          <w:color w:val="000000"/>
          <w:sz w:val="21"/>
        </w:rPr>
        <w:t>对拥有相似兴趣的ASD学生和同伴建立“兴趣小组”，通过聚焦兴趣的教学提升课堂整体参与。</w:t>
      </w:r>
      <w:bookmarkStart w:id="182" w:name="fnref42"/>
      <w:bookmarkEnd w:id="182"/>
      <w:r>
        <w:fldChar w:fldCharType="begin"/>
      </w:r>
      <w:r>
        <w:instrText xml:space="preserve"> HYPERLINK \l "fn42" \h </w:instrText>
      </w:r>
      <w:r>
        <w:fldChar w:fldCharType="separate"/>
      </w:r>
      <w:r>
        <w:rPr>
          <w:rFonts w:ascii="inter" w:hAnsi="inter" w:eastAsia="inter" w:cs="inter"/>
          <w:color w:val="000000"/>
          <w:sz w:val="21"/>
          <w:u w:val="single"/>
          <w:vertAlign w:val="superscript"/>
        </w:rPr>
        <w:t>[42]</w:t>
      </w:r>
      <w:r>
        <w:rPr>
          <w:rFonts w:ascii="inter" w:hAnsi="inter" w:eastAsia="inter" w:cs="inter"/>
          <w:color w:val="000000"/>
          <w:sz w:val="21"/>
          <w:u w:val="single"/>
          <w:vertAlign w:val="superscript"/>
        </w:rPr>
        <w:fldChar w:fldCharType="end"/>
      </w:r>
      <w:bookmarkStart w:id="183" w:name="fnref17_9"/>
      <w:bookmarkEnd w:id="183"/>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p>
    <w:p w14:paraId="4E746002">
      <w:pPr>
        <w:numPr>
          <w:ilvl w:val="0"/>
          <w:numId w:val="52"/>
        </w:numPr>
        <w:spacing w:before="105" w:after="105" w:line="360" w:lineRule="auto"/>
      </w:pPr>
      <w:r>
        <w:rPr>
          <w:rFonts w:ascii="inter" w:hAnsi="inter" w:eastAsia="inter" w:cs="inter"/>
          <w:color w:val="000000"/>
          <w:sz w:val="21"/>
        </w:rPr>
        <w:t>第三层：个别化密集支持</w:t>
      </w:r>
    </w:p>
    <w:p w14:paraId="3928181B">
      <w:pPr>
        <w:spacing w:after="210" w:line="360" w:lineRule="auto"/>
      </w:pPr>
      <w:r>
        <w:rPr>
          <w:rFonts w:ascii="inter" w:hAnsi="inter" w:eastAsia="inter" w:cs="inter"/>
          <w:color w:val="000000"/>
        </w:rPr>
        <w:t>对在前两层支持下仍存在显著参与障碍的学生，提供高度个别化的教育计划：</w:t>
      </w:r>
    </w:p>
    <w:p w14:paraId="5F04B816">
      <w:pPr>
        <w:numPr>
          <w:ilvl w:val="0"/>
          <w:numId w:val="53"/>
        </w:numPr>
        <w:spacing w:before="105" w:after="105" w:line="360" w:lineRule="auto"/>
      </w:pPr>
      <w:r>
        <w:rPr>
          <w:rFonts w:ascii="inter" w:hAnsi="inter" w:eastAsia="inter" w:cs="inter"/>
          <w:color w:val="000000"/>
          <w:sz w:val="21"/>
        </w:rPr>
        <w:t>制定IEP/个别化学习计划，明确课堂参与的可操作目标和监测指标（如每节课主动发言次数、合作任务参与比例等）；</w:t>
      </w:r>
    </w:p>
    <w:p w14:paraId="4230E9FB">
      <w:pPr>
        <w:numPr>
          <w:ilvl w:val="0"/>
          <w:numId w:val="53"/>
        </w:numPr>
        <w:spacing w:before="105" w:after="105" w:line="360" w:lineRule="auto"/>
      </w:pPr>
      <w:r>
        <w:rPr>
          <w:rFonts w:ascii="inter" w:hAnsi="inter" w:eastAsia="inter" w:cs="inter"/>
          <w:color w:val="000000"/>
          <w:sz w:val="21"/>
        </w:rPr>
        <w:t>配置个别化AAC、辅助技术和结构化支持，并与家庭和治疗机构协作统一策略；</w:t>
      </w:r>
      <w:bookmarkStart w:id="184" w:name="fnref8_1"/>
      <w:bookmarkEnd w:id="184"/>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185" w:name="fnref7_2"/>
      <w:bookmarkEnd w:id="185"/>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186" w:name="fnref10_1"/>
      <w:bookmarkEnd w:id="186"/>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187" w:name="fnref9_6"/>
      <w:bookmarkEnd w:id="187"/>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5A1D9EA0">
      <w:pPr>
        <w:numPr>
          <w:ilvl w:val="0"/>
          <w:numId w:val="53"/>
        </w:numPr>
        <w:spacing w:before="105" w:after="105" w:line="360" w:lineRule="auto"/>
      </w:pPr>
      <w:r>
        <w:rPr>
          <w:rFonts w:ascii="inter" w:hAnsi="inter" w:eastAsia="inter" w:cs="inter"/>
          <w:color w:val="000000"/>
          <w:sz w:val="21"/>
        </w:rPr>
        <w:t>开展FBA，制定功能性行为干预计划（包括环境调整、替代行为教学和强化方案）。</w:t>
      </w:r>
      <w:bookmarkStart w:id="188" w:name="fnref25_2"/>
      <w:bookmarkEnd w:id="188"/>
      <w:r>
        <w:fldChar w:fldCharType="begin"/>
      </w:r>
      <w:r>
        <w:instrText xml:space="preserve"> HYPERLINK \l "fn25" \h </w:instrText>
      </w:r>
      <w:r>
        <w:fldChar w:fldCharType="separate"/>
      </w:r>
      <w:r>
        <w:rPr>
          <w:rFonts w:ascii="inter" w:hAnsi="inter" w:eastAsia="inter" w:cs="inter"/>
          <w:color w:val="000000"/>
          <w:sz w:val="21"/>
          <w:u w:val="single"/>
          <w:vertAlign w:val="superscript"/>
        </w:rPr>
        <w:t>[25]</w:t>
      </w:r>
      <w:r>
        <w:rPr>
          <w:rFonts w:ascii="inter" w:hAnsi="inter" w:eastAsia="inter" w:cs="inter"/>
          <w:color w:val="000000"/>
          <w:sz w:val="21"/>
          <w:u w:val="single"/>
          <w:vertAlign w:val="superscript"/>
        </w:rPr>
        <w:fldChar w:fldCharType="end"/>
      </w:r>
      <w:bookmarkStart w:id="189" w:name="fnref17_10"/>
      <w:bookmarkEnd w:id="189"/>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p>
    <w:p w14:paraId="580D85D8">
      <w:pPr>
        <w:spacing w:after="210" w:line="360" w:lineRule="auto"/>
      </w:pPr>
      <w:r>
        <w:rPr>
          <w:rFonts w:ascii="inter" w:hAnsi="inter" w:eastAsia="inter" w:cs="inter"/>
          <w:color w:val="000000"/>
        </w:rPr>
        <w:t>（文字化“流程图”描述：从底部向上是三层塔型结构，底层为面向全体学生的UDL+PBIS+基础结构化与感官友好环境；中间层为小组社交和参与技能提升干预；顶层为IEP和高度个别化的行为与沟通支持。每一层都依赖数据监测来决定学生是否需要向上或向下调整支持强度。）</w:t>
      </w:r>
    </w:p>
    <w:p w14:paraId="167EFE53">
      <w:pPr>
        <w:spacing w:before="315" w:after="105" w:line="360" w:lineRule="auto"/>
        <w:ind w:left="-30"/>
        <w:jc w:val="left"/>
      </w:pPr>
      <w:bookmarkStart w:id="190" w:name="二_实施步骤_从试点到制度化"/>
      <w:r>
        <w:rPr>
          <w:rFonts w:ascii="inter" w:hAnsi="inter" w:eastAsia="inter" w:cs="inter"/>
          <w:b/>
          <w:color w:val="000000"/>
          <w:sz w:val="24"/>
        </w:rPr>
        <w:t>（二）实施步骤：从试点到制度化</w:t>
      </w:r>
      <w:bookmarkEnd w:id="190"/>
    </w:p>
    <w:p w14:paraId="0BAB5B8D">
      <w:pPr>
        <w:spacing w:after="210" w:line="360" w:lineRule="auto"/>
      </w:pPr>
      <w:r>
        <w:rPr>
          <w:rFonts w:ascii="inter" w:hAnsi="inter" w:eastAsia="inter" w:cs="inter"/>
          <w:color w:val="000000"/>
        </w:rPr>
        <w:t>为确保策略可持续落地，建议将实施过程拆分为“准备—试点—扩展与制度化”三阶段。</w:t>
      </w:r>
    </w:p>
    <w:p w14:paraId="7FD711FB">
      <w:pPr>
        <w:numPr>
          <w:ilvl w:val="0"/>
          <w:numId w:val="54"/>
        </w:numPr>
        <w:spacing w:before="105" w:after="105" w:line="360" w:lineRule="auto"/>
      </w:pPr>
      <w:r>
        <w:rPr>
          <w:rFonts w:ascii="inter" w:hAnsi="inter" w:eastAsia="inter" w:cs="inter"/>
          <w:color w:val="000000"/>
          <w:sz w:val="21"/>
        </w:rPr>
        <w:t>实施步骤总览表</w:t>
      </w:r>
    </w:p>
    <w:p w14:paraId="6C624DBF">
      <w:pPr>
        <w:spacing w:after="210" w:line="360" w:lineRule="auto"/>
      </w:pPr>
      <w:r>
        <w:rPr>
          <w:rFonts w:ascii="inter" w:hAnsi="inter" w:eastAsia="inter" w:cs="inter"/>
          <w:color w:val="000000"/>
        </w:rPr>
        <w:t>（文字说明：下表按三个阶段列出关键任务、责任主体和关键产出，有助于教育行政部门和学校制定时间表与责任分工。）</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06"/>
        <w:gridCol w:w="4091"/>
        <w:gridCol w:w="2057"/>
        <w:gridCol w:w="2586"/>
      </w:tblGrid>
      <w:tr w14:paraId="7FB569D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E08AF3C">
            <w:pPr>
              <w:spacing w:after="0" w:line="360" w:lineRule="auto"/>
            </w:pPr>
            <w:r>
              <w:rPr>
                <w:rFonts w:ascii="inter" w:hAnsi="inter" w:eastAsia="inter" w:cs="inter"/>
                <w:color w:val="000000"/>
                <w:sz w:val="17"/>
              </w:rPr>
              <w:t>阶段</w:t>
            </w:r>
          </w:p>
        </w:tc>
        <w:tc>
          <w:tcPr>
            <w:tcBorders>
              <w:top w:val="single" w:color="000000" w:sz="0" w:space="0"/>
              <w:bottom w:val="single" w:color="000000" w:sz="0" w:space="0"/>
              <w:right w:val="single" w:color="000000" w:sz="0" w:space="0"/>
            </w:tcBorders>
          </w:tcPr>
          <w:p w14:paraId="1DCB64B6">
            <w:pPr>
              <w:spacing w:after="0" w:line="360" w:lineRule="auto"/>
            </w:pPr>
            <w:r>
              <w:rPr>
                <w:rFonts w:ascii="inter" w:hAnsi="inter" w:eastAsia="inter" w:cs="inter"/>
                <w:color w:val="000000"/>
                <w:sz w:val="17"/>
              </w:rPr>
              <w:t>关键任务</w:t>
            </w:r>
          </w:p>
        </w:tc>
        <w:tc>
          <w:tcPr>
            <w:tcBorders>
              <w:top w:val="single" w:color="000000" w:sz="0" w:space="0"/>
              <w:bottom w:val="single" w:color="000000" w:sz="0" w:space="0"/>
              <w:right w:val="single" w:color="000000" w:sz="0" w:space="0"/>
            </w:tcBorders>
          </w:tcPr>
          <w:p w14:paraId="3FC92100">
            <w:pPr>
              <w:spacing w:after="0" w:line="360" w:lineRule="auto"/>
            </w:pPr>
            <w:r>
              <w:rPr>
                <w:rFonts w:ascii="inter" w:hAnsi="inter" w:eastAsia="inter" w:cs="inter"/>
                <w:color w:val="000000"/>
                <w:sz w:val="17"/>
              </w:rPr>
              <w:t>主要责任主体</w:t>
            </w:r>
          </w:p>
        </w:tc>
        <w:tc>
          <w:tcPr>
            <w:tcBorders>
              <w:top w:val="single" w:color="000000" w:sz="0" w:space="0"/>
              <w:bottom w:val="single" w:color="000000" w:sz="0" w:space="0"/>
            </w:tcBorders>
          </w:tcPr>
          <w:p w14:paraId="334DAA01">
            <w:pPr>
              <w:spacing w:after="0" w:line="360" w:lineRule="auto"/>
            </w:pPr>
            <w:r>
              <w:rPr>
                <w:rFonts w:ascii="inter" w:hAnsi="inter" w:eastAsia="inter" w:cs="inter"/>
                <w:color w:val="000000"/>
                <w:sz w:val="17"/>
              </w:rPr>
              <w:t>关键产出/里程碑</w:t>
            </w:r>
          </w:p>
        </w:tc>
      </w:tr>
      <w:tr w14:paraId="65E0B0D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8BA4CCF">
            <w:pPr>
              <w:spacing w:after="0" w:line="360" w:lineRule="auto"/>
            </w:pPr>
            <w:r>
              <w:rPr>
                <w:rFonts w:ascii="inter" w:hAnsi="inter" w:eastAsia="inter" w:cs="inter"/>
                <w:color w:val="000000"/>
                <w:sz w:val="17"/>
              </w:rPr>
              <w:t>准备阶段</w:t>
            </w:r>
          </w:p>
        </w:tc>
        <w:tc>
          <w:tcPr>
            <w:tcBorders>
              <w:top w:val="single" w:color="000000" w:sz="0" w:space="0"/>
              <w:bottom w:val="single" w:color="000000" w:sz="0" w:space="0"/>
              <w:right w:val="single" w:color="000000" w:sz="0" w:space="0"/>
            </w:tcBorders>
          </w:tcPr>
          <w:p w14:paraId="3E2D18C7">
            <w:pPr>
              <w:spacing w:after="0" w:line="360" w:lineRule="auto"/>
            </w:pPr>
            <w:r>
              <w:rPr>
                <w:rFonts w:ascii="inter" w:hAnsi="inter" w:eastAsia="inter" w:cs="inter"/>
                <w:color w:val="000000"/>
                <w:sz w:val="17"/>
              </w:rPr>
              <w:t>现状诊断、利益相关方动员、政策与资源整合</w:t>
            </w:r>
          </w:p>
        </w:tc>
        <w:tc>
          <w:tcPr>
            <w:tcBorders>
              <w:top w:val="single" w:color="000000" w:sz="0" w:space="0"/>
              <w:bottom w:val="single" w:color="000000" w:sz="0" w:space="0"/>
              <w:right w:val="single" w:color="000000" w:sz="0" w:space="0"/>
            </w:tcBorders>
          </w:tcPr>
          <w:p w14:paraId="5672E7B7">
            <w:pPr>
              <w:spacing w:after="0" w:line="360" w:lineRule="auto"/>
            </w:pPr>
            <w:r>
              <w:rPr>
                <w:rFonts w:ascii="inter" w:hAnsi="inter" w:eastAsia="inter" w:cs="inter"/>
                <w:color w:val="000000"/>
                <w:sz w:val="17"/>
              </w:rPr>
              <w:t>教育行政部门、学校领导、专业机构</w:t>
            </w:r>
          </w:p>
        </w:tc>
        <w:tc>
          <w:tcPr>
            <w:tcBorders>
              <w:top w:val="single" w:color="000000" w:sz="0" w:space="0"/>
              <w:bottom w:val="single" w:color="000000" w:sz="0" w:space="0"/>
            </w:tcBorders>
          </w:tcPr>
          <w:p w14:paraId="19153DFA">
            <w:pPr>
              <w:spacing w:after="0" w:line="360" w:lineRule="auto"/>
            </w:pPr>
            <w:r>
              <w:rPr>
                <w:rFonts w:ascii="inter" w:hAnsi="inter" w:eastAsia="inter" w:cs="inter"/>
                <w:color w:val="000000"/>
                <w:sz w:val="17"/>
              </w:rPr>
              <w:t>诊断报告、行动框架、试点学校/班级遴选</w:t>
            </w:r>
          </w:p>
        </w:tc>
      </w:tr>
      <w:tr w14:paraId="0A71759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0324835">
            <w:pPr>
              <w:spacing w:after="0" w:line="360" w:lineRule="auto"/>
            </w:pPr>
            <w:r>
              <w:rPr>
                <w:rFonts w:ascii="inter" w:hAnsi="inter" w:eastAsia="inter" w:cs="inter"/>
                <w:color w:val="000000"/>
                <w:sz w:val="17"/>
              </w:rPr>
              <w:t>试点实施阶段</w:t>
            </w:r>
          </w:p>
        </w:tc>
        <w:tc>
          <w:tcPr>
            <w:tcBorders>
              <w:top w:val="single" w:color="000000" w:sz="0" w:space="0"/>
              <w:bottom w:val="single" w:color="000000" w:sz="0" w:space="0"/>
              <w:right w:val="single" w:color="000000" w:sz="0" w:space="0"/>
            </w:tcBorders>
          </w:tcPr>
          <w:p w14:paraId="6E16E5BA">
            <w:pPr>
              <w:spacing w:after="0" w:line="360" w:lineRule="auto"/>
            </w:pPr>
            <w:r>
              <w:rPr>
                <w:rFonts w:ascii="inter" w:hAnsi="inter" w:eastAsia="inter" w:cs="inter"/>
                <w:color w:val="000000"/>
                <w:sz w:val="17"/>
              </w:rPr>
              <w:t>教师培训、课堂示范与同伴指导、数据收集与调整</w:t>
            </w:r>
          </w:p>
        </w:tc>
        <w:tc>
          <w:tcPr>
            <w:tcBorders>
              <w:top w:val="single" w:color="000000" w:sz="0" w:space="0"/>
              <w:bottom w:val="single" w:color="000000" w:sz="0" w:space="0"/>
              <w:right w:val="single" w:color="000000" w:sz="0" w:space="0"/>
            </w:tcBorders>
          </w:tcPr>
          <w:p w14:paraId="20334A84">
            <w:pPr>
              <w:spacing w:after="0" w:line="360" w:lineRule="auto"/>
            </w:pPr>
            <w:r>
              <w:rPr>
                <w:rFonts w:ascii="inter" w:hAnsi="inter" w:eastAsia="inter" w:cs="inter"/>
                <w:color w:val="000000"/>
                <w:sz w:val="17"/>
              </w:rPr>
              <w:t>试点学校管理层、一线教师、督导团队</w:t>
            </w:r>
          </w:p>
        </w:tc>
        <w:tc>
          <w:tcPr>
            <w:tcBorders>
              <w:top w:val="single" w:color="000000" w:sz="0" w:space="0"/>
              <w:bottom w:val="single" w:color="000000" w:sz="0" w:space="0"/>
            </w:tcBorders>
          </w:tcPr>
          <w:p w14:paraId="4AA09DEC">
            <w:pPr>
              <w:spacing w:after="0" w:line="360" w:lineRule="auto"/>
            </w:pPr>
            <w:r>
              <w:rPr>
                <w:rFonts w:ascii="inter" w:hAnsi="inter" w:eastAsia="inter" w:cs="inter"/>
                <w:color w:val="000000"/>
                <w:sz w:val="17"/>
              </w:rPr>
              <w:t>一批示范课堂、初步成效数据、修订后的操作指南</w:t>
            </w:r>
          </w:p>
        </w:tc>
      </w:tr>
      <w:tr w14:paraId="7801D37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A02CC81">
            <w:pPr>
              <w:spacing w:after="0" w:line="360" w:lineRule="auto"/>
            </w:pPr>
            <w:r>
              <w:rPr>
                <w:rFonts w:ascii="inter" w:hAnsi="inter" w:eastAsia="inter" w:cs="inter"/>
                <w:color w:val="000000"/>
                <w:sz w:val="17"/>
              </w:rPr>
              <w:t>扩展与制度化阶段</w:t>
            </w:r>
          </w:p>
        </w:tc>
        <w:tc>
          <w:tcPr>
            <w:tcBorders>
              <w:top w:val="single" w:color="000000" w:sz="0" w:space="0"/>
              <w:bottom w:val="single" w:color="000000" w:sz="0" w:space="0"/>
              <w:right w:val="single" w:color="000000" w:sz="0" w:space="0"/>
            </w:tcBorders>
          </w:tcPr>
          <w:p w14:paraId="33F49880">
            <w:pPr>
              <w:spacing w:after="0" w:line="360" w:lineRule="auto"/>
            </w:pPr>
            <w:r>
              <w:rPr>
                <w:rFonts w:ascii="inter" w:hAnsi="inter" w:eastAsia="inter" w:cs="inter"/>
                <w:color w:val="000000"/>
                <w:sz w:val="17"/>
              </w:rPr>
              <w:t>在全校/区域推广多层级支持，将UDL、PBIS、TEACCH等写入制度，纳入督导与评估</w:t>
            </w:r>
          </w:p>
        </w:tc>
        <w:tc>
          <w:tcPr>
            <w:tcBorders>
              <w:top w:val="single" w:color="000000" w:sz="0" w:space="0"/>
              <w:bottom w:val="single" w:color="000000" w:sz="0" w:space="0"/>
              <w:right w:val="single" w:color="000000" w:sz="0" w:space="0"/>
            </w:tcBorders>
          </w:tcPr>
          <w:p w14:paraId="66F2BCB9">
            <w:pPr>
              <w:spacing w:after="0" w:line="360" w:lineRule="auto"/>
            </w:pPr>
            <w:r>
              <w:rPr>
                <w:rFonts w:ascii="inter" w:hAnsi="inter" w:eastAsia="inter" w:cs="inter"/>
                <w:color w:val="000000"/>
                <w:sz w:val="17"/>
              </w:rPr>
              <w:t>教育行政部门、教研机构、师资培训机构</w:t>
            </w:r>
          </w:p>
        </w:tc>
        <w:tc>
          <w:tcPr>
            <w:tcBorders>
              <w:top w:val="single" w:color="000000" w:sz="0" w:space="0"/>
              <w:bottom w:val="single" w:color="000000" w:sz="0" w:space="0"/>
            </w:tcBorders>
          </w:tcPr>
          <w:p w14:paraId="7E40009E">
            <w:pPr>
              <w:spacing w:after="0" w:line="360" w:lineRule="auto"/>
            </w:pPr>
            <w:r>
              <w:rPr>
                <w:rFonts w:ascii="inter" w:hAnsi="inter" w:eastAsia="inter" w:cs="inter"/>
                <w:color w:val="000000"/>
                <w:sz w:val="17"/>
              </w:rPr>
              <w:t>制度文本、常态化培训体系、纳入质量评估体系的指标</w:t>
            </w:r>
          </w:p>
        </w:tc>
      </w:tr>
    </w:tbl>
    <w:p w14:paraId="11DCDFB7"/>
    <w:p w14:paraId="2CFFFA6F">
      <w:pPr>
        <w:numPr>
          <w:ilvl w:val="0"/>
          <w:numId w:val="55"/>
        </w:numPr>
        <w:spacing w:before="105" w:after="105" w:line="360" w:lineRule="auto"/>
      </w:pPr>
      <w:r>
        <w:rPr>
          <w:rFonts w:ascii="inter" w:hAnsi="inter" w:eastAsia="inter" w:cs="inter"/>
          <w:color w:val="000000"/>
          <w:sz w:val="21"/>
        </w:rPr>
        <w:t>阶段性工作要点</w:t>
      </w:r>
    </w:p>
    <w:p w14:paraId="222E2CDF">
      <w:pPr>
        <w:spacing w:after="210" w:line="360" w:lineRule="auto"/>
      </w:pPr>
      <w:r>
        <w:rPr>
          <w:rFonts w:ascii="inter" w:hAnsi="inter" w:eastAsia="inter" w:cs="inter"/>
          <w:color w:val="000000"/>
        </w:rPr>
        <w:t>（1）准备阶段</w:t>
      </w:r>
    </w:p>
    <w:p w14:paraId="05A84E2E">
      <w:pPr>
        <w:numPr>
          <w:ilvl w:val="0"/>
          <w:numId w:val="56"/>
        </w:numPr>
        <w:spacing w:before="105" w:after="105" w:line="360" w:lineRule="auto"/>
      </w:pPr>
      <w:r>
        <w:rPr>
          <w:rFonts w:ascii="inter" w:hAnsi="inter" w:eastAsia="inter" w:cs="inter"/>
          <w:color w:val="000000"/>
          <w:sz w:val="21"/>
        </w:rPr>
        <w:t>开展系统性基线评估：包括ASD学生数量与分布、已有课堂支持情况、教师知能水平和学校环境审计（UDL与感官友好程度）；</w:t>
      </w:r>
      <w:bookmarkStart w:id="191" w:name="fnref39_4"/>
      <w:bookmarkEnd w:id="191"/>
      <w:r>
        <w:fldChar w:fldCharType="begin"/>
      </w:r>
      <w:r>
        <w:instrText xml:space="preserve"> HYPERLINK \l "fn39" \h </w:instrText>
      </w:r>
      <w:r>
        <w:fldChar w:fldCharType="separate"/>
      </w:r>
      <w:r>
        <w:rPr>
          <w:rFonts w:ascii="inter" w:hAnsi="inter" w:eastAsia="inter" w:cs="inter"/>
          <w:color w:val="000000"/>
          <w:sz w:val="21"/>
          <w:u w:val="single"/>
          <w:vertAlign w:val="superscript"/>
        </w:rPr>
        <w:t>[39]</w:t>
      </w:r>
      <w:r>
        <w:rPr>
          <w:rFonts w:ascii="inter" w:hAnsi="inter" w:eastAsia="inter" w:cs="inter"/>
          <w:color w:val="000000"/>
          <w:sz w:val="21"/>
          <w:u w:val="single"/>
          <w:vertAlign w:val="superscript"/>
        </w:rPr>
        <w:fldChar w:fldCharType="end"/>
      </w:r>
      <w:bookmarkStart w:id="192" w:name="fnref7_3"/>
      <w:bookmarkEnd w:id="192"/>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193" w:name="fnref11_2"/>
      <w:bookmarkEnd w:id="193"/>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465F6969">
      <w:pPr>
        <w:numPr>
          <w:ilvl w:val="0"/>
          <w:numId w:val="56"/>
        </w:numPr>
        <w:spacing w:before="105" w:after="105" w:line="360" w:lineRule="auto"/>
      </w:pPr>
      <w:r>
        <w:rPr>
          <w:rFonts w:ascii="inter" w:hAnsi="inter" w:eastAsia="inter" w:cs="inter"/>
          <w:color w:val="000000"/>
          <w:sz w:val="21"/>
        </w:rPr>
        <w:t>融合现有政策：与本地区特殊教育行动计划、教康融合方案和残障儿童关爱行动相衔接，避免“另起炉灶”；</w:t>
      </w:r>
      <w:bookmarkStart w:id="194" w:name="fnref12_2"/>
      <w:bookmarkEnd w:id="194"/>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195" w:name="fnref10_2"/>
      <w:bookmarkEnd w:id="195"/>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196" w:name="fnref11_3"/>
      <w:bookmarkEnd w:id="196"/>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36221D4A">
      <w:pPr>
        <w:numPr>
          <w:ilvl w:val="0"/>
          <w:numId w:val="56"/>
        </w:numPr>
        <w:spacing w:before="105" w:after="105" w:line="360" w:lineRule="auto"/>
      </w:pPr>
      <w:r>
        <w:rPr>
          <w:rFonts w:ascii="inter" w:hAnsi="inter" w:eastAsia="inter" w:cs="inter"/>
          <w:color w:val="000000"/>
          <w:sz w:val="21"/>
        </w:rPr>
        <w:t>组建多专业支持团队：包括特殊教育教师、心理/行为专家、言语治疗师、职业治疗师等，形成学校层面的“ASD支持核心小组”。</w:t>
      </w:r>
      <w:bookmarkStart w:id="197" w:name="fnref7_4"/>
      <w:bookmarkEnd w:id="197"/>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198" w:name="fnref10_3"/>
      <w:bookmarkEnd w:id="198"/>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199" w:name="fnref17_11"/>
      <w:bookmarkEnd w:id="199"/>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p>
    <w:p w14:paraId="6041C814">
      <w:pPr>
        <w:spacing w:after="210" w:line="360" w:lineRule="auto"/>
      </w:pPr>
      <w:r>
        <w:rPr>
          <w:rFonts w:ascii="inter" w:hAnsi="inter" w:eastAsia="inter" w:cs="inter"/>
          <w:color w:val="000000"/>
        </w:rPr>
        <w:t>（2）试点实施阶段</w:t>
      </w:r>
    </w:p>
    <w:p w14:paraId="3ED188E0">
      <w:pPr>
        <w:numPr>
          <w:ilvl w:val="0"/>
          <w:numId w:val="57"/>
        </w:numPr>
        <w:spacing w:before="105" w:after="105" w:line="360" w:lineRule="auto"/>
      </w:pPr>
      <w:r>
        <w:rPr>
          <w:rFonts w:ascii="inter" w:hAnsi="inter" w:eastAsia="inter" w:cs="inter"/>
          <w:color w:val="000000"/>
          <w:sz w:val="21"/>
        </w:rPr>
        <w:t>教师专业发展：据新加坡指南和CDC培训资料，优质ASD教育项目需为教师提供系统培训和持续督导，包括ABA/PBS、TEACCH、AAC、UDL和课堂管理等模块；</w:t>
      </w:r>
      <w:bookmarkStart w:id="200" w:name="fnref8_2"/>
      <w:bookmarkEnd w:id="200"/>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bookmarkStart w:id="201" w:name="fnref9_7"/>
      <w:bookmarkEnd w:id="201"/>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bookmarkStart w:id="202" w:name="fnref3_7"/>
      <w:bookmarkEnd w:id="202"/>
      <w:r>
        <w:fldChar w:fldCharType="begin"/>
      </w:r>
      <w:r>
        <w:instrText xml:space="preserve"> HYPERLINK \l "fn3" \h </w:instrText>
      </w:r>
      <w:r>
        <w:fldChar w:fldCharType="separate"/>
      </w:r>
      <w:r>
        <w:rPr>
          <w:rFonts w:ascii="inter" w:hAnsi="inter" w:eastAsia="inter" w:cs="inter"/>
          <w:color w:val="000000"/>
          <w:sz w:val="21"/>
          <w:u w:val="single"/>
          <w:vertAlign w:val="superscript"/>
        </w:rPr>
        <w:t>[3]</w:t>
      </w:r>
      <w:r>
        <w:rPr>
          <w:rFonts w:ascii="inter" w:hAnsi="inter" w:eastAsia="inter" w:cs="inter"/>
          <w:color w:val="000000"/>
          <w:sz w:val="21"/>
          <w:u w:val="single"/>
          <w:vertAlign w:val="superscript"/>
        </w:rPr>
        <w:fldChar w:fldCharType="end"/>
      </w:r>
      <w:bookmarkStart w:id="203" w:name="fnref7_5"/>
      <w:bookmarkEnd w:id="203"/>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5A2C939B">
      <w:pPr>
        <w:numPr>
          <w:ilvl w:val="0"/>
          <w:numId w:val="57"/>
        </w:numPr>
        <w:spacing w:before="105" w:after="105" w:line="360" w:lineRule="auto"/>
      </w:pPr>
      <w:r>
        <w:rPr>
          <w:rFonts w:ascii="inter" w:hAnsi="inter" w:eastAsia="inter" w:cs="inter"/>
          <w:color w:val="000000"/>
          <w:sz w:val="21"/>
        </w:rPr>
        <w:t>示范课堂建设：在每所试点学校选择若干班级，以较高的实施保真度整合UDL+PBIS+结构化教学+沟通与社交支持；</w:t>
      </w:r>
    </w:p>
    <w:p w14:paraId="6936839F">
      <w:pPr>
        <w:numPr>
          <w:ilvl w:val="0"/>
          <w:numId w:val="57"/>
        </w:numPr>
        <w:spacing w:before="105" w:after="105" w:line="360" w:lineRule="auto"/>
      </w:pPr>
      <w:r>
        <w:rPr>
          <w:rFonts w:ascii="inter" w:hAnsi="inter" w:eastAsia="inter" w:cs="inter"/>
          <w:color w:val="000000"/>
          <w:sz w:val="21"/>
        </w:rPr>
        <w:t>数据化改进：通过系统记录ASD学生课堂参与的关键指标（如在任务时间、举手次数等），定期进行团队评估和策略微调。</w:t>
      </w:r>
      <w:bookmarkStart w:id="204" w:name="fnref42_1"/>
      <w:bookmarkEnd w:id="204"/>
      <w:r>
        <w:fldChar w:fldCharType="begin"/>
      </w:r>
      <w:r>
        <w:instrText xml:space="preserve"> HYPERLINK \l "fn42" \h </w:instrText>
      </w:r>
      <w:r>
        <w:fldChar w:fldCharType="separate"/>
      </w:r>
      <w:r>
        <w:rPr>
          <w:rFonts w:ascii="inter" w:hAnsi="inter" w:eastAsia="inter" w:cs="inter"/>
          <w:color w:val="000000"/>
          <w:sz w:val="21"/>
          <w:u w:val="single"/>
          <w:vertAlign w:val="superscript"/>
        </w:rPr>
        <w:t>[42]</w:t>
      </w:r>
      <w:r>
        <w:rPr>
          <w:rFonts w:ascii="inter" w:hAnsi="inter" w:eastAsia="inter" w:cs="inter"/>
          <w:color w:val="000000"/>
          <w:sz w:val="21"/>
          <w:u w:val="single"/>
          <w:vertAlign w:val="superscript"/>
        </w:rPr>
        <w:fldChar w:fldCharType="end"/>
      </w:r>
      <w:bookmarkStart w:id="205" w:name="fnref4_1"/>
      <w:bookmarkEnd w:id="205"/>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bookmarkStart w:id="206" w:name="fnref17_12"/>
      <w:bookmarkEnd w:id="206"/>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bookmarkStart w:id="207" w:name="fnref35_8"/>
      <w:bookmarkEnd w:id="207"/>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p>
    <w:p w14:paraId="2EBE25B1">
      <w:pPr>
        <w:spacing w:after="210" w:line="360" w:lineRule="auto"/>
      </w:pPr>
      <w:r>
        <w:rPr>
          <w:rFonts w:ascii="inter" w:hAnsi="inter" w:eastAsia="inter" w:cs="inter"/>
          <w:color w:val="000000"/>
        </w:rPr>
        <w:t>（3）扩展与制度化阶段</w:t>
      </w:r>
    </w:p>
    <w:p w14:paraId="6932AE00">
      <w:pPr>
        <w:numPr>
          <w:ilvl w:val="0"/>
          <w:numId w:val="58"/>
        </w:numPr>
        <w:spacing w:before="105" w:after="105" w:line="360" w:lineRule="auto"/>
      </w:pPr>
      <w:r>
        <w:rPr>
          <w:rFonts w:ascii="inter" w:hAnsi="inter" w:eastAsia="inter" w:cs="inter"/>
          <w:color w:val="000000"/>
          <w:sz w:val="21"/>
        </w:rPr>
        <w:t>将成功实践上升为校本或地区政策：如将视觉日程、PBIS、UDL等纳入教学常规与课堂环境标准；</w:t>
      </w:r>
      <w:bookmarkStart w:id="208" w:name="fnref40_2"/>
      <w:bookmarkEnd w:id="208"/>
      <w:r>
        <w:fldChar w:fldCharType="begin"/>
      </w:r>
      <w:r>
        <w:instrText xml:space="preserve"> HYPERLINK \l "fn40" \h </w:instrText>
      </w:r>
      <w:r>
        <w:fldChar w:fldCharType="separate"/>
      </w:r>
      <w:r>
        <w:rPr>
          <w:rFonts w:ascii="inter" w:hAnsi="inter" w:eastAsia="inter" w:cs="inter"/>
          <w:color w:val="000000"/>
          <w:sz w:val="21"/>
          <w:u w:val="single"/>
          <w:vertAlign w:val="superscript"/>
        </w:rPr>
        <w:t>[40]</w:t>
      </w:r>
      <w:r>
        <w:rPr>
          <w:rFonts w:ascii="inter" w:hAnsi="inter" w:eastAsia="inter" w:cs="inter"/>
          <w:color w:val="000000"/>
          <w:sz w:val="21"/>
          <w:u w:val="single"/>
          <w:vertAlign w:val="superscript"/>
        </w:rPr>
        <w:fldChar w:fldCharType="end"/>
      </w:r>
      <w:bookmarkStart w:id="209" w:name="fnref11_4"/>
      <w:bookmarkEnd w:id="209"/>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bookmarkStart w:id="210" w:name="fnref12_3"/>
      <w:bookmarkEnd w:id="210"/>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211" w:name="fnref39_5"/>
      <w:bookmarkEnd w:id="211"/>
      <w:r>
        <w:fldChar w:fldCharType="begin"/>
      </w:r>
      <w:r>
        <w:instrText xml:space="preserve"> HYPERLINK \l "fn39" \h </w:instrText>
      </w:r>
      <w:r>
        <w:fldChar w:fldCharType="separate"/>
      </w:r>
      <w:r>
        <w:rPr>
          <w:rFonts w:ascii="inter" w:hAnsi="inter" w:eastAsia="inter" w:cs="inter"/>
          <w:color w:val="000000"/>
          <w:sz w:val="21"/>
          <w:u w:val="single"/>
          <w:vertAlign w:val="superscript"/>
        </w:rPr>
        <w:t>[39]</w:t>
      </w:r>
      <w:r>
        <w:rPr>
          <w:rFonts w:ascii="inter" w:hAnsi="inter" w:eastAsia="inter" w:cs="inter"/>
          <w:color w:val="000000"/>
          <w:sz w:val="21"/>
          <w:u w:val="single"/>
          <w:vertAlign w:val="superscript"/>
        </w:rPr>
        <w:fldChar w:fldCharType="end"/>
      </w:r>
    </w:p>
    <w:p w14:paraId="73408D0E">
      <w:pPr>
        <w:numPr>
          <w:ilvl w:val="0"/>
          <w:numId w:val="58"/>
        </w:numPr>
        <w:spacing w:before="105" w:after="105" w:line="360" w:lineRule="auto"/>
      </w:pPr>
      <w:r>
        <w:rPr>
          <w:rFonts w:ascii="inter" w:hAnsi="inter" w:eastAsia="inter" w:cs="inter"/>
          <w:color w:val="000000"/>
          <w:sz w:val="21"/>
        </w:rPr>
        <w:t>将ASD课堂参与指标纳入教育质量与督导体系，如将“ASD学生参与度提升”作为特殊教育发展行动计划的关键绩效指标之一；</w:t>
      </w:r>
      <w:bookmarkStart w:id="212" w:name="fnref10_4"/>
      <w:bookmarkEnd w:id="212"/>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213" w:name="fnref11_5"/>
      <w:bookmarkEnd w:id="213"/>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4C786ABD">
      <w:pPr>
        <w:numPr>
          <w:ilvl w:val="0"/>
          <w:numId w:val="58"/>
        </w:numPr>
        <w:spacing w:before="105" w:after="105" w:line="360" w:lineRule="auto"/>
      </w:pPr>
      <w:r>
        <w:rPr>
          <w:rFonts w:ascii="inter" w:hAnsi="inter" w:eastAsia="inter" w:cs="inter"/>
          <w:color w:val="000000"/>
          <w:sz w:val="21"/>
        </w:rPr>
        <w:t>建立持续的教师培训和专业学习共同体（PLC），鼓励学校间经验分享与同行视导，形成区域层面的专业支持网络。</w:t>
      </w:r>
      <w:bookmarkStart w:id="214" w:name="fnref40_3"/>
      <w:bookmarkEnd w:id="214"/>
      <w:r>
        <w:fldChar w:fldCharType="begin"/>
      </w:r>
      <w:r>
        <w:instrText xml:space="preserve"> HYPERLINK \l "fn40" \h </w:instrText>
      </w:r>
      <w:r>
        <w:fldChar w:fldCharType="separate"/>
      </w:r>
      <w:r>
        <w:rPr>
          <w:rFonts w:ascii="inter" w:hAnsi="inter" w:eastAsia="inter" w:cs="inter"/>
          <w:color w:val="000000"/>
          <w:sz w:val="21"/>
          <w:u w:val="single"/>
          <w:vertAlign w:val="superscript"/>
        </w:rPr>
        <w:t>[40]</w:t>
      </w:r>
      <w:r>
        <w:rPr>
          <w:rFonts w:ascii="inter" w:hAnsi="inter" w:eastAsia="inter" w:cs="inter"/>
          <w:color w:val="000000"/>
          <w:sz w:val="21"/>
          <w:u w:val="single"/>
          <w:vertAlign w:val="superscript"/>
        </w:rPr>
        <w:fldChar w:fldCharType="end"/>
      </w:r>
      <w:bookmarkStart w:id="215" w:name="fnref12_4"/>
      <w:bookmarkEnd w:id="215"/>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216" w:name="fnref7_6"/>
      <w:bookmarkEnd w:id="216"/>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217" w:name="fnref8_3"/>
      <w:bookmarkEnd w:id="217"/>
      <w:r>
        <w:fldChar w:fldCharType="begin"/>
      </w:r>
      <w:r>
        <w:instrText xml:space="preserve"> HYPERLINK \l "fn8" \h </w:instrText>
      </w:r>
      <w:r>
        <w:fldChar w:fldCharType="separate"/>
      </w:r>
      <w:r>
        <w:rPr>
          <w:rFonts w:ascii="inter" w:hAnsi="inter" w:eastAsia="inter" w:cs="inter"/>
          <w:color w:val="000000"/>
          <w:sz w:val="21"/>
          <w:u w:val="single"/>
          <w:vertAlign w:val="superscript"/>
        </w:rPr>
        <w:t>[8]</w:t>
      </w:r>
      <w:r>
        <w:rPr>
          <w:rFonts w:ascii="inter" w:hAnsi="inter" w:eastAsia="inter" w:cs="inter"/>
          <w:color w:val="000000"/>
          <w:sz w:val="21"/>
          <w:u w:val="single"/>
          <w:vertAlign w:val="superscript"/>
        </w:rPr>
        <w:fldChar w:fldCharType="end"/>
      </w:r>
    </w:p>
    <w:p w14:paraId="43D51C4B">
      <w:pPr>
        <w:spacing w:before="315" w:after="105" w:line="360" w:lineRule="auto"/>
        <w:ind w:left="-30"/>
        <w:jc w:val="left"/>
      </w:pPr>
      <w:bookmarkStart w:id="218" w:name="三_支持团队与角色分工_跨专业协作结构"/>
      <w:r>
        <w:rPr>
          <w:rFonts w:ascii="inter" w:hAnsi="inter" w:eastAsia="inter" w:cs="inter"/>
          <w:b/>
          <w:color w:val="000000"/>
          <w:sz w:val="24"/>
        </w:rPr>
        <w:t>（三）支持团队与角色分工：跨专业协作结构</w:t>
      </w:r>
      <w:bookmarkEnd w:id="218"/>
    </w:p>
    <w:p w14:paraId="3FCD508A">
      <w:pPr>
        <w:numPr>
          <w:ilvl w:val="0"/>
          <w:numId w:val="59"/>
        </w:numPr>
        <w:spacing w:before="105" w:after="105" w:line="360" w:lineRule="auto"/>
      </w:pPr>
      <w:r>
        <w:rPr>
          <w:rFonts w:ascii="inter" w:hAnsi="inter" w:eastAsia="inter" w:cs="inter"/>
          <w:color w:val="000000"/>
          <w:sz w:val="21"/>
        </w:rPr>
        <w:t>支持团队角色构成比较表</w:t>
      </w:r>
    </w:p>
    <w:p w14:paraId="5CFCA169">
      <w:pPr>
        <w:spacing w:after="210" w:line="360" w:lineRule="auto"/>
      </w:pPr>
      <w:r>
        <w:rPr>
          <w:rFonts w:ascii="inter" w:hAnsi="inter" w:eastAsia="inter" w:cs="inter"/>
          <w:color w:val="000000"/>
        </w:rPr>
        <w:t>（文字说明：本表将不同专业角色在“评估诊断”“课堂策略设计”“日常实施”“家庭合作与过渡支持”等方面的职责进行对比，显示多学科协同的必要性。）</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905"/>
        <w:gridCol w:w="1969"/>
        <w:gridCol w:w="5966"/>
      </w:tblGrid>
      <w:tr w14:paraId="64FD7F9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93213E7">
            <w:pPr>
              <w:spacing w:after="0" w:line="360" w:lineRule="auto"/>
            </w:pPr>
            <w:r>
              <w:rPr>
                <w:rFonts w:ascii="inter" w:hAnsi="inter" w:eastAsia="inter" w:cs="inter"/>
                <w:color w:val="000000"/>
                <w:sz w:val="17"/>
              </w:rPr>
              <w:t>角色</w:t>
            </w:r>
          </w:p>
        </w:tc>
        <w:tc>
          <w:tcPr>
            <w:tcBorders>
              <w:top w:val="single" w:color="000000" w:sz="0" w:space="0"/>
              <w:bottom w:val="single" w:color="000000" w:sz="0" w:space="0"/>
              <w:right w:val="single" w:color="000000" w:sz="0" w:space="0"/>
            </w:tcBorders>
          </w:tcPr>
          <w:p w14:paraId="406E5DED">
            <w:pPr>
              <w:spacing w:after="0" w:line="360" w:lineRule="auto"/>
            </w:pPr>
            <w:r>
              <w:rPr>
                <w:rFonts w:ascii="inter" w:hAnsi="inter" w:eastAsia="inter" w:cs="inter"/>
                <w:color w:val="000000"/>
                <w:sz w:val="17"/>
              </w:rPr>
              <w:t>主要职责领域</w:t>
            </w:r>
          </w:p>
        </w:tc>
        <w:tc>
          <w:tcPr>
            <w:tcBorders>
              <w:top w:val="single" w:color="000000" w:sz="0" w:space="0"/>
              <w:bottom w:val="single" w:color="000000" w:sz="0" w:space="0"/>
            </w:tcBorders>
          </w:tcPr>
          <w:p w14:paraId="08B673E2">
            <w:pPr>
              <w:spacing w:after="0" w:line="360" w:lineRule="auto"/>
            </w:pPr>
            <w:r>
              <w:rPr>
                <w:rFonts w:ascii="inter" w:hAnsi="inter" w:eastAsia="inter" w:cs="inter"/>
                <w:color w:val="000000"/>
                <w:sz w:val="17"/>
              </w:rPr>
              <w:t>在课堂参与提升中的具体任务</w:t>
            </w:r>
          </w:p>
        </w:tc>
      </w:tr>
      <w:tr w14:paraId="2777368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51DAD8C">
            <w:pPr>
              <w:spacing w:after="0" w:line="360" w:lineRule="auto"/>
            </w:pPr>
            <w:r>
              <w:rPr>
                <w:rFonts w:ascii="inter" w:hAnsi="inter" w:eastAsia="inter" w:cs="inter"/>
                <w:color w:val="000000"/>
                <w:sz w:val="17"/>
              </w:rPr>
              <w:t>普通班主任/科任教师</w:t>
            </w:r>
          </w:p>
        </w:tc>
        <w:tc>
          <w:tcPr>
            <w:tcBorders>
              <w:top w:val="single" w:color="000000" w:sz="0" w:space="0"/>
              <w:bottom w:val="single" w:color="000000" w:sz="0" w:space="0"/>
              <w:right w:val="single" w:color="000000" w:sz="0" w:space="0"/>
            </w:tcBorders>
          </w:tcPr>
          <w:p w14:paraId="237BE403">
            <w:pPr>
              <w:spacing w:after="0" w:line="360" w:lineRule="auto"/>
            </w:pPr>
            <w:r>
              <w:rPr>
                <w:rFonts w:ascii="inter" w:hAnsi="inter" w:eastAsia="inter" w:cs="inter"/>
                <w:color w:val="000000"/>
                <w:sz w:val="17"/>
              </w:rPr>
              <w:t>日常教学与课堂管理</w:t>
            </w:r>
          </w:p>
        </w:tc>
        <w:tc>
          <w:tcPr>
            <w:tcBorders>
              <w:top w:val="single" w:color="000000" w:sz="0" w:space="0"/>
              <w:bottom w:val="single" w:color="000000" w:sz="0" w:space="0"/>
            </w:tcBorders>
          </w:tcPr>
          <w:p w14:paraId="3BF6948E">
            <w:pPr>
              <w:spacing w:after="0" w:line="360" w:lineRule="auto"/>
            </w:pPr>
            <w:r>
              <w:rPr>
                <w:rFonts w:ascii="inter" w:hAnsi="inter" w:eastAsia="inter" w:cs="inter"/>
                <w:color w:val="000000"/>
                <w:sz w:val="17"/>
              </w:rPr>
              <w:t>设计与实施UDL和结构化教学；应用PBIS和社交支持策略；进行日常监测</w:t>
            </w:r>
          </w:p>
        </w:tc>
      </w:tr>
      <w:tr w14:paraId="3BBB450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2D541BC">
            <w:pPr>
              <w:spacing w:after="0" w:line="360" w:lineRule="auto"/>
            </w:pPr>
            <w:r>
              <w:rPr>
                <w:rFonts w:ascii="inter" w:hAnsi="inter" w:eastAsia="inter" w:cs="inter"/>
                <w:color w:val="000000"/>
                <w:sz w:val="17"/>
              </w:rPr>
              <w:t>特殊教育教师</w:t>
            </w:r>
          </w:p>
        </w:tc>
        <w:tc>
          <w:tcPr>
            <w:tcBorders>
              <w:top w:val="single" w:color="000000" w:sz="0" w:space="0"/>
              <w:bottom w:val="single" w:color="000000" w:sz="0" w:space="0"/>
              <w:right w:val="single" w:color="000000" w:sz="0" w:space="0"/>
            </w:tcBorders>
          </w:tcPr>
          <w:p w14:paraId="4A7C4ED6">
            <w:pPr>
              <w:spacing w:after="0" w:line="360" w:lineRule="auto"/>
            </w:pPr>
            <w:r>
              <w:rPr>
                <w:rFonts w:ascii="inter" w:hAnsi="inter" w:eastAsia="inter" w:cs="inter"/>
                <w:color w:val="000000"/>
                <w:sz w:val="17"/>
              </w:rPr>
              <w:t>个别化支持与专业咨询</w:t>
            </w:r>
          </w:p>
        </w:tc>
        <w:tc>
          <w:tcPr>
            <w:tcBorders>
              <w:top w:val="single" w:color="000000" w:sz="0" w:space="0"/>
              <w:bottom w:val="single" w:color="000000" w:sz="0" w:space="0"/>
            </w:tcBorders>
          </w:tcPr>
          <w:p w14:paraId="03D07896">
            <w:pPr>
              <w:spacing w:after="0" w:line="360" w:lineRule="auto"/>
            </w:pPr>
            <w:r>
              <w:rPr>
                <w:rFonts w:ascii="inter" w:hAnsi="inter" w:eastAsia="inter" w:cs="inter"/>
                <w:color w:val="000000"/>
                <w:sz w:val="17"/>
              </w:rPr>
              <w:t>制订IEP/个别方案；提供个别化策略（AAC、行为计划）；支持课堂调整</w:t>
            </w:r>
          </w:p>
        </w:tc>
      </w:tr>
      <w:tr w14:paraId="4558AF3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794A3CF">
            <w:pPr>
              <w:spacing w:after="0" w:line="360" w:lineRule="auto"/>
            </w:pPr>
            <w:r>
              <w:rPr>
                <w:rFonts w:ascii="inter" w:hAnsi="inter" w:eastAsia="inter" w:cs="inter"/>
                <w:color w:val="000000"/>
                <w:sz w:val="17"/>
              </w:rPr>
              <w:t>行为分析师/心理师</w:t>
            </w:r>
          </w:p>
        </w:tc>
        <w:tc>
          <w:tcPr>
            <w:tcBorders>
              <w:top w:val="single" w:color="000000" w:sz="0" w:space="0"/>
              <w:bottom w:val="single" w:color="000000" w:sz="0" w:space="0"/>
              <w:right w:val="single" w:color="000000" w:sz="0" w:space="0"/>
            </w:tcBorders>
          </w:tcPr>
          <w:p w14:paraId="20C3B823">
            <w:pPr>
              <w:spacing w:after="0" w:line="360" w:lineRule="auto"/>
            </w:pPr>
            <w:r>
              <w:rPr>
                <w:rFonts w:ascii="inter" w:hAnsi="inter" w:eastAsia="inter" w:cs="inter"/>
                <w:color w:val="000000"/>
                <w:sz w:val="17"/>
              </w:rPr>
              <w:t>行为与情绪支持</w:t>
            </w:r>
          </w:p>
        </w:tc>
        <w:tc>
          <w:tcPr>
            <w:tcBorders>
              <w:top w:val="single" w:color="000000" w:sz="0" w:space="0"/>
              <w:bottom w:val="single" w:color="000000" w:sz="0" w:space="0"/>
            </w:tcBorders>
          </w:tcPr>
          <w:p w14:paraId="13A96FC2">
            <w:pPr>
              <w:spacing w:after="0" w:line="360" w:lineRule="auto"/>
            </w:pPr>
            <w:r>
              <w:rPr>
                <w:rFonts w:ascii="inter" w:hAnsi="inter" w:eastAsia="inter" w:cs="inter"/>
                <w:color w:val="000000"/>
                <w:sz w:val="17"/>
              </w:rPr>
              <w:t>进行FBA；设计PBS/PBIS方案；监督行为干预实施；支持情绪调节教学</w:t>
            </w:r>
          </w:p>
        </w:tc>
      </w:tr>
      <w:tr w14:paraId="3CA8218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BD8C777">
            <w:pPr>
              <w:spacing w:after="0" w:line="360" w:lineRule="auto"/>
            </w:pPr>
            <w:r>
              <w:rPr>
                <w:rFonts w:ascii="inter" w:hAnsi="inter" w:eastAsia="inter" w:cs="inter"/>
                <w:color w:val="000000"/>
                <w:sz w:val="17"/>
              </w:rPr>
              <w:t>言语治疗师</w:t>
            </w:r>
          </w:p>
        </w:tc>
        <w:tc>
          <w:tcPr>
            <w:tcBorders>
              <w:top w:val="single" w:color="000000" w:sz="0" w:space="0"/>
              <w:bottom w:val="single" w:color="000000" w:sz="0" w:space="0"/>
              <w:right w:val="single" w:color="000000" w:sz="0" w:space="0"/>
            </w:tcBorders>
          </w:tcPr>
          <w:p w14:paraId="30C9EBFC">
            <w:pPr>
              <w:spacing w:after="0" w:line="360" w:lineRule="auto"/>
            </w:pPr>
            <w:r>
              <w:rPr>
                <w:rFonts w:ascii="inter" w:hAnsi="inter" w:eastAsia="inter" w:cs="inter"/>
                <w:color w:val="000000"/>
                <w:sz w:val="17"/>
              </w:rPr>
              <w:t>语言与沟通支持</w:t>
            </w:r>
          </w:p>
        </w:tc>
        <w:tc>
          <w:tcPr>
            <w:tcBorders>
              <w:top w:val="single" w:color="000000" w:sz="0" w:space="0"/>
              <w:bottom w:val="single" w:color="000000" w:sz="0" w:space="0"/>
            </w:tcBorders>
          </w:tcPr>
          <w:p w14:paraId="4424723D">
            <w:pPr>
              <w:spacing w:after="0" w:line="360" w:lineRule="auto"/>
            </w:pPr>
            <w:r>
              <w:rPr>
                <w:rFonts w:ascii="inter" w:hAnsi="inter" w:eastAsia="inter" w:cs="inter"/>
                <w:color w:val="000000"/>
                <w:sz w:val="17"/>
              </w:rPr>
              <w:t>评估沟通能力；推荐并训练AAC/PECS使用；设计沟通目标及课堂嵌入方式</w:t>
            </w:r>
          </w:p>
        </w:tc>
      </w:tr>
      <w:tr w14:paraId="607344B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157CB7B">
            <w:pPr>
              <w:spacing w:after="0" w:line="360" w:lineRule="auto"/>
            </w:pPr>
            <w:r>
              <w:rPr>
                <w:rFonts w:ascii="inter" w:hAnsi="inter" w:eastAsia="inter" w:cs="inter"/>
                <w:color w:val="000000"/>
                <w:sz w:val="17"/>
              </w:rPr>
              <w:t>职业/感统治疗师</w:t>
            </w:r>
          </w:p>
        </w:tc>
        <w:tc>
          <w:tcPr>
            <w:tcBorders>
              <w:top w:val="single" w:color="000000" w:sz="0" w:space="0"/>
              <w:bottom w:val="single" w:color="000000" w:sz="0" w:space="0"/>
              <w:right w:val="single" w:color="000000" w:sz="0" w:space="0"/>
            </w:tcBorders>
          </w:tcPr>
          <w:p w14:paraId="7E7F028F">
            <w:pPr>
              <w:spacing w:after="0" w:line="360" w:lineRule="auto"/>
            </w:pPr>
            <w:r>
              <w:rPr>
                <w:rFonts w:ascii="inter" w:hAnsi="inter" w:eastAsia="inter" w:cs="inter"/>
                <w:color w:val="000000"/>
                <w:sz w:val="17"/>
              </w:rPr>
              <w:t>感官与执行功能支持</w:t>
            </w:r>
          </w:p>
        </w:tc>
        <w:tc>
          <w:tcPr>
            <w:tcBorders>
              <w:top w:val="single" w:color="000000" w:sz="0" w:space="0"/>
              <w:bottom w:val="single" w:color="000000" w:sz="0" w:space="0"/>
            </w:tcBorders>
          </w:tcPr>
          <w:p w14:paraId="12061563">
            <w:pPr>
              <w:spacing w:after="0" w:line="360" w:lineRule="auto"/>
            </w:pPr>
            <w:r>
              <w:rPr>
                <w:rFonts w:ascii="inter" w:hAnsi="inter" w:eastAsia="inter" w:cs="inter"/>
                <w:color w:val="000000"/>
                <w:sz w:val="17"/>
              </w:rPr>
              <w:t>设计感官饮食与环境调整；训练执行功能技能；建议课堂感官适配</w:t>
            </w:r>
          </w:p>
        </w:tc>
      </w:tr>
      <w:tr w14:paraId="1B53238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F84329A">
            <w:pPr>
              <w:spacing w:after="0" w:line="360" w:lineRule="auto"/>
            </w:pPr>
            <w:r>
              <w:rPr>
                <w:rFonts w:ascii="inter" w:hAnsi="inter" w:eastAsia="inter" w:cs="inter"/>
                <w:color w:val="000000"/>
                <w:sz w:val="17"/>
              </w:rPr>
              <w:t>家长/照护者</w:t>
            </w:r>
          </w:p>
        </w:tc>
        <w:tc>
          <w:tcPr>
            <w:tcBorders>
              <w:top w:val="single" w:color="000000" w:sz="0" w:space="0"/>
              <w:bottom w:val="single" w:color="000000" w:sz="0" w:space="0"/>
              <w:right w:val="single" w:color="000000" w:sz="0" w:space="0"/>
            </w:tcBorders>
          </w:tcPr>
          <w:p w14:paraId="4550E443">
            <w:pPr>
              <w:spacing w:after="0" w:line="360" w:lineRule="auto"/>
            </w:pPr>
            <w:r>
              <w:rPr>
                <w:rFonts w:ascii="inter" w:hAnsi="inter" w:eastAsia="inter" w:cs="inter"/>
                <w:color w:val="000000"/>
                <w:sz w:val="17"/>
              </w:rPr>
              <w:t>家庭配合与泛化</w:t>
            </w:r>
          </w:p>
        </w:tc>
        <w:tc>
          <w:tcPr>
            <w:tcBorders>
              <w:top w:val="single" w:color="000000" w:sz="0" w:space="0"/>
              <w:bottom w:val="single" w:color="000000" w:sz="0" w:space="0"/>
            </w:tcBorders>
          </w:tcPr>
          <w:p w14:paraId="6A460FE3">
            <w:pPr>
              <w:spacing w:after="0" w:line="360" w:lineRule="auto"/>
            </w:pPr>
            <w:r>
              <w:rPr>
                <w:rFonts w:ascii="inter" w:hAnsi="inter" w:eastAsia="inter" w:cs="inter"/>
                <w:color w:val="000000"/>
                <w:sz w:val="17"/>
              </w:rPr>
              <w:t>在家中配合视觉支持、行为与沟通策略；提供反馈；支持课外实践与泛化</w:t>
            </w:r>
          </w:p>
        </w:tc>
      </w:tr>
      <w:tr w14:paraId="5AB268D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03F7880">
            <w:pPr>
              <w:spacing w:after="0" w:line="360" w:lineRule="auto"/>
            </w:pPr>
            <w:r>
              <w:rPr>
                <w:rFonts w:ascii="inter" w:hAnsi="inter" w:eastAsia="inter" w:cs="inter"/>
                <w:color w:val="000000"/>
                <w:sz w:val="17"/>
              </w:rPr>
              <w:t>学校管理者与教研员</w:t>
            </w:r>
          </w:p>
        </w:tc>
        <w:tc>
          <w:tcPr>
            <w:tcBorders>
              <w:top w:val="single" w:color="000000" w:sz="0" w:space="0"/>
              <w:bottom w:val="single" w:color="000000" w:sz="0" w:space="0"/>
              <w:right w:val="single" w:color="000000" w:sz="0" w:space="0"/>
            </w:tcBorders>
          </w:tcPr>
          <w:p w14:paraId="073D7EAA">
            <w:pPr>
              <w:spacing w:after="0" w:line="360" w:lineRule="auto"/>
            </w:pPr>
            <w:r>
              <w:rPr>
                <w:rFonts w:ascii="inter" w:hAnsi="inter" w:eastAsia="inter" w:cs="inter"/>
                <w:color w:val="000000"/>
                <w:sz w:val="17"/>
              </w:rPr>
              <w:t>制度设计与资源配置</w:t>
            </w:r>
          </w:p>
        </w:tc>
        <w:tc>
          <w:tcPr>
            <w:tcBorders>
              <w:top w:val="single" w:color="000000" w:sz="0" w:space="0"/>
              <w:bottom w:val="single" w:color="000000" w:sz="0" w:space="0"/>
            </w:tcBorders>
          </w:tcPr>
          <w:p w14:paraId="200C1DF5">
            <w:pPr>
              <w:spacing w:after="0" w:line="360" w:lineRule="auto"/>
            </w:pPr>
            <w:r>
              <w:rPr>
                <w:rFonts w:ascii="inter" w:hAnsi="inter" w:eastAsia="inter" w:cs="inter"/>
                <w:color w:val="000000"/>
                <w:sz w:val="17"/>
              </w:rPr>
              <w:t>制定相关政策与标准；安排培训与督导；统筹资源和跨机构合作</w:t>
            </w:r>
          </w:p>
        </w:tc>
      </w:tr>
    </w:tbl>
    <w:p w14:paraId="69F4BC2F"/>
    <w:p w14:paraId="45535173">
      <w:pPr>
        <w:spacing w:after="210" w:line="360" w:lineRule="auto"/>
      </w:pPr>
      <w:r>
        <w:rPr>
          <w:rFonts w:ascii="inter" w:hAnsi="inter" w:eastAsia="inter" w:cs="inter"/>
          <w:color w:val="000000"/>
        </w:rPr>
        <w:t>WHO和多国指南均强调，对ASD学生的教育与干预应通过卫生、教育与社会服务间的“跨部门协调”予以落实。因此，在提升课堂参与度过程中，跨专业团队的系统协作是必要前提。</w:t>
      </w:r>
      <w:bookmarkStart w:id="219" w:name="fnref7_7"/>
      <w:bookmarkEnd w:id="219"/>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220" w:name="fnref10_5"/>
      <w:bookmarkEnd w:id="220"/>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221" w:name="fnref1_5"/>
      <w:bookmarkEnd w:id="221"/>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222" w:name="fnref5_4"/>
      <w:bookmarkEnd w:id="222"/>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1398C693">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0584A0C5">
      <w:pPr>
        <w:spacing w:before="315" w:after="105" w:line="360" w:lineRule="auto"/>
        <w:ind w:left="-30"/>
        <w:jc w:val="left"/>
      </w:pPr>
      <w:bookmarkStart w:id="223" w:name="五_策略实施的监测与评估框架"/>
      <w:r>
        <w:rPr>
          <w:rFonts w:ascii="inter" w:hAnsi="inter" w:eastAsia="inter" w:cs="inter"/>
          <w:b/>
          <w:color w:val="000000"/>
          <w:sz w:val="24"/>
        </w:rPr>
        <w:t>五、策略实施的监测与评估框架</w:t>
      </w:r>
      <w:bookmarkEnd w:id="223"/>
    </w:p>
    <w:p w14:paraId="17AF7877">
      <w:pPr>
        <w:spacing w:before="315" w:after="105" w:line="360" w:lineRule="auto"/>
        <w:ind w:left="-30"/>
        <w:jc w:val="left"/>
      </w:pPr>
      <w:bookmarkStart w:id="224" w:name="一_课堂参与度的多维指标体系"/>
      <w:r>
        <w:rPr>
          <w:rFonts w:ascii="inter" w:hAnsi="inter" w:eastAsia="inter" w:cs="inter"/>
          <w:b/>
          <w:color w:val="000000"/>
          <w:sz w:val="24"/>
        </w:rPr>
        <w:t>（一）课堂参与度的多维指标体系</w:t>
      </w:r>
      <w:bookmarkEnd w:id="224"/>
    </w:p>
    <w:p w14:paraId="1C4E5CEE">
      <w:pPr>
        <w:spacing w:after="210" w:line="360" w:lineRule="auto"/>
      </w:pPr>
      <w:r>
        <w:rPr>
          <w:rFonts w:ascii="inter" w:hAnsi="inter" w:eastAsia="inter" w:cs="inter"/>
          <w:color w:val="000000"/>
        </w:rPr>
        <w:t>据教育研究和ASD干预文献，建议将课堂参与度监测构建为多维指标体系：</w:t>
      </w:r>
      <w:bookmarkStart w:id="225" w:name="fnref4_2"/>
      <w:bookmarkEnd w:id="225"/>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226" w:name="fnref42_2"/>
      <w:bookmarkEnd w:id="226"/>
      <w:r>
        <w:fldChar w:fldCharType="begin"/>
      </w:r>
      <w:r>
        <w:instrText xml:space="preserve"> HYPERLINK \l "fn42" \h </w:instrText>
      </w:r>
      <w:r>
        <w:fldChar w:fldCharType="separate"/>
      </w:r>
      <w:r>
        <w:rPr>
          <w:rFonts w:ascii="inter" w:hAnsi="inter" w:eastAsia="inter" w:cs="inter"/>
          <w:color w:val="000000"/>
          <w:u w:val="single"/>
          <w:vertAlign w:val="superscript"/>
        </w:rPr>
        <w:t>[42]</w:t>
      </w:r>
      <w:r>
        <w:rPr>
          <w:rFonts w:ascii="inter" w:hAnsi="inter" w:eastAsia="inter" w:cs="inter"/>
          <w:color w:val="000000"/>
          <w:u w:val="single"/>
          <w:vertAlign w:val="superscript"/>
        </w:rPr>
        <w:fldChar w:fldCharType="end"/>
      </w:r>
      <w:bookmarkStart w:id="227" w:name="fnref17_13"/>
      <w:bookmarkEnd w:id="227"/>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228" w:name="fnref35_9"/>
      <w:bookmarkEnd w:id="228"/>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p>
    <w:p w14:paraId="1EBD9B64">
      <w:pPr>
        <w:numPr>
          <w:ilvl w:val="0"/>
          <w:numId w:val="60"/>
        </w:numPr>
        <w:spacing w:before="105" w:after="105" w:line="360" w:lineRule="auto"/>
      </w:pPr>
      <w:r>
        <w:rPr>
          <w:rFonts w:ascii="inter" w:hAnsi="inter" w:eastAsia="inter" w:cs="inter"/>
          <w:color w:val="000000"/>
          <w:sz w:val="21"/>
        </w:rPr>
        <w:t>行为维度：在任务时间比例、举手或发言次数、按时完成任务率、小组活动参与次数；</w:t>
      </w:r>
    </w:p>
    <w:p w14:paraId="7836C09A">
      <w:pPr>
        <w:numPr>
          <w:ilvl w:val="0"/>
          <w:numId w:val="60"/>
        </w:numPr>
        <w:spacing w:before="105" w:after="105" w:line="360" w:lineRule="auto"/>
      </w:pPr>
      <w:r>
        <w:rPr>
          <w:rFonts w:ascii="inter" w:hAnsi="inter" w:eastAsia="inter" w:cs="inter"/>
          <w:color w:val="000000"/>
          <w:sz w:val="21"/>
        </w:rPr>
        <w:t>认知维度：提问质量、回答问题的相关性与复杂度、参与高阶思维活动的频率；</w:t>
      </w:r>
    </w:p>
    <w:p w14:paraId="3CE3B030">
      <w:pPr>
        <w:numPr>
          <w:ilvl w:val="0"/>
          <w:numId w:val="60"/>
        </w:numPr>
        <w:spacing w:before="105" w:after="105" w:line="360" w:lineRule="auto"/>
      </w:pPr>
      <w:r>
        <w:rPr>
          <w:rFonts w:ascii="inter" w:hAnsi="inter" w:eastAsia="inter" w:cs="inter"/>
          <w:color w:val="000000"/>
          <w:sz w:val="21"/>
        </w:rPr>
        <w:t>社交维度：与同伴发起和回应互动的次数、在合作任务中的实际贡献；</w:t>
      </w:r>
    </w:p>
    <w:p w14:paraId="783CCDFF">
      <w:pPr>
        <w:numPr>
          <w:ilvl w:val="0"/>
          <w:numId w:val="60"/>
        </w:numPr>
        <w:spacing w:before="105" w:after="105" w:line="360" w:lineRule="auto"/>
      </w:pPr>
      <w:r>
        <w:rPr>
          <w:rFonts w:ascii="inter" w:hAnsi="inter" w:eastAsia="inter" w:cs="inter"/>
          <w:color w:val="000000"/>
          <w:sz w:val="21"/>
        </w:rPr>
        <w:t>情绪与感官维度：因焦虑/感官不适暂停学习的频率与持续时间、自主使用调节策略的频次。</w:t>
      </w:r>
    </w:p>
    <w:p w14:paraId="03B994EF">
      <w:pPr>
        <w:spacing w:after="210" w:line="360" w:lineRule="auto"/>
      </w:pPr>
      <w:r>
        <w:rPr>
          <w:rFonts w:ascii="inter" w:hAnsi="inter" w:eastAsia="inter" w:cs="inter"/>
          <w:color w:val="000000"/>
        </w:rPr>
        <w:t>系统综述显示，采用如自我监控、教师观察量表、视频编码等方法，可以较为准确地记录ASD学生的课堂参与变化，并将其作为干预调整依据。</w:t>
      </w:r>
      <w:bookmarkStart w:id="229" w:name="fnref42_3"/>
      <w:bookmarkEnd w:id="229"/>
      <w:r>
        <w:fldChar w:fldCharType="begin"/>
      </w:r>
      <w:r>
        <w:instrText xml:space="preserve"> HYPERLINK \l "fn42" \h </w:instrText>
      </w:r>
      <w:r>
        <w:fldChar w:fldCharType="separate"/>
      </w:r>
      <w:r>
        <w:rPr>
          <w:rFonts w:ascii="inter" w:hAnsi="inter" w:eastAsia="inter" w:cs="inter"/>
          <w:color w:val="000000"/>
          <w:u w:val="single"/>
          <w:vertAlign w:val="superscript"/>
        </w:rPr>
        <w:t>[42]</w:t>
      </w:r>
      <w:r>
        <w:rPr>
          <w:rFonts w:ascii="inter" w:hAnsi="inter" w:eastAsia="inter" w:cs="inter"/>
          <w:color w:val="000000"/>
          <w:u w:val="single"/>
          <w:vertAlign w:val="superscript"/>
        </w:rPr>
        <w:fldChar w:fldCharType="end"/>
      </w:r>
      <w:bookmarkStart w:id="230" w:name="fnref4_3"/>
      <w:bookmarkEnd w:id="230"/>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231" w:name="fnref17_14"/>
      <w:bookmarkEnd w:id="231"/>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232" w:name="fnref15_6"/>
      <w:bookmarkEnd w:id="232"/>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233" w:name="fnref35_10"/>
      <w:bookmarkEnd w:id="233"/>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p>
    <w:p w14:paraId="2B9F5FAD">
      <w:pPr>
        <w:spacing w:before="315" w:after="105" w:line="360" w:lineRule="auto"/>
        <w:ind w:left="-30"/>
        <w:jc w:val="left"/>
      </w:pPr>
      <w:bookmarkStart w:id="234" w:name="二_评估设计与数据运用"/>
      <w:r>
        <w:rPr>
          <w:rFonts w:ascii="inter" w:hAnsi="inter" w:eastAsia="inter" w:cs="inter"/>
          <w:b/>
          <w:color w:val="000000"/>
          <w:sz w:val="24"/>
        </w:rPr>
        <w:t>（二）评估设计与数据运用</w:t>
      </w:r>
      <w:bookmarkEnd w:id="234"/>
    </w:p>
    <w:p w14:paraId="4BC0A176">
      <w:pPr>
        <w:numPr>
          <w:ilvl w:val="0"/>
          <w:numId w:val="61"/>
        </w:numPr>
        <w:spacing w:before="105" w:after="105" w:line="360" w:lineRule="auto"/>
      </w:pPr>
      <w:r>
        <w:rPr>
          <w:rFonts w:ascii="inter" w:hAnsi="inter" w:eastAsia="inter" w:cs="inter"/>
          <w:color w:val="000000"/>
          <w:sz w:val="21"/>
        </w:rPr>
        <w:t>基线—干预—跟踪的循环结构</w:t>
      </w:r>
    </w:p>
    <w:p w14:paraId="4B284780">
      <w:pPr>
        <w:numPr>
          <w:ilvl w:val="0"/>
          <w:numId w:val="62"/>
        </w:numPr>
        <w:spacing w:before="105" w:after="105" w:line="360" w:lineRule="auto"/>
      </w:pPr>
      <w:r>
        <w:rPr>
          <w:rFonts w:ascii="inter" w:hAnsi="inter" w:eastAsia="inter" w:cs="inter"/>
          <w:color w:val="000000"/>
          <w:sz w:val="21"/>
        </w:rPr>
        <w:t>在实施新策略前，收集至少2–3周的基线参与数据；</w:t>
      </w:r>
    </w:p>
    <w:p w14:paraId="7B071516">
      <w:pPr>
        <w:numPr>
          <w:ilvl w:val="0"/>
          <w:numId w:val="62"/>
        </w:numPr>
        <w:spacing w:before="105" w:after="105" w:line="360" w:lineRule="auto"/>
      </w:pPr>
      <w:r>
        <w:rPr>
          <w:rFonts w:ascii="inter" w:hAnsi="inter" w:eastAsia="inter" w:cs="inter"/>
          <w:color w:val="000000"/>
          <w:sz w:val="21"/>
        </w:rPr>
        <w:t>干预期间，按周或按单元收集数据，并记录策略调整情况；</w:t>
      </w:r>
    </w:p>
    <w:p w14:paraId="737D5AB6">
      <w:pPr>
        <w:numPr>
          <w:ilvl w:val="0"/>
          <w:numId w:val="62"/>
        </w:numPr>
        <w:spacing w:before="105" w:after="105" w:line="360" w:lineRule="auto"/>
      </w:pPr>
      <w:r>
        <w:rPr>
          <w:rFonts w:ascii="inter" w:hAnsi="inter" w:eastAsia="inter" w:cs="inter"/>
          <w:color w:val="000000"/>
          <w:sz w:val="21"/>
        </w:rPr>
        <w:t>学期末综合分析数据变化，将有效做法固化为课堂常规与制度，并为下学期调整提供依据。</w:t>
      </w:r>
    </w:p>
    <w:p w14:paraId="7E81830F">
      <w:pPr>
        <w:numPr>
          <w:ilvl w:val="0"/>
          <w:numId w:val="63"/>
        </w:numPr>
        <w:spacing w:before="105" w:after="105" w:line="360" w:lineRule="auto"/>
      </w:pPr>
      <w:r>
        <w:rPr>
          <w:rFonts w:ascii="inter" w:hAnsi="inter" w:eastAsia="inter" w:cs="inter"/>
          <w:color w:val="000000"/>
          <w:sz w:val="21"/>
        </w:rPr>
        <w:t>评估维度与数据源多元化</w:t>
      </w:r>
    </w:p>
    <w:p w14:paraId="4DE45CA1">
      <w:pPr>
        <w:numPr>
          <w:ilvl w:val="0"/>
          <w:numId w:val="64"/>
        </w:numPr>
        <w:spacing w:before="105" w:after="105" w:line="360" w:lineRule="auto"/>
      </w:pPr>
      <w:r>
        <w:rPr>
          <w:rFonts w:ascii="inter" w:hAnsi="inter" w:eastAsia="inter" w:cs="inter"/>
          <w:color w:val="000000"/>
          <w:sz w:val="21"/>
        </w:rPr>
        <w:t>教师量化记录与质性观察笔记；</w:t>
      </w:r>
    </w:p>
    <w:p w14:paraId="3C4A8B2D">
      <w:pPr>
        <w:numPr>
          <w:ilvl w:val="0"/>
          <w:numId w:val="64"/>
        </w:numPr>
        <w:spacing w:before="105" w:after="105" w:line="360" w:lineRule="auto"/>
      </w:pPr>
      <w:r>
        <w:rPr>
          <w:rFonts w:ascii="inter" w:hAnsi="inter" w:eastAsia="inter" w:cs="inter"/>
          <w:color w:val="000000"/>
          <w:sz w:val="21"/>
        </w:rPr>
        <w:t>学生自我评价与同伴互评，强化主体意识；</w:t>
      </w:r>
    </w:p>
    <w:p w14:paraId="75C0F96F">
      <w:pPr>
        <w:numPr>
          <w:ilvl w:val="0"/>
          <w:numId w:val="64"/>
        </w:numPr>
        <w:spacing w:before="105" w:after="105" w:line="360" w:lineRule="auto"/>
      </w:pPr>
      <w:r>
        <w:rPr>
          <w:rFonts w:ascii="inter" w:hAnsi="inter" w:eastAsia="inter" w:cs="inter"/>
          <w:color w:val="000000"/>
          <w:sz w:val="21"/>
        </w:rPr>
        <w:t>家长对学生课后情绪和作业参与的反馈；</w:t>
      </w:r>
    </w:p>
    <w:p w14:paraId="39BB6408">
      <w:pPr>
        <w:numPr>
          <w:ilvl w:val="0"/>
          <w:numId w:val="64"/>
        </w:numPr>
        <w:spacing w:before="105" w:after="105" w:line="360" w:lineRule="auto"/>
      </w:pPr>
      <w:r>
        <w:rPr>
          <w:rFonts w:ascii="inter" w:hAnsi="inter" w:eastAsia="inter" w:cs="inter"/>
          <w:color w:val="000000"/>
          <w:sz w:val="21"/>
        </w:rPr>
        <w:t>必要时辅以客观测试（如学业成绩、标准化适应行为量表）以评估参与度提升对整体发展的影响。</w:t>
      </w:r>
      <w:bookmarkStart w:id="235" w:name="fnref4_4"/>
      <w:bookmarkEnd w:id="235"/>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bookmarkStart w:id="236" w:name="fnref17_15"/>
      <w:bookmarkEnd w:id="236"/>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bookmarkStart w:id="237" w:name="fnref7_8"/>
      <w:bookmarkEnd w:id="237"/>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5F1B2120">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04EB8CD2">
      <w:pPr>
        <w:spacing w:before="315" w:after="105" w:line="360" w:lineRule="auto"/>
        <w:ind w:left="-30"/>
        <w:jc w:val="left"/>
      </w:pPr>
      <w:bookmarkStart w:id="238" w:name="六_策略局限_风险防范与伦理考量"/>
      <w:r>
        <w:rPr>
          <w:rFonts w:ascii="inter" w:hAnsi="inter" w:eastAsia="inter" w:cs="inter"/>
          <w:b/>
          <w:color w:val="000000"/>
          <w:sz w:val="24"/>
        </w:rPr>
        <w:t>六、策略局限、风险防范与伦理考量</w:t>
      </w:r>
      <w:bookmarkEnd w:id="238"/>
    </w:p>
    <w:p w14:paraId="74C831FF">
      <w:pPr>
        <w:spacing w:before="315" w:after="105" w:line="360" w:lineRule="auto"/>
        <w:ind w:left="-30"/>
        <w:jc w:val="left"/>
      </w:pPr>
      <w:bookmarkStart w:id="239" w:name="一_个体差异与_一刀切_风险"/>
      <w:r>
        <w:rPr>
          <w:rFonts w:ascii="inter" w:hAnsi="inter" w:eastAsia="inter" w:cs="inter"/>
          <w:b/>
          <w:color w:val="000000"/>
          <w:sz w:val="24"/>
        </w:rPr>
        <w:t>（一）个体差异与“一刀切”风险</w:t>
      </w:r>
      <w:bookmarkEnd w:id="239"/>
    </w:p>
    <w:p w14:paraId="5A81B8B2">
      <w:pPr>
        <w:spacing w:after="210" w:line="360" w:lineRule="auto"/>
      </w:pPr>
      <w:r>
        <w:rPr>
          <w:rFonts w:ascii="inter" w:hAnsi="inter" w:eastAsia="inter" w:cs="inter"/>
          <w:color w:val="000000"/>
        </w:rPr>
        <w:t>多项评估与综述指出，目前尚无任何单一干预模式能够对所有ASD学生和家庭普遍有效。据Parsons等人的国际评审，教育实践应采用“折衷而有证据支撑”的组合策略，并通过持续评估和家庭参与进行个体化调整。因此，在推广课堂参与策略时，需要警惕：</w:t>
      </w:r>
      <w:bookmarkStart w:id="240" w:name="fnref17_16"/>
      <w:bookmarkEnd w:id="240"/>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4168FE6A">
      <w:pPr>
        <w:numPr>
          <w:ilvl w:val="0"/>
          <w:numId w:val="65"/>
        </w:numPr>
        <w:spacing w:before="105" w:after="105" w:line="360" w:lineRule="auto"/>
      </w:pPr>
      <w:r>
        <w:rPr>
          <w:rFonts w:ascii="inter" w:hAnsi="inter" w:eastAsia="inter" w:cs="inter"/>
          <w:color w:val="000000"/>
          <w:sz w:val="21"/>
        </w:rPr>
        <w:t>将某一模式（如ABA或TEACCH）绝对化，并忽视学生和家庭的价值观与偏好；</w:t>
      </w:r>
    </w:p>
    <w:p w14:paraId="3AFDDA4D">
      <w:pPr>
        <w:numPr>
          <w:ilvl w:val="0"/>
          <w:numId w:val="65"/>
        </w:numPr>
        <w:spacing w:before="105" w:after="105" w:line="360" w:lineRule="auto"/>
      </w:pPr>
      <w:r>
        <w:rPr>
          <w:rFonts w:ascii="inter" w:hAnsi="inter" w:eastAsia="inter" w:cs="inter"/>
          <w:color w:val="000000"/>
          <w:sz w:val="21"/>
        </w:rPr>
        <w:t>忽视共病（如注意缺陷多动障碍、焦虑障碍、智力障碍等）导致的差异化需求。</w:t>
      </w:r>
      <w:bookmarkStart w:id="241" w:name="fnref1_6"/>
      <w:bookmarkEnd w:id="241"/>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242" w:name="fnref7_9"/>
      <w:bookmarkEnd w:id="242"/>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4E17980E">
      <w:pPr>
        <w:spacing w:before="315" w:after="105" w:line="360" w:lineRule="auto"/>
        <w:ind w:left="-30"/>
        <w:jc w:val="left"/>
      </w:pPr>
      <w:bookmarkStart w:id="243" w:name="二_参与质量与学生主观经验"/>
      <w:r>
        <w:rPr>
          <w:rFonts w:ascii="inter" w:hAnsi="inter" w:eastAsia="inter" w:cs="inter"/>
          <w:b/>
          <w:color w:val="000000"/>
          <w:sz w:val="24"/>
        </w:rPr>
        <w:t>（二）参与质量与学生主观经验</w:t>
      </w:r>
      <w:bookmarkEnd w:id="243"/>
    </w:p>
    <w:p w14:paraId="1D22E9A4">
      <w:pPr>
        <w:spacing w:after="210" w:line="360" w:lineRule="auto"/>
      </w:pPr>
      <w:r>
        <w:rPr>
          <w:rFonts w:ascii="inter" w:hAnsi="inter" w:eastAsia="inter" w:cs="inter"/>
          <w:color w:val="000000"/>
        </w:rPr>
        <w:t>在以行为参与数据为主的评估中，若不关注学生主观体验，可能出现“表面高参与、内在高痛苦”的假象。WHO和新加坡CPG皆提出，需要在干预设计中兼顾学生的情绪福祉和自我决定权，以实现“有尊严的参与”。</w:t>
      </w:r>
      <w:bookmarkStart w:id="244" w:name="fnref7_10"/>
      <w:bookmarkEnd w:id="244"/>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245" w:name="fnref5_5"/>
      <w:bookmarkEnd w:id="245"/>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246" w:name="fnref1_7"/>
      <w:bookmarkEnd w:id="246"/>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56CB8374">
      <w:pPr>
        <w:spacing w:after="210" w:line="360" w:lineRule="auto"/>
      </w:pPr>
      <w:r>
        <w:rPr>
          <w:rFonts w:ascii="inter" w:hAnsi="inter" w:eastAsia="inter" w:cs="inter"/>
          <w:color w:val="000000"/>
        </w:rPr>
        <w:t>建议在策略实施中：</w:t>
      </w:r>
    </w:p>
    <w:p w14:paraId="05C3A4F5">
      <w:pPr>
        <w:numPr>
          <w:ilvl w:val="0"/>
          <w:numId w:val="66"/>
        </w:numPr>
        <w:spacing w:before="105" w:after="105" w:line="360" w:lineRule="auto"/>
      </w:pPr>
      <w:r>
        <w:rPr>
          <w:rFonts w:ascii="inter" w:hAnsi="inter" w:eastAsia="inter" w:cs="inter"/>
          <w:color w:val="000000"/>
          <w:sz w:val="21"/>
        </w:rPr>
        <w:t>通过定期访谈或适应性工具（如视觉量表）了解学生对课堂与支持策略的感受；</w:t>
      </w:r>
    </w:p>
    <w:p w14:paraId="76C06505">
      <w:pPr>
        <w:numPr>
          <w:ilvl w:val="0"/>
          <w:numId w:val="66"/>
        </w:numPr>
        <w:spacing w:before="105" w:after="105" w:line="360" w:lineRule="auto"/>
      </w:pPr>
      <w:r>
        <w:rPr>
          <w:rFonts w:ascii="inter" w:hAnsi="inter" w:eastAsia="inter" w:cs="inter"/>
          <w:color w:val="000000"/>
          <w:sz w:val="21"/>
        </w:rPr>
        <w:t>避免使用羞辱、惩罚和强压性手段强制学生“参与”；</w:t>
      </w:r>
    </w:p>
    <w:p w14:paraId="4F3C58F5">
      <w:pPr>
        <w:numPr>
          <w:ilvl w:val="0"/>
          <w:numId w:val="66"/>
        </w:numPr>
        <w:spacing w:before="105" w:after="105" w:line="360" w:lineRule="auto"/>
      </w:pPr>
      <w:r>
        <w:rPr>
          <w:rFonts w:ascii="inter" w:hAnsi="inter" w:eastAsia="inter" w:cs="inter"/>
          <w:color w:val="000000"/>
          <w:sz w:val="21"/>
        </w:rPr>
        <w:t>重视学生兴趣（focused interests）在提升参与度中的作用，用“把兴趣嵌入课程”而非仅作为奖励手段。</w:t>
      </w:r>
      <w:bookmarkStart w:id="247" w:name="fnref42_4"/>
      <w:bookmarkEnd w:id="247"/>
      <w:r>
        <w:fldChar w:fldCharType="begin"/>
      </w:r>
      <w:r>
        <w:instrText xml:space="preserve"> HYPERLINK \l "fn42" \h </w:instrText>
      </w:r>
      <w:r>
        <w:fldChar w:fldCharType="separate"/>
      </w:r>
      <w:r>
        <w:rPr>
          <w:rFonts w:ascii="inter" w:hAnsi="inter" w:eastAsia="inter" w:cs="inter"/>
          <w:color w:val="000000"/>
          <w:sz w:val="21"/>
          <w:u w:val="single"/>
          <w:vertAlign w:val="superscript"/>
        </w:rPr>
        <w:t>[42]</w:t>
      </w:r>
      <w:r>
        <w:rPr>
          <w:rFonts w:ascii="inter" w:hAnsi="inter" w:eastAsia="inter" w:cs="inter"/>
          <w:color w:val="000000"/>
          <w:sz w:val="21"/>
          <w:u w:val="single"/>
          <w:vertAlign w:val="superscript"/>
        </w:rPr>
        <w:fldChar w:fldCharType="end"/>
      </w:r>
      <w:bookmarkStart w:id="248" w:name="fnref17_17"/>
      <w:bookmarkEnd w:id="248"/>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p>
    <w:p w14:paraId="3784BD32">
      <w:pPr>
        <w:spacing w:before="315" w:after="105" w:line="360" w:lineRule="auto"/>
        <w:ind w:left="-30"/>
        <w:jc w:val="left"/>
      </w:pPr>
      <w:bookmarkStart w:id="249" w:name="三_资源不平等与可持续性"/>
      <w:r>
        <w:rPr>
          <w:rFonts w:ascii="inter" w:hAnsi="inter" w:eastAsia="inter" w:cs="inter"/>
          <w:b/>
          <w:color w:val="000000"/>
          <w:sz w:val="24"/>
        </w:rPr>
        <w:t>（三）资源不平等与可持续性</w:t>
      </w:r>
      <w:bookmarkEnd w:id="249"/>
    </w:p>
    <w:p w14:paraId="60B27E83">
      <w:pPr>
        <w:spacing w:after="210" w:line="360" w:lineRule="auto"/>
      </w:pPr>
      <w:r>
        <w:rPr>
          <w:rFonts w:ascii="inter" w:hAnsi="inter" w:eastAsia="inter" w:cs="inter"/>
          <w:color w:val="000000"/>
        </w:rPr>
        <w:t>高质量的UDL设计、AT配置和跨专业团队协作，对人力与经费均有要求。WHO和国家层面政策多次指出，应通过公共财政和政策引导，逐步缩小不同地区与学校在特殊教育资源上的差距。在资源有限情境下，建议优先：</w:t>
      </w:r>
      <w:bookmarkStart w:id="250" w:name="fnref11_6"/>
      <w:bookmarkEnd w:id="250"/>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bookmarkStart w:id="251" w:name="fnref10_6"/>
      <w:bookmarkEnd w:id="251"/>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252" w:name="fnref5_6"/>
      <w:bookmarkEnd w:id="252"/>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253" w:name="fnref1_8"/>
      <w:bookmarkEnd w:id="253"/>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114DF4E6">
      <w:pPr>
        <w:numPr>
          <w:ilvl w:val="0"/>
          <w:numId w:val="67"/>
        </w:numPr>
        <w:spacing w:before="105" w:after="105" w:line="360" w:lineRule="auto"/>
      </w:pPr>
      <w:r>
        <w:rPr>
          <w:rFonts w:ascii="inter" w:hAnsi="inter" w:eastAsia="inter" w:cs="inter"/>
          <w:color w:val="000000"/>
          <w:sz w:val="21"/>
        </w:rPr>
        <w:t>推广低成本、高效益的结构化教学与视觉支持；</w:t>
      </w:r>
    </w:p>
    <w:p w14:paraId="191AECE6">
      <w:pPr>
        <w:numPr>
          <w:ilvl w:val="0"/>
          <w:numId w:val="67"/>
        </w:numPr>
        <w:spacing w:before="105" w:after="105" w:line="360" w:lineRule="auto"/>
      </w:pPr>
      <w:r>
        <w:rPr>
          <w:rFonts w:ascii="inter" w:hAnsi="inter" w:eastAsia="inter" w:cs="inter"/>
          <w:color w:val="000000"/>
          <w:sz w:val="21"/>
        </w:rPr>
        <w:t>将基础PBIS与UDL原则纳入常规教学改革；</w:t>
      </w:r>
    </w:p>
    <w:p w14:paraId="2E49A814">
      <w:pPr>
        <w:numPr>
          <w:ilvl w:val="0"/>
          <w:numId w:val="67"/>
        </w:numPr>
        <w:spacing w:before="105" w:after="105" w:line="360" w:lineRule="auto"/>
      </w:pPr>
      <w:r>
        <w:rPr>
          <w:rFonts w:ascii="inter" w:hAnsi="inter" w:eastAsia="inter" w:cs="inter"/>
          <w:color w:val="000000"/>
          <w:sz w:val="21"/>
        </w:rPr>
        <w:t>通过区域资源中心或教育指导中心，辐射支持周边学校。</w:t>
      </w:r>
      <w:bookmarkStart w:id="254" w:name="fnref10_7"/>
      <w:bookmarkEnd w:id="254"/>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255" w:name="fnref11_7"/>
      <w:bookmarkEnd w:id="255"/>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bookmarkStart w:id="256" w:name="fnref40_4"/>
      <w:bookmarkEnd w:id="256"/>
      <w:r>
        <w:fldChar w:fldCharType="begin"/>
      </w:r>
      <w:r>
        <w:instrText xml:space="preserve"> HYPERLINK \l "fn40" \h </w:instrText>
      </w:r>
      <w:r>
        <w:fldChar w:fldCharType="separate"/>
      </w:r>
      <w:r>
        <w:rPr>
          <w:rFonts w:ascii="inter" w:hAnsi="inter" w:eastAsia="inter" w:cs="inter"/>
          <w:color w:val="000000"/>
          <w:sz w:val="21"/>
          <w:u w:val="single"/>
          <w:vertAlign w:val="superscript"/>
        </w:rPr>
        <w:t>[40]</w:t>
      </w:r>
      <w:r>
        <w:rPr>
          <w:rFonts w:ascii="inter" w:hAnsi="inter" w:eastAsia="inter" w:cs="inter"/>
          <w:color w:val="000000"/>
          <w:sz w:val="21"/>
          <w:u w:val="single"/>
          <w:vertAlign w:val="superscript"/>
        </w:rPr>
        <w:fldChar w:fldCharType="end"/>
      </w:r>
    </w:p>
    <w:p w14:paraId="5F908044">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6205D5FE">
      <w:pPr>
        <w:spacing w:before="315" w:after="105" w:line="360" w:lineRule="auto"/>
        <w:ind w:left="-30"/>
        <w:jc w:val="left"/>
      </w:pPr>
      <w:bookmarkStart w:id="257" w:name="七_结论与政策建议_从课堂参与到全纳教育与sdg4"/>
      <w:r>
        <w:rPr>
          <w:rFonts w:ascii="inter" w:hAnsi="inter" w:eastAsia="inter" w:cs="inter"/>
          <w:b/>
          <w:color w:val="000000"/>
          <w:sz w:val="24"/>
        </w:rPr>
        <w:t>七、结论与政策建议：从课堂参与到全纳教育与SDG4</w:t>
      </w:r>
      <w:bookmarkEnd w:id="257"/>
    </w:p>
    <w:p w14:paraId="794AC999">
      <w:pPr>
        <w:spacing w:before="315" w:after="105" w:line="360" w:lineRule="auto"/>
        <w:ind w:left="-30"/>
        <w:jc w:val="left"/>
      </w:pPr>
      <w:bookmarkStart w:id="258" w:name="一_主要结论"/>
      <w:r>
        <w:rPr>
          <w:rFonts w:ascii="inter" w:hAnsi="inter" w:eastAsia="inter" w:cs="inter"/>
          <w:b/>
          <w:color w:val="000000"/>
          <w:sz w:val="24"/>
        </w:rPr>
        <w:t>（一）主要结论</w:t>
      </w:r>
      <w:bookmarkEnd w:id="258"/>
    </w:p>
    <w:p w14:paraId="71DF4D51">
      <w:pPr>
        <w:spacing w:after="210" w:line="360" w:lineRule="auto"/>
      </w:pPr>
      <w:r>
        <w:rPr>
          <w:rFonts w:ascii="inter" w:hAnsi="inter" w:eastAsia="inter" w:cs="inter"/>
          <w:color w:val="000000"/>
        </w:rPr>
        <w:t>综合WHO、CDC、各国临床实践指南及教育研究证据，可形成以下共识性结论：</w:t>
      </w:r>
    </w:p>
    <w:p w14:paraId="1E9637A2">
      <w:pPr>
        <w:numPr>
          <w:ilvl w:val="0"/>
          <w:numId w:val="68"/>
        </w:numPr>
        <w:spacing w:before="105" w:after="105" w:line="360" w:lineRule="auto"/>
      </w:pPr>
      <w:r>
        <w:rPr>
          <w:rFonts w:ascii="inter" w:hAnsi="inter" w:eastAsia="inter" w:cs="inter"/>
          <w:color w:val="000000"/>
          <w:sz w:val="21"/>
        </w:rPr>
        <w:t>ASD学生的课堂参与度是其学业成绩、社会技能发展和心理健康的关键决定因素之一，也是衡量全纳教育质量的重要指标。</w:t>
      </w:r>
      <w:bookmarkStart w:id="259" w:name="fnref4_5"/>
      <w:bookmarkEnd w:id="259"/>
      <w:r>
        <w:fldChar w:fldCharType="begin"/>
      </w:r>
      <w:r>
        <w:instrText xml:space="preserve"> HYPERLINK \l "fn4" \h </w:instrText>
      </w:r>
      <w:r>
        <w:fldChar w:fldCharType="separate"/>
      </w:r>
      <w:r>
        <w:rPr>
          <w:rFonts w:ascii="inter" w:hAnsi="inter" w:eastAsia="inter" w:cs="inter"/>
          <w:color w:val="000000"/>
          <w:sz w:val="21"/>
          <w:u w:val="single"/>
          <w:vertAlign w:val="superscript"/>
        </w:rPr>
        <w:t>[4]</w:t>
      </w:r>
      <w:r>
        <w:rPr>
          <w:rFonts w:ascii="inter" w:hAnsi="inter" w:eastAsia="inter" w:cs="inter"/>
          <w:color w:val="000000"/>
          <w:sz w:val="21"/>
          <w:u w:val="single"/>
          <w:vertAlign w:val="superscript"/>
        </w:rPr>
        <w:fldChar w:fldCharType="end"/>
      </w:r>
      <w:bookmarkStart w:id="260" w:name="fnref17_18"/>
      <w:bookmarkEnd w:id="260"/>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bookmarkStart w:id="261" w:name="fnref1_9"/>
      <w:bookmarkEnd w:id="261"/>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262" w:name="fnref7_11"/>
      <w:bookmarkEnd w:id="262"/>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5BDCF354">
      <w:pPr>
        <w:numPr>
          <w:ilvl w:val="0"/>
          <w:numId w:val="68"/>
        </w:numPr>
        <w:spacing w:before="105" w:after="105" w:line="360" w:lineRule="auto"/>
      </w:pPr>
      <w:r>
        <w:rPr>
          <w:rFonts w:ascii="inter" w:hAnsi="inter" w:eastAsia="inter" w:cs="inter"/>
          <w:color w:val="000000"/>
          <w:sz w:val="21"/>
        </w:rPr>
        <w:t>提升ASD学生课堂参与度的有效策略必须同时作用于：行为支持、环境结构化、沟通与社交支持、课程与教学设计（UDL）、辅助技术与感官调适等多个层面，并通过多层级支持体系实现系统整合。</w:t>
      </w:r>
      <w:bookmarkStart w:id="263" w:name="fnref39_6"/>
      <w:bookmarkEnd w:id="263"/>
      <w:r>
        <w:fldChar w:fldCharType="begin"/>
      </w:r>
      <w:r>
        <w:instrText xml:space="preserve"> HYPERLINK \l "fn39" \h </w:instrText>
      </w:r>
      <w:r>
        <w:fldChar w:fldCharType="separate"/>
      </w:r>
      <w:r>
        <w:rPr>
          <w:rFonts w:ascii="inter" w:hAnsi="inter" w:eastAsia="inter" w:cs="inter"/>
          <w:color w:val="000000"/>
          <w:sz w:val="21"/>
          <w:u w:val="single"/>
          <w:vertAlign w:val="superscript"/>
        </w:rPr>
        <w:t>[39]</w:t>
      </w:r>
      <w:r>
        <w:rPr>
          <w:rFonts w:ascii="inter" w:hAnsi="inter" w:eastAsia="inter" w:cs="inter"/>
          <w:color w:val="000000"/>
          <w:sz w:val="21"/>
          <w:u w:val="single"/>
          <w:vertAlign w:val="superscript"/>
        </w:rPr>
        <w:fldChar w:fldCharType="end"/>
      </w:r>
      <w:bookmarkStart w:id="264" w:name="fnref18_8"/>
      <w:bookmarkEnd w:id="264"/>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bookmarkStart w:id="265" w:name="fnref15_7"/>
      <w:bookmarkEnd w:id="265"/>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bookmarkStart w:id="266" w:name="fnref17_19"/>
      <w:bookmarkEnd w:id="266"/>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bookmarkStart w:id="267" w:name="fnref29_14"/>
      <w:bookmarkEnd w:id="267"/>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bookmarkStart w:id="268" w:name="fnref30_10"/>
      <w:bookmarkEnd w:id="268"/>
      <w:r>
        <w:fldChar w:fldCharType="begin"/>
      </w:r>
      <w:r>
        <w:instrText xml:space="preserve"> HYPERLINK \l "fn30" \h </w:instrText>
      </w:r>
      <w:r>
        <w:fldChar w:fldCharType="separate"/>
      </w:r>
      <w:r>
        <w:rPr>
          <w:rFonts w:ascii="inter" w:hAnsi="inter" w:eastAsia="inter" w:cs="inter"/>
          <w:color w:val="000000"/>
          <w:sz w:val="21"/>
          <w:u w:val="single"/>
          <w:vertAlign w:val="superscript"/>
        </w:rPr>
        <w:t>[30]</w:t>
      </w:r>
      <w:r>
        <w:rPr>
          <w:rFonts w:ascii="inter" w:hAnsi="inter" w:eastAsia="inter" w:cs="inter"/>
          <w:color w:val="000000"/>
          <w:sz w:val="21"/>
          <w:u w:val="single"/>
          <w:vertAlign w:val="superscript"/>
        </w:rPr>
        <w:fldChar w:fldCharType="end"/>
      </w:r>
      <w:bookmarkStart w:id="269" w:name="fnref35_11"/>
      <w:bookmarkEnd w:id="269"/>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p>
    <w:p w14:paraId="4B9C45E0">
      <w:pPr>
        <w:numPr>
          <w:ilvl w:val="0"/>
          <w:numId w:val="68"/>
        </w:numPr>
        <w:spacing w:before="105" w:after="105" w:line="360" w:lineRule="auto"/>
      </w:pPr>
      <w:r>
        <w:rPr>
          <w:rFonts w:ascii="inter" w:hAnsi="inter" w:eastAsia="inter" w:cs="inter"/>
          <w:color w:val="000000"/>
          <w:sz w:val="21"/>
        </w:rPr>
        <w:t>任何单一模式（如纯行为主义或纯结构化）都难以满足全部学生的复杂需要，教育实践更适宜在循证基础上形成“多元整合、因地制宜、因人而异”的组合策略。</w:t>
      </w:r>
      <w:bookmarkStart w:id="270" w:name="fnref17_20"/>
      <w:bookmarkEnd w:id="270"/>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bookmarkStart w:id="271" w:name="fnref5_7"/>
      <w:bookmarkEnd w:id="271"/>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bookmarkStart w:id="272" w:name="fnref1_10"/>
      <w:bookmarkEnd w:id="272"/>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bookmarkStart w:id="273" w:name="fnref7_12"/>
      <w:bookmarkEnd w:id="273"/>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17554834">
      <w:pPr>
        <w:spacing w:before="315" w:after="105" w:line="360" w:lineRule="auto"/>
        <w:ind w:left="-30"/>
        <w:jc w:val="left"/>
      </w:pPr>
      <w:bookmarkStart w:id="274" w:name="二_对教育行政部门的政策建议"/>
      <w:r>
        <w:rPr>
          <w:rFonts w:ascii="inter" w:hAnsi="inter" w:eastAsia="inter" w:cs="inter"/>
          <w:b/>
          <w:color w:val="000000"/>
          <w:sz w:val="24"/>
        </w:rPr>
        <w:t>（二）对教育行政部门的政策建议</w:t>
      </w:r>
      <w:bookmarkEnd w:id="274"/>
    </w:p>
    <w:p w14:paraId="57FDB8FD">
      <w:pPr>
        <w:numPr>
          <w:ilvl w:val="0"/>
          <w:numId w:val="69"/>
        </w:numPr>
        <w:spacing w:before="105" w:after="105" w:line="360" w:lineRule="auto"/>
      </w:pPr>
      <w:r>
        <w:rPr>
          <w:rFonts w:ascii="inter" w:hAnsi="inter" w:eastAsia="inter" w:cs="inter"/>
          <w:color w:val="000000"/>
          <w:sz w:val="21"/>
        </w:rPr>
        <w:t>将“ASD学生课堂参与度”纳入全纳教育与特殊教育发展规划的核心指标体系，将相关数据纳入教育质量监测与问责框架，与SDG4目标相衔接。</w:t>
      </w:r>
      <w:bookmarkStart w:id="275" w:name="fnref11_8"/>
      <w:bookmarkEnd w:id="275"/>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bookmarkStart w:id="276" w:name="fnref10_8"/>
      <w:bookmarkEnd w:id="276"/>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277" w:name="fnref5_8"/>
      <w:bookmarkEnd w:id="277"/>
      <w:r>
        <w:fldChar w:fldCharType="begin"/>
      </w:r>
      <w:r>
        <w:instrText xml:space="preserve"> HYPERLINK \l "fn5" \h </w:instrText>
      </w:r>
      <w:r>
        <w:fldChar w:fldCharType="separate"/>
      </w:r>
      <w:r>
        <w:rPr>
          <w:rFonts w:ascii="inter" w:hAnsi="inter" w:eastAsia="inter" w:cs="inter"/>
          <w:color w:val="000000"/>
          <w:sz w:val="21"/>
          <w:u w:val="single"/>
          <w:vertAlign w:val="superscript"/>
        </w:rPr>
        <w:t>[5]</w:t>
      </w:r>
      <w:r>
        <w:rPr>
          <w:rFonts w:ascii="inter" w:hAnsi="inter" w:eastAsia="inter" w:cs="inter"/>
          <w:color w:val="000000"/>
          <w:sz w:val="21"/>
          <w:u w:val="single"/>
          <w:vertAlign w:val="superscript"/>
        </w:rPr>
        <w:fldChar w:fldCharType="end"/>
      </w:r>
      <w:bookmarkStart w:id="278" w:name="fnref1_11"/>
      <w:bookmarkEnd w:id="278"/>
      <w:r>
        <w:fldChar w:fldCharType="begin"/>
      </w:r>
      <w:r>
        <w:instrText xml:space="preserve"> HYPERLINK \l "fn1" \h </w:instrText>
      </w:r>
      <w:r>
        <w:fldChar w:fldCharType="separate"/>
      </w:r>
      <w:r>
        <w:rPr>
          <w:rFonts w:ascii="inter" w:hAnsi="inter" w:eastAsia="inter" w:cs="inter"/>
          <w:color w:val="000000"/>
          <w:sz w:val="21"/>
          <w:u w:val="single"/>
          <w:vertAlign w:val="superscript"/>
        </w:rPr>
        <w:t>[1]</w:t>
      </w:r>
      <w:r>
        <w:rPr>
          <w:rFonts w:ascii="inter" w:hAnsi="inter" w:eastAsia="inter" w:cs="inter"/>
          <w:color w:val="000000"/>
          <w:sz w:val="21"/>
          <w:u w:val="single"/>
          <w:vertAlign w:val="superscript"/>
        </w:rPr>
        <w:fldChar w:fldCharType="end"/>
      </w:r>
    </w:p>
    <w:p w14:paraId="5ADF0D36">
      <w:pPr>
        <w:numPr>
          <w:ilvl w:val="0"/>
          <w:numId w:val="69"/>
        </w:numPr>
        <w:spacing w:before="105" w:after="105" w:line="360" w:lineRule="auto"/>
      </w:pPr>
      <w:r>
        <w:rPr>
          <w:rFonts w:ascii="inter" w:hAnsi="inter" w:eastAsia="inter" w:cs="inter"/>
          <w:color w:val="000000"/>
          <w:sz w:val="21"/>
        </w:rPr>
        <w:t>制定或完善覆盖学前—义务教育—高中—职业教育全学段的ASD教育指南和学校支持标准，明确：</w:t>
      </w:r>
    </w:p>
    <w:p w14:paraId="462C92E3">
      <w:pPr>
        <w:numPr>
          <w:ilvl w:val="1"/>
          <w:numId w:val="69"/>
        </w:numPr>
        <w:spacing w:before="105" w:after="105" w:line="360" w:lineRule="auto"/>
      </w:pPr>
      <w:r>
        <w:rPr>
          <w:rFonts w:ascii="inter" w:hAnsi="inter" w:eastAsia="inter" w:cs="inter"/>
          <w:color w:val="000000"/>
          <w:sz w:val="21"/>
        </w:rPr>
        <w:t>UDL化课程设计要求；</w:t>
      </w:r>
    </w:p>
    <w:p w14:paraId="63FE7C3E">
      <w:pPr>
        <w:numPr>
          <w:ilvl w:val="1"/>
          <w:numId w:val="69"/>
        </w:numPr>
        <w:spacing w:before="105" w:after="105" w:line="360" w:lineRule="auto"/>
      </w:pPr>
      <w:r>
        <w:rPr>
          <w:rFonts w:ascii="inter" w:hAnsi="inter" w:eastAsia="inter" w:cs="inter"/>
          <w:color w:val="000000"/>
          <w:sz w:val="21"/>
        </w:rPr>
        <w:t>TEACCH式结构化环境基本标准；</w:t>
      </w:r>
    </w:p>
    <w:p w14:paraId="631B5EBF">
      <w:pPr>
        <w:numPr>
          <w:ilvl w:val="1"/>
          <w:numId w:val="69"/>
        </w:numPr>
        <w:spacing w:before="105" w:after="105" w:line="360" w:lineRule="auto"/>
      </w:pPr>
      <w:r>
        <w:rPr>
          <w:rFonts w:ascii="inter" w:hAnsi="inter" w:eastAsia="inter" w:cs="inter"/>
          <w:color w:val="000000"/>
          <w:sz w:val="21"/>
        </w:rPr>
        <w:t>PBIS框架下的学校行为支持体系；</w:t>
      </w:r>
    </w:p>
    <w:p w14:paraId="6A2A07B0">
      <w:pPr>
        <w:numPr>
          <w:ilvl w:val="1"/>
          <w:numId w:val="69"/>
        </w:numPr>
        <w:spacing w:before="105" w:after="105" w:line="360" w:lineRule="auto"/>
      </w:pPr>
      <w:r>
        <w:rPr>
          <w:rFonts w:ascii="inter" w:hAnsi="inter" w:eastAsia="inter" w:cs="inter"/>
          <w:color w:val="000000"/>
          <w:sz w:val="21"/>
        </w:rPr>
        <w:t>AT配置与使用规范；</w:t>
      </w:r>
    </w:p>
    <w:p w14:paraId="4512804E">
      <w:pPr>
        <w:numPr>
          <w:ilvl w:val="1"/>
          <w:numId w:val="69"/>
        </w:numPr>
        <w:spacing w:before="105" w:after="105" w:line="360" w:lineRule="auto"/>
      </w:pPr>
      <w:r>
        <w:rPr>
          <w:rFonts w:ascii="inter" w:hAnsi="inter" w:eastAsia="inter" w:cs="inter"/>
          <w:color w:val="000000"/>
          <w:sz w:val="21"/>
        </w:rPr>
        <w:t>家校合作与过渡支持机制。</w:t>
      </w:r>
      <w:bookmarkStart w:id="279" w:name="fnref12_5"/>
      <w:bookmarkEnd w:id="279"/>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280" w:name="fnref40_5"/>
      <w:bookmarkEnd w:id="280"/>
      <w:r>
        <w:fldChar w:fldCharType="begin"/>
      </w:r>
      <w:r>
        <w:instrText xml:space="preserve"> HYPERLINK \l "fn40" \h </w:instrText>
      </w:r>
      <w:r>
        <w:fldChar w:fldCharType="separate"/>
      </w:r>
      <w:r>
        <w:rPr>
          <w:rFonts w:ascii="inter" w:hAnsi="inter" w:eastAsia="inter" w:cs="inter"/>
          <w:color w:val="000000"/>
          <w:sz w:val="21"/>
          <w:u w:val="single"/>
          <w:vertAlign w:val="superscript"/>
        </w:rPr>
        <w:t>[40]</w:t>
      </w:r>
      <w:r>
        <w:rPr>
          <w:rFonts w:ascii="inter" w:hAnsi="inter" w:eastAsia="inter" w:cs="inter"/>
          <w:color w:val="000000"/>
          <w:sz w:val="21"/>
          <w:u w:val="single"/>
          <w:vertAlign w:val="superscript"/>
        </w:rPr>
        <w:fldChar w:fldCharType="end"/>
      </w:r>
      <w:bookmarkStart w:id="281" w:name="fnref10_9"/>
      <w:bookmarkEnd w:id="281"/>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282" w:name="fnref11_9"/>
      <w:bookmarkEnd w:id="282"/>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bookmarkStart w:id="283" w:name="fnref7_13"/>
      <w:bookmarkEnd w:id="283"/>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p>
    <w:p w14:paraId="5C912B22">
      <w:pPr>
        <w:numPr>
          <w:ilvl w:val="0"/>
          <w:numId w:val="69"/>
        </w:numPr>
        <w:spacing w:before="105" w:after="105" w:line="360" w:lineRule="auto"/>
      </w:pPr>
      <w:r>
        <w:rPr>
          <w:rFonts w:ascii="inter" w:hAnsi="inter" w:eastAsia="inter" w:cs="inter"/>
          <w:color w:val="000000"/>
          <w:sz w:val="21"/>
        </w:rPr>
        <w:t>通过财政投入和项目资助，支持区域“孤独症儿童教育指导中心”或“资源支持中心”建设，为普通学校提供巡回指导、专业培训和督导服务。</w:t>
      </w:r>
      <w:bookmarkStart w:id="284" w:name="fnref40_6"/>
      <w:bookmarkEnd w:id="284"/>
      <w:r>
        <w:fldChar w:fldCharType="begin"/>
      </w:r>
      <w:r>
        <w:instrText xml:space="preserve"> HYPERLINK \l "fn40" \h </w:instrText>
      </w:r>
      <w:r>
        <w:fldChar w:fldCharType="separate"/>
      </w:r>
      <w:r>
        <w:rPr>
          <w:rFonts w:ascii="inter" w:hAnsi="inter" w:eastAsia="inter" w:cs="inter"/>
          <w:color w:val="000000"/>
          <w:sz w:val="21"/>
          <w:u w:val="single"/>
          <w:vertAlign w:val="superscript"/>
        </w:rPr>
        <w:t>[40]</w:t>
      </w:r>
      <w:r>
        <w:rPr>
          <w:rFonts w:ascii="inter" w:hAnsi="inter" w:eastAsia="inter" w:cs="inter"/>
          <w:color w:val="000000"/>
          <w:sz w:val="21"/>
          <w:u w:val="single"/>
          <w:vertAlign w:val="superscript"/>
        </w:rPr>
        <w:fldChar w:fldCharType="end"/>
      </w:r>
      <w:bookmarkStart w:id="285" w:name="fnref12_6"/>
      <w:bookmarkEnd w:id="285"/>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286" w:name="fnref10_10"/>
      <w:bookmarkEnd w:id="286"/>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287" w:name="fnref11_10"/>
      <w:bookmarkEnd w:id="287"/>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0D835DBC">
      <w:pPr>
        <w:spacing w:before="315" w:after="105" w:line="360" w:lineRule="auto"/>
        <w:ind w:left="-30"/>
        <w:jc w:val="left"/>
      </w:pPr>
      <w:bookmarkStart w:id="288" w:name="三_对学校与教师的实践建议"/>
      <w:r>
        <w:rPr>
          <w:rFonts w:ascii="inter" w:hAnsi="inter" w:eastAsia="inter" w:cs="inter"/>
          <w:b/>
          <w:color w:val="000000"/>
          <w:sz w:val="24"/>
        </w:rPr>
        <w:t>（三）对学校与教师的实践建议</w:t>
      </w:r>
      <w:bookmarkEnd w:id="288"/>
    </w:p>
    <w:p w14:paraId="39D3E86B">
      <w:pPr>
        <w:numPr>
          <w:ilvl w:val="0"/>
          <w:numId w:val="70"/>
        </w:numPr>
        <w:spacing w:before="105" w:after="105" w:line="360" w:lineRule="auto"/>
      </w:pPr>
      <w:r>
        <w:rPr>
          <w:rFonts w:ascii="inter" w:hAnsi="inter" w:eastAsia="inter" w:cs="inter"/>
          <w:color w:val="000000"/>
          <w:sz w:val="21"/>
        </w:rPr>
        <w:t>在日常教学中系统运用UDL原则，将多通道呈现、多样化参与和多路径表达作为课程设计的“起点要求”，而非事后补救。</w:t>
      </w:r>
      <w:bookmarkStart w:id="289" w:name="fnref31_4"/>
      <w:bookmarkEnd w:id="289"/>
      <w:r>
        <w:fldChar w:fldCharType="begin"/>
      </w:r>
      <w:r>
        <w:instrText xml:space="preserve"> HYPERLINK \l "fn31" \h </w:instrText>
      </w:r>
      <w:r>
        <w:fldChar w:fldCharType="separate"/>
      </w:r>
      <w:r>
        <w:rPr>
          <w:rFonts w:ascii="inter" w:hAnsi="inter" w:eastAsia="inter" w:cs="inter"/>
          <w:color w:val="000000"/>
          <w:sz w:val="21"/>
          <w:u w:val="single"/>
          <w:vertAlign w:val="superscript"/>
        </w:rPr>
        <w:t>[31]</w:t>
      </w:r>
      <w:r>
        <w:rPr>
          <w:rFonts w:ascii="inter" w:hAnsi="inter" w:eastAsia="inter" w:cs="inter"/>
          <w:color w:val="000000"/>
          <w:sz w:val="21"/>
          <w:u w:val="single"/>
          <w:vertAlign w:val="superscript"/>
        </w:rPr>
        <w:fldChar w:fldCharType="end"/>
      </w:r>
      <w:bookmarkStart w:id="290" w:name="fnref32_4"/>
      <w:bookmarkEnd w:id="290"/>
      <w:r>
        <w:fldChar w:fldCharType="begin"/>
      </w:r>
      <w:r>
        <w:instrText xml:space="preserve"> HYPERLINK \l "fn32" \h </w:instrText>
      </w:r>
      <w:r>
        <w:fldChar w:fldCharType="separate"/>
      </w:r>
      <w:r>
        <w:rPr>
          <w:rFonts w:ascii="inter" w:hAnsi="inter" w:eastAsia="inter" w:cs="inter"/>
          <w:color w:val="000000"/>
          <w:sz w:val="21"/>
          <w:u w:val="single"/>
          <w:vertAlign w:val="superscript"/>
        </w:rPr>
        <w:t>[32]</w:t>
      </w:r>
      <w:r>
        <w:rPr>
          <w:rFonts w:ascii="inter" w:hAnsi="inter" w:eastAsia="inter" w:cs="inter"/>
          <w:color w:val="000000"/>
          <w:sz w:val="21"/>
          <w:u w:val="single"/>
          <w:vertAlign w:val="superscript"/>
        </w:rPr>
        <w:fldChar w:fldCharType="end"/>
      </w:r>
      <w:bookmarkStart w:id="291" w:name="fnref28_4"/>
      <w:bookmarkEnd w:id="291"/>
      <w:r>
        <w:fldChar w:fldCharType="begin"/>
      </w:r>
      <w:r>
        <w:instrText xml:space="preserve"> HYPERLINK \l "fn28" \h </w:instrText>
      </w:r>
      <w:r>
        <w:fldChar w:fldCharType="separate"/>
      </w:r>
      <w:r>
        <w:rPr>
          <w:rFonts w:ascii="inter" w:hAnsi="inter" w:eastAsia="inter" w:cs="inter"/>
          <w:color w:val="000000"/>
          <w:sz w:val="21"/>
          <w:u w:val="single"/>
          <w:vertAlign w:val="superscript"/>
        </w:rPr>
        <w:t>[28]</w:t>
      </w:r>
      <w:r>
        <w:rPr>
          <w:rFonts w:ascii="inter" w:hAnsi="inter" w:eastAsia="inter" w:cs="inter"/>
          <w:color w:val="000000"/>
          <w:sz w:val="21"/>
          <w:u w:val="single"/>
          <w:vertAlign w:val="superscript"/>
        </w:rPr>
        <w:fldChar w:fldCharType="end"/>
      </w:r>
      <w:bookmarkStart w:id="292" w:name="fnref29_15"/>
      <w:bookmarkEnd w:id="292"/>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bookmarkStart w:id="293" w:name="fnref30_11"/>
      <w:bookmarkEnd w:id="293"/>
      <w:r>
        <w:fldChar w:fldCharType="begin"/>
      </w:r>
      <w:r>
        <w:instrText xml:space="preserve"> HYPERLINK \l "fn30" \h </w:instrText>
      </w:r>
      <w:r>
        <w:fldChar w:fldCharType="separate"/>
      </w:r>
      <w:r>
        <w:rPr>
          <w:rFonts w:ascii="inter" w:hAnsi="inter" w:eastAsia="inter" w:cs="inter"/>
          <w:color w:val="000000"/>
          <w:sz w:val="21"/>
          <w:u w:val="single"/>
          <w:vertAlign w:val="superscript"/>
        </w:rPr>
        <w:t>[30]</w:t>
      </w:r>
      <w:r>
        <w:rPr>
          <w:rFonts w:ascii="inter" w:hAnsi="inter" w:eastAsia="inter" w:cs="inter"/>
          <w:color w:val="000000"/>
          <w:sz w:val="21"/>
          <w:u w:val="single"/>
          <w:vertAlign w:val="superscript"/>
        </w:rPr>
        <w:fldChar w:fldCharType="end"/>
      </w:r>
    </w:p>
    <w:p w14:paraId="7B953521">
      <w:pPr>
        <w:numPr>
          <w:ilvl w:val="0"/>
          <w:numId w:val="70"/>
        </w:numPr>
        <w:spacing w:before="105" w:after="105" w:line="360" w:lineRule="auto"/>
      </w:pPr>
      <w:r>
        <w:rPr>
          <w:rFonts w:ascii="inter" w:hAnsi="inter" w:eastAsia="inter" w:cs="inter"/>
          <w:color w:val="000000"/>
          <w:sz w:val="21"/>
        </w:rPr>
        <w:t>建立班级层面的感官友好与结构化环境：</w:t>
      </w:r>
    </w:p>
    <w:p w14:paraId="6676500A">
      <w:pPr>
        <w:numPr>
          <w:ilvl w:val="1"/>
          <w:numId w:val="70"/>
        </w:numPr>
        <w:spacing w:before="105" w:after="105" w:line="360" w:lineRule="auto"/>
      </w:pPr>
      <w:r>
        <w:rPr>
          <w:rFonts w:ascii="inter" w:hAnsi="inter" w:eastAsia="inter" w:cs="inter"/>
          <w:color w:val="000000"/>
          <w:sz w:val="21"/>
        </w:rPr>
        <w:t>每个班级配备清晰的视觉日程、课堂规则与任务结构；</w:t>
      </w:r>
    </w:p>
    <w:p w14:paraId="5D99C6DF">
      <w:pPr>
        <w:numPr>
          <w:ilvl w:val="1"/>
          <w:numId w:val="70"/>
        </w:numPr>
        <w:spacing w:before="105" w:after="105" w:line="360" w:lineRule="auto"/>
      </w:pPr>
      <w:r>
        <w:rPr>
          <w:rFonts w:ascii="inter" w:hAnsi="inter" w:eastAsia="inter" w:cs="inter"/>
          <w:color w:val="000000"/>
          <w:sz w:val="21"/>
        </w:rPr>
        <w:t>设置适度的安静角或感官调节空间；</w:t>
      </w:r>
    </w:p>
    <w:p w14:paraId="13AC47FB">
      <w:pPr>
        <w:numPr>
          <w:ilvl w:val="1"/>
          <w:numId w:val="70"/>
        </w:numPr>
        <w:spacing w:before="105" w:after="105" w:line="360" w:lineRule="auto"/>
      </w:pPr>
      <w:r>
        <w:rPr>
          <w:rFonts w:ascii="inter" w:hAnsi="inter" w:eastAsia="inter" w:cs="inter"/>
          <w:color w:val="000000"/>
          <w:sz w:val="21"/>
        </w:rPr>
        <w:t>规范使用代币经济、口头表扬等正向强化手段，形成一致、可预期的课堂文化。</w:t>
      </w:r>
      <w:bookmarkStart w:id="294" w:name="fnref41_2"/>
      <w:bookmarkEnd w:id="294"/>
      <w:r>
        <w:fldChar w:fldCharType="begin"/>
      </w:r>
      <w:r>
        <w:instrText xml:space="preserve"> HYPERLINK \l "fn41" \h </w:instrText>
      </w:r>
      <w:r>
        <w:fldChar w:fldCharType="separate"/>
      </w:r>
      <w:r>
        <w:rPr>
          <w:rFonts w:ascii="inter" w:hAnsi="inter" w:eastAsia="inter" w:cs="inter"/>
          <w:color w:val="000000"/>
          <w:sz w:val="21"/>
          <w:u w:val="single"/>
          <w:vertAlign w:val="superscript"/>
        </w:rPr>
        <w:t>[41]</w:t>
      </w:r>
      <w:r>
        <w:rPr>
          <w:rFonts w:ascii="inter" w:hAnsi="inter" w:eastAsia="inter" w:cs="inter"/>
          <w:color w:val="000000"/>
          <w:sz w:val="21"/>
          <w:u w:val="single"/>
          <w:vertAlign w:val="superscript"/>
        </w:rPr>
        <w:fldChar w:fldCharType="end"/>
      </w:r>
      <w:bookmarkStart w:id="295" w:name="fnref27_5"/>
      <w:bookmarkEnd w:id="295"/>
      <w:r>
        <w:fldChar w:fldCharType="begin"/>
      </w:r>
      <w:r>
        <w:instrText xml:space="preserve"> HYPERLINK \l "fn27" \h </w:instrText>
      </w:r>
      <w:r>
        <w:fldChar w:fldCharType="separate"/>
      </w:r>
      <w:r>
        <w:rPr>
          <w:rFonts w:ascii="inter" w:hAnsi="inter" w:eastAsia="inter" w:cs="inter"/>
          <w:color w:val="000000"/>
          <w:sz w:val="21"/>
          <w:u w:val="single"/>
          <w:vertAlign w:val="superscript"/>
        </w:rPr>
        <w:t>[27]</w:t>
      </w:r>
      <w:r>
        <w:rPr>
          <w:rFonts w:ascii="inter" w:hAnsi="inter" w:eastAsia="inter" w:cs="inter"/>
          <w:color w:val="000000"/>
          <w:sz w:val="21"/>
          <w:u w:val="single"/>
          <w:vertAlign w:val="superscript"/>
        </w:rPr>
        <w:fldChar w:fldCharType="end"/>
      </w:r>
      <w:bookmarkStart w:id="296" w:name="fnref38_3"/>
      <w:bookmarkEnd w:id="296"/>
      <w:r>
        <w:fldChar w:fldCharType="begin"/>
      </w:r>
      <w:r>
        <w:instrText xml:space="preserve"> HYPERLINK \l "fn38" \h </w:instrText>
      </w:r>
      <w:r>
        <w:fldChar w:fldCharType="separate"/>
      </w:r>
      <w:r>
        <w:rPr>
          <w:rFonts w:ascii="inter" w:hAnsi="inter" w:eastAsia="inter" w:cs="inter"/>
          <w:color w:val="000000"/>
          <w:sz w:val="21"/>
          <w:u w:val="single"/>
          <w:vertAlign w:val="superscript"/>
        </w:rPr>
        <w:t>[38]</w:t>
      </w:r>
      <w:r>
        <w:rPr>
          <w:rFonts w:ascii="inter" w:hAnsi="inter" w:eastAsia="inter" w:cs="inter"/>
          <w:color w:val="000000"/>
          <w:sz w:val="21"/>
          <w:u w:val="single"/>
          <w:vertAlign w:val="superscript"/>
        </w:rPr>
        <w:fldChar w:fldCharType="end"/>
      </w:r>
      <w:bookmarkStart w:id="297" w:name="fnref37_6"/>
      <w:bookmarkEnd w:id="297"/>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bookmarkStart w:id="298" w:name="fnref26_6"/>
      <w:bookmarkEnd w:id="298"/>
      <w:r>
        <w:fldChar w:fldCharType="begin"/>
      </w:r>
      <w:r>
        <w:instrText xml:space="preserve"> HYPERLINK \l "fn26" \h </w:instrText>
      </w:r>
      <w:r>
        <w:fldChar w:fldCharType="separate"/>
      </w:r>
      <w:r>
        <w:rPr>
          <w:rFonts w:ascii="inter" w:hAnsi="inter" w:eastAsia="inter" w:cs="inter"/>
          <w:color w:val="000000"/>
          <w:sz w:val="21"/>
          <w:u w:val="single"/>
          <w:vertAlign w:val="superscript"/>
        </w:rPr>
        <w:t>[26]</w:t>
      </w:r>
      <w:r>
        <w:rPr>
          <w:rFonts w:ascii="inter" w:hAnsi="inter" w:eastAsia="inter" w:cs="inter"/>
          <w:color w:val="000000"/>
          <w:sz w:val="21"/>
          <w:u w:val="single"/>
          <w:vertAlign w:val="superscript"/>
        </w:rPr>
        <w:fldChar w:fldCharType="end"/>
      </w:r>
      <w:bookmarkStart w:id="299" w:name="fnref18_9"/>
      <w:bookmarkEnd w:id="299"/>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bookmarkStart w:id="300" w:name="fnref29_16"/>
      <w:bookmarkEnd w:id="300"/>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p>
    <w:p w14:paraId="02AFA6C6">
      <w:pPr>
        <w:numPr>
          <w:ilvl w:val="0"/>
          <w:numId w:val="70"/>
        </w:numPr>
        <w:spacing w:before="105" w:after="105" w:line="360" w:lineRule="auto"/>
      </w:pPr>
      <w:r>
        <w:rPr>
          <w:rFonts w:ascii="inter" w:hAnsi="inter" w:eastAsia="inter" w:cs="inter"/>
          <w:color w:val="000000"/>
          <w:sz w:val="21"/>
        </w:rPr>
        <w:t>对ASD学生有意识地设计沟通与社交参与机会：</w:t>
      </w:r>
    </w:p>
    <w:p w14:paraId="55F05B66">
      <w:pPr>
        <w:numPr>
          <w:ilvl w:val="1"/>
          <w:numId w:val="70"/>
        </w:numPr>
        <w:spacing w:before="105" w:after="105" w:line="360" w:lineRule="auto"/>
      </w:pPr>
      <w:r>
        <w:rPr>
          <w:rFonts w:ascii="inter" w:hAnsi="inter" w:eastAsia="inter" w:cs="inter"/>
          <w:color w:val="000000"/>
          <w:sz w:val="21"/>
        </w:rPr>
        <w:t>嵌入社交故事、视频建模和同伴媒介教学；</w:t>
      </w:r>
    </w:p>
    <w:p w14:paraId="09F0015F">
      <w:pPr>
        <w:numPr>
          <w:ilvl w:val="1"/>
          <w:numId w:val="70"/>
        </w:numPr>
        <w:spacing w:before="105" w:after="105" w:line="360" w:lineRule="auto"/>
      </w:pPr>
      <w:r>
        <w:rPr>
          <w:rFonts w:ascii="inter" w:hAnsi="inter" w:eastAsia="inter" w:cs="inter"/>
          <w:color w:val="000000"/>
          <w:sz w:val="21"/>
        </w:rPr>
        <w:t>利用学生兴趣（如特定主题、角色或物品）设计任务，以提高任务吸引力与参与度。</w:t>
      </w:r>
      <w:bookmarkStart w:id="301" w:name="fnref37_7"/>
      <w:bookmarkEnd w:id="301"/>
      <w:r>
        <w:fldChar w:fldCharType="begin"/>
      </w:r>
      <w:r>
        <w:instrText xml:space="preserve"> HYPERLINK \l "fn37" \h </w:instrText>
      </w:r>
      <w:r>
        <w:fldChar w:fldCharType="separate"/>
      </w:r>
      <w:r>
        <w:rPr>
          <w:rFonts w:ascii="inter" w:hAnsi="inter" w:eastAsia="inter" w:cs="inter"/>
          <w:color w:val="000000"/>
          <w:sz w:val="21"/>
          <w:u w:val="single"/>
          <w:vertAlign w:val="superscript"/>
        </w:rPr>
        <w:t>[37]</w:t>
      </w:r>
      <w:r>
        <w:rPr>
          <w:rFonts w:ascii="inter" w:hAnsi="inter" w:eastAsia="inter" w:cs="inter"/>
          <w:color w:val="000000"/>
          <w:sz w:val="21"/>
          <w:u w:val="single"/>
          <w:vertAlign w:val="superscript"/>
        </w:rPr>
        <w:fldChar w:fldCharType="end"/>
      </w:r>
      <w:bookmarkStart w:id="302" w:name="fnref15_8"/>
      <w:bookmarkEnd w:id="302"/>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bookmarkStart w:id="303" w:name="fnref35_12"/>
      <w:bookmarkEnd w:id="303"/>
      <w:r>
        <w:fldChar w:fldCharType="begin"/>
      </w:r>
      <w:r>
        <w:instrText xml:space="preserve"> HYPERLINK \l "fn35" \h </w:instrText>
      </w:r>
      <w:r>
        <w:fldChar w:fldCharType="separate"/>
      </w:r>
      <w:r>
        <w:rPr>
          <w:rFonts w:ascii="inter" w:hAnsi="inter" w:eastAsia="inter" w:cs="inter"/>
          <w:color w:val="000000"/>
          <w:sz w:val="21"/>
          <w:u w:val="single"/>
          <w:vertAlign w:val="superscript"/>
        </w:rPr>
        <w:t>[35]</w:t>
      </w:r>
      <w:r>
        <w:rPr>
          <w:rFonts w:ascii="inter" w:hAnsi="inter" w:eastAsia="inter" w:cs="inter"/>
          <w:color w:val="000000"/>
          <w:sz w:val="21"/>
          <w:u w:val="single"/>
          <w:vertAlign w:val="superscript"/>
        </w:rPr>
        <w:fldChar w:fldCharType="end"/>
      </w:r>
      <w:bookmarkStart w:id="304" w:name="fnref42_5"/>
      <w:bookmarkEnd w:id="304"/>
      <w:r>
        <w:fldChar w:fldCharType="begin"/>
      </w:r>
      <w:r>
        <w:instrText xml:space="preserve"> HYPERLINK \l "fn42" \h </w:instrText>
      </w:r>
      <w:r>
        <w:fldChar w:fldCharType="separate"/>
      </w:r>
      <w:r>
        <w:rPr>
          <w:rFonts w:ascii="inter" w:hAnsi="inter" w:eastAsia="inter" w:cs="inter"/>
          <w:color w:val="000000"/>
          <w:sz w:val="21"/>
          <w:u w:val="single"/>
          <w:vertAlign w:val="superscript"/>
        </w:rPr>
        <w:t>[42]</w:t>
      </w:r>
      <w:r>
        <w:rPr>
          <w:rFonts w:ascii="inter" w:hAnsi="inter" w:eastAsia="inter" w:cs="inter"/>
          <w:color w:val="000000"/>
          <w:sz w:val="21"/>
          <w:u w:val="single"/>
          <w:vertAlign w:val="superscript"/>
        </w:rPr>
        <w:fldChar w:fldCharType="end"/>
      </w:r>
      <w:bookmarkStart w:id="305" w:name="fnref17_21"/>
      <w:bookmarkEnd w:id="305"/>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p>
    <w:p w14:paraId="170C01EC">
      <w:pPr>
        <w:numPr>
          <w:ilvl w:val="0"/>
          <w:numId w:val="70"/>
        </w:numPr>
        <w:spacing w:before="105" w:after="105" w:line="360" w:lineRule="auto"/>
      </w:pPr>
      <w:r>
        <w:rPr>
          <w:rFonts w:ascii="inter" w:hAnsi="inter" w:eastAsia="inter" w:cs="inter"/>
          <w:color w:val="000000"/>
          <w:sz w:val="21"/>
        </w:rPr>
        <w:t>通过跨专业团队制定和执行个别化教育计划，将课堂参与作为核心目标之一，明确目标行为、支持策略和数据监测方式。</w:t>
      </w:r>
      <w:bookmarkStart w:id="306" w:name="fnref9_8"/>
      <w:bookmarkEnd w:id="306"/>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bookmarkStart w:id="307" w:name="fnref10_11"/>
      <w:bookmarkEnd w:id="307"/>
      <w:r>
        <w:fldChar w:fldCharType="begin"/>
      </w:r>
      <w:r>
        <w:instrText xml:space="preserve"> HYPERLINK \l "fn10" \h </w:instrText>
      </w:r>
      <w:r>
        <w:fldChar w:fldCharType="separate"/>
      </w:r>
      <w:r>
        <w:rPr>
          <w:rFonts w:ascii="inter" w:hAnsi="inter" w:eastAsia="inter" w:cs="inter"/>
          <w:color w:val="000000"/>
          <w:sz w:val="21"/>
          <w:u w:val="single"/>
          <w:vertAlign w:val="superscript"/>
        </w:rPr>
        <w:t>[10]</w:t>
      </w:r>
      <w:r>
        <w:rPr>
          <w:rFonts w:ascii="inter" w:hAnsi="inter" w:eastAsia="inter" w:cs="inter"/>
          <w:color w:val="000000"/>
          <w:sz w:val="21"/>
          <w:u w:val="single"/>
          <w:vertAlign w:val="superscript"/>
        </w:rPr>
        <w:fldChar w:fldCharType="end"/>
      </w:r>
      <w:bookmarkStart w:id="308" w:name="fnref7_14"/>
      <w:bookmarkEnd w:id="308"/>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309" w:name="fnref17_22"/>
      <w:bookmarkEnd w:id="309"/>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p>
    <w:p w14:paraId="3DC87026">
      <w:pPr>
        <w:spacing w:before="315" w:after="105" w:line="360" w:lineRule="auto"/>
        <w:ind w:left="-30"/>
        <w:jc w:val="left"/>
      </w:pPr>
      <w:bookmarkStart w:id="310" w:name="四_战略升维_课堂参与与教育公平_终身发展"/>
      <w:r>
        <w:rPr>
          <w:rFonts w:ascii="inter" w:hAnsi="inter" w:eastAsia="inter" w:cs="inter"/>
          <w:b/>
          <w:color w:val="000000"/>
          <w:sz w:val="24"/>
        </w:rPr>
        <w:t>（四）战略升维：课堂参与与教育公平、终身发展</w:t>
      </w:r>
      <w:bookmarkEnd w:id="310"/>
    </w:p>
    <w:p w14:paraId="6CEE717D">
      <w:pPr>
        <w:spacing w:after="210" w:line="360" w:lineRule="auto"/>
      </w:pPr>
      <w:r>
        <w:rPr>
          <w:rFonts w:ascii="inter" w:hAnsi="inter" w:eastAsia="inter" w:cs="inter"/>
          <w:color w:val="000000"/>
        </w:rPr>
        <w:t>联合国可持续发展目标SDG4强调“确保包容和公平的优质教育，让全民享有终身学习机会”。据WHO和国内外政策文件指出，以ASD学生为代表的神经多样性群体，在教育体系中的系统性障碍若未被正视和消除，将直接削弱教育公平与人力资源开发的整体水平。</w:t>
      </w:r>
      <w:bookmarkStart w:id="311" w:name="fnref5_9"/>
      <w:bookmarkEnd w:id="311"/>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312" w:name="fnref1_12"/>
      <w:bookmarkEnd w:id="31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064C357D">
      <w:pPr>
        <w:spacing w:after="210" w:line="360" w:lineRule="auto"/>
      </w:pPr>
      <w:r>
        <w:rPr>
          <w:rFonts w:ascii="inter" w:hAnsi="inter" w:eastAsia="inter" w:cs="inter"/>
          <w:color w:val="000000"/>
        </w:rPr>
        <w:t>因此，从战略层面看：</w:t>
      </w:r>
    </w:p>
    <w:p w14:paraId="6F78FEAB">
      <w:pPr>
        <w:numPr>
          <w:ilvl w:val="0"/>
          <w:numId w:val="71"/>
        </w:numPr>
        <w:spacing w:before="105" w:after="105" w:line="360" w:lineRule="auto"/>
      </w:pPr>
      <w:r>
        <w:rPr>
          <w:rFonts w:ascii="inter" w:hAnsi="inter" w:eastAsia="inter" w:cs="inter"/>
          <w:b/>
          <w:color w:val="000000"/>
          <w:sz w:val="21"/>
        </w:rPr>
        <w:t>提升ASD学生课堂参与度</w:t>
      </w:r>
      <w:r>
        <w:rPr>
          <w:rFonts w:ascii="inter" w:hAnsi="inter" w:eastAsia="inter" w:cs="inter"/>
          <w:color w:val="000000"/>
          <w:sz w:val="21"/>
        </w:rPr>
        <w:t>，不仅是若干技术策略的组合，而且是推动教育体系朝向“以学习者多样性为中心”的深层转型；</w:t>
      </w:r>
    </w:p>
    <w:p w14:paraId="2652A17D">
      <w:pPr>
        <w:numPr>
          <w:ilvl w:val="0"/>
          <w:numId w:val="71"/>
        </w:numPr>
        <w:spacing w:before="105" w:after="105" w:line="360" w:lineRule="auto"/>
      </w:pPr>
      <w:r>
        <w:rPr>
          <w:rFonts w:ascii="inter" w:hAnsi="inter" w:eastAsia="inter" w:cs="inter"/>
          <w:color w:val="000000"/>
          <w:sz w:val="21"/>
        </w:rPr>
        <w:t>通过UDL、PBIS、结构化教学、AT与多层级支持体系的系统实施，可在很大程度上同步改善所有学生，尤其是其他学习困难和障碍学生的学习与参与质量；</w:t>
      </w:r>
      <w:bookmarkStart w:id="313" w:name="fnref32_5"/>
      <w:bookmarkEnd w:id="313"/>
      <w:r>
        <w:fldChar w:fldCharType="begin"/>
      </w:r>
      <w:r>
        <w:instrText xml:space="preserve"> HYPERLINK \l "fn32" \h </w:instrText>
      </w:r>
      <w:r>
        <w:fldChar w:fldCharType="separate"/>
      </w:r>
      <w:r>
        <w:rPr>
          <w:rFonts w:ascii="inter" w:hAnsi="inter" w:eastAsia="inter" w:cs="inter"/>
          <w:color w:val="000000"/>
          <w:sz w:val="21"/>
          <w:u w:val="single"/>
          <w:vertAlign w:val="superscript"/>
        </w:rPr>
        <w:t>[32]</w:t>
      </w:r>
      <w:r>
        <w:rPr>
          <w:rFonts w:ascii="inter" w:hAnsi="inter" w:eastAsia="inter" w:cs="inter"/>
          <w:color w:val="000000"/>
          <w:sz w:val="21"/>
          <w:u w:val="single"/>
          <w:vertAlign w:val="superscript"/>
        </w:rPr>
        <w:fldChar w:fldCharType="end"/>
      </w:r>
      <w:bookmarkStart w:id="314" w:name="fnref39_7"/>
      <w:bookmarkEnd w:id="314"/>
      <w:r>
        <w:fldChar w:fldCharType="begin"/>
      </w:r>
      <w:r>
        <w:instrText xml:space="preserve"> HYPERLINK \l "fn39" \h </w:instrText>
      </w:r>
      <w:r>
        <w:fldChar w:fldCharType="separate"/>
      </w:r>
      <w:r>
        <w:rPr>
          <w:rFonts w:ascii="inter" w:hAnsi="inter" w:eastAsia="inter" w:cs="inter"/>
          <w:color w:val="000000"/>
          <w:sz w:val="21"/>
          <w:u w:val="single"/>
          <w:vertAlign w:val="superscript"/>
        </w:rPr>
        <w:t>[39]</w:t>
      </w:r>
      <w:r>
        <w:rPr>
          <w:rFonts w:ascii="inter" w:hAnsi="inter" w:eastAsia="inter" w:cs="inter"/>
          <w:color w:val="000000"/>
          <w:sz w:val="21"/>
          <w:u w:val="single"/>
          <w:vertAlign w:val="superscript"/>
        </w:rPr>
        <w:fldChar w:fldCharType="end"/>
      </w:r>
      <w:bookmarkStart w:id="315" w:name="fnref29_17"/>
      <w:bookmarkEnd w:id="315"/>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bookmarkStart w:id="316" w:name="fnref30_12"/>
      <w:bookmarkEnd w:id="316"/>
      <w:r>
        <w:fldChar w:fldCharType="begin"/>
      </w:r>
      <w:r>
        <w:instrText xml:space="preserve"> HYPERLINK \l "fn30" \h </w:instrText>
      </w:r>
      <w:r>
        <w:fldChar w:fldCharType="separate"/>
      </w:r>
      <w:r>
        <w:rPr>
          <w:rFonts w:ascii="inter" w:hAnsi="inter" w:eastAsia="inter" w:cs="inter"/>
          <w:color w:val="000000"/>
          <w:sz w:val="21"/>
          <w:u w:val="single"/>
          <w:vertAlign w:val="superscript"/>
        </w:rPr>
        <w:t>[30]</w:t>
      </w:r>
      <w:r>
        <w:rPr>
          <w:rFonts w:ascii="inter" w:hAnsi="inter" w:eastAsia="inter" w:cs="inter"/>
          <w:color w:val="000000"/>
          <w:sz w:val="21"/>
          <w:u w:val="single"/>
          <w:vertAlign w:val="superscript"/>
        </w:rPr>
        <w:fldChar w:fldCharType="end"/>
      </w:r>
    </w:p>
    <w:p w14:paraId="69AE68E2">
      <w:pPr>
        <w:numPr>
          <w:ilvl w:val="0"/>
          <w:numId w:val="71"/>
        </w:numPr>
        <w:spacing w:before="105" w:after="105" w:line="360" w:lineRule="auto"/>
      </w:pPr>
      <w:r>
        <w:rPr>
          <w:rFonts w:ascii="inter" w:hAnsi="inter" w:eastAsia="inter" w:cs="inter"/>
          <w:color w:val="000000"/>
          <w:sz w:val="21"/>
        </w:rPr>
        <w:t>这一转型最终将有助于构建一个真正意义上的全纳教育体系，使神经多样性被视为一种资源而非“问题”，与教育公平、人权保障和社会可持续发展目标形成内在一致。</w:t>
      </w:r>
    </w:p>
    <w:p w14:paraId="7A4BD3D1">
      <w:pPr>
        <w:spacing w:after="210" w:line="360" w:lineRule="auto"/>
      </w:pPr>
      <w:r>
        <w:rPr>
          <w:rFonts w:ascii="inter" w:hAnsi="inter" w:eastAsia="inter" w:cs="inter"/>
          <w:color w:val="000000"/>
        </w:rPr>
        <w:t>在此意义上，本报告所提出的“提升ASD学生课堂参与度的系统性策略评估与实施方案”，既可作为学校层面的实践指引，也可作为教育行政部门推进全纳教育、落实SDG4的关键政策工具之一。</w:t>
      </w:r>
      <w:r>
        <w:rPr>
          <w:rFonts w:ascii="inter" w:hAnsi="inter" w:eastAsia="inter" w:cs="inter"/>
          <w:color w:val="000000"/>
        </w:rPr>
        <w:br w:type="textWrapping"/>
      </w:r>
    </w:p>
    <w:p w14:paraId="5B5A5ACF">
      <w:pPr>
        <w:spacing w:line="360" w:lineRule="auto"/>
      </w:pPr>
      <w:r>
        <w:rPr>
          <w:rFonts w:ascii="inter" w:hAnsi="inter" w:eastAsia="inter" w:cs="inter"/>
          <w:color w:val="000000"/>
        </w:rPr>
        <w:t>⁂</w:t>
      </w:r>
    </w:p>
    <w:p w14:paraId="52ACFCFC">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5A968150">
      <w:pPr>
        <w:numPr>
          <w:ilvl w:val="0"/>
          <w:numId w:val="72"/>
        </w:numPr>
        <w:spacing w:after="210" w:line="360" w:lineRule="auto"/>
      </w:pPr>
      <w:bookmarkStart w:id="317" w:name="fn1"/>
      <w:bookmarkEnd w:id="317"/>
      <w:r>
        <w:fldChar w:fldCharType="begin"/>
      </w:r>
      <w:r>
        <w:instrText xml:space="preserve"> HYPERLINK "https://www.who.int/news-room/fact-sheets/detail/autism-spectrum-disorders" \h </w:instrText>
      </w:r>
      <w:r>
        <w:fldChar w:fldCharType="separate"/>
      </w:r>
      <w:r>
        <w:rPr>
          <w:rFonts w:ascii="inter" w:hAnsi="inter" w:eastAsia="inter" w:cs="inter"/>
          <w:color w:val="000000"/>
          <w:sz w:val="18"/>
          <w:u w:val="single"/>
        </w:rPr>
        <w:t>https://www.who.int/news-room/fact-sheets/detail/autism-spectrum-disorders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EA3E76">
      <w:pPr>
        <w:numPr>
          <w:ilvl w:val="0"/>
          <w:numId w:val="72"/>
        </w:numPr>
        <w:spacing w:after="210" w:line="360" w:lineRule="auto"/>
      </w:pPr>
      <w:bookmarkStart w:id="318" w:name="fn2"/>
      <w:bookmarkEnd w:id="318"/>
      <w:r>
        <w:fldChar w:fldCharType="begin"/>
      </w:r>
      <w:r>
        <w:instrText xml:space="preserve"> HYPERLINK "https://www.waisman.wisc.edu/2018/04/30/new-cdc-report-finds-increasing-prevalence-of-autism-in-school-age-children/" \h </w:instrText>
      </w:r>
      <w:r>
        <w:fldChar w:fldCharType="separate"/>
      </w:r>
      <w:r>
        <w:rPr>
          <w:rFonts w:ascii="inter" w:hAnsi="inter" w:eastAsia="inter" w:cs="inter"/>
          <w:color w:val="000000"/>
          <w:sz w:val="18"/>
          <w:u w:val="single"/>
        </w:rPr>
        <w:t>https://www.waisman.wisc.edu/2018/04/30/new-cdc-report-finds-increasing-prevalence-of-autism-in-school-age-children/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E736AB2">
      <w:pPr>
        <w:numPr>
          <w:ilvl w:val="0"/>
          <w:numId w:val="72"/>
        </w:numPr>
        <w:spacing w:after="210" w:line="360" w:lineRule="auto"/>
      </w:pPr>
      <w:bookmarkStart w:id="319" w:name="fn3"/>
      <w:bookmarkEnd w:id="319"/>
      <w:r>
        <w:fldChar w:fldCharType="begin"/>
      </w:r>
      <w:r>
        <w:instrText xml:space="preserve"> HYPERLINK "https://www.cdc.gov/ncbddd/actearly/autism/curriculum/documents/early-intervention-education_508.pdf" \h </w:instrText>
      </w:r>
      <w:r>
        <w:fldChar w:fldCharType="separate"/>
      </w:r>
      <w:r>
        <w:rPr>
          <w:rFonts w:ascii="inter" w:hAnsi="inter" w:eastAsia="inter" w:cs="inter"/>
          <w:color w:val="000000"/>
          <w:sz w:val="18"/>
          <w:u w:val="single"/>
        </w:rPr>
        <w:t>https://www.cdc.gov/ncbddd/actearly/autism/curriculum/documents/early-intervention-education_508.pdf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A82C38A">
      <w:pPr>
        <w:numPr>
          <w:ilvl w:val="0"/>
          <w:numId w:val="72"/>
        </w:numPr>
        <w:spacing w:after="210" w:line="360" w:lineRule="auto"/>
      </w:pPr>
      <w:bookmarkStart w:id="320" w:name="fn4"/>
      <w:bookmarkEnd w:id="320"/>
      <w:r>
        <w:fldChar w:fldCharType="begin"/>
      </w:r>
      <w:r>
        <w:instrText xml:space="preserve"> HYPERLINK "https://fpg.unc.edu/publications/enhancing-engagement-classroom-students-asd" \h </w:instrText>
      </w:r>
      <w:r>
        <w:fldChar w:fldCharType="separate"/>
      </w:r>
      <w:r>
        <w:rPr>
          <w:rFonts w:ascii="inter" w:hAnsi="inter" w:eastAsia="inter" w:cs="inter"/>
          <w:color w:val="000000"/>
          <w:sz w:val="18"/>
          <w:u w:val="single"/>
        </w:rPr>
        <w:t>https://fpg.unc.edu/publications/enhancing-engagement-classroom-students-asd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C6121E9">
      <w:pPr>
        <w:numPr>
          <w:ilvl w:val="0"/>
          <w:numId w:val="72"/>
        </w:numPr>
        <w:spacing w:after="210" w:line="360" w:lineRule="auto"/>
      </w:pPr>
      <w:bookmarkStart w:id="321" w:name="fn5"/>
      <w:bookmarkEnd w:id="321"/>
      <w:r>
        <w:fldChar w:fldCharType="begin"/>
      </w:r>
      <w:r>
        <w:instrText xml:space="preserve"> HYPERLINK "https://apps.who.int/gb/ebwha/pdf_files/eb133/b133_4-en.pdf" \h </w:instrText>
      </w:r>
      <w:r>
        <w:fldChar w:fldCharType="separate"/>
      </w:r>
      <w:r>
        <w:rPr>
          <w:rFonts w:ascii="inter" w:hAnsi="inter" w:eastAsia="inter" w:cs="inter"/>
          <w:color w:val="000000"/>
          <w:sz w:val="18"/>
          <w:u w:val="single"/>
        </w:rPr>
        <w:t>https://apps.who.int/gb/ebwha/pdf_files/eb133/b133_4-en.pdf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F95F453">
      <w:pPr>
        <w:numPr>
          <w:ilvl w:val="0"/>
          <w:numId w:val="72"/>
        </w:numPr>
        <w:spacing w:after="210" w:line="360" w:lineRule="auto"/>
      </w:pPr>
      <w:bookmarkStart w:id="322" w:name="fn6"/>
      <w:bookmarkEnd w:id="322"/>
      <w:r>
        <w:fldChar w:fldCharType="begin"/>
      </w:r>
      <w:r>
        <w:instrText xml:space="preserve"> HYPERLINK "https://www.cdc.gov/autism/treatment/index.html" \h </w:instrText>
      </w:r>
      <w:r>
        <w:fldChar w:fldCharType="separate"/>
      </w:r>
      <w:r>
        <w:rPr>
          <w:rFonts w:ascii="inter" w:hAnsi="inter" w:eastAsia="inter" w:cs="inter"/>
          <w:color w:val="000000"/>
          <w:sz w:val="18"/>
          <w:u w:val="single"/>
        </w:rPr>
        <w:t>https://www.cdc.gov/autism/treatment/index.html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6B4B6B">
      <w:pPr>
        <w:numPr>
          <w:ilvl w:val="0"/>
          <w:numId w:val="72"/>
        </w:numPr>
        <w:spacing w:after="210" w:line="360" w:lineRule="auto"/>
      </w:pPr>
      <w:bookmarkStart w:id="323" w:name="fn7"/>
      <w:bookmarkEnd w:id="323"/>
      <w:r>
        <w:fldChar w:fldCharType="begin"/>
      </w:r>
      <w:r>
        <w:instrText xml:space="preserve"> HYPERLINK "https://annals.edu.sg/2023-clinical-practice-guidelines-on-autism-spectrum-disorder-in-children-and-adolescents-in-singapore/" \h </w:instrText>
      </w:r>
      <w:r>
        <w:fldChar w:fldCharType="separate"/>
      </w:r>
      <w:r>
        <w:rPr>
          <w:rFonts w:ascii="inter" w:hAnsi="inter" w:eastAsia="inter" w:cs="inter"/>
          <w:color w:val="000000"/>
          <w:sz w:val="18"/>
          <w:u w:val="single"/>
        </w:rPr>
        <w:t>https://annals.edu.sg/2023-clinical-practice-guidelines-on-autism-spectrum-disorder-in-children-and-adolescents-in-singapore/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369725F">
      <w:pPr>
        <w:numPr>
          <w:ilvl w:val="0"/>
          <w:numId w:val="72"/>
        </w:numPr>
        <w:spacing w:after="210" w:line="360" w:lineRule="auto"/>
      </w:pPr>
      <w:bookmarkStart w:id="324" w:name="fn8"/>
      <w:bookmarkEnd w:id="324"/>
      <w:r>
        <w:fldChar w:fldCharType="begin"/>
      </w:r>
      <w:r>
        <w:instrText xml:space="preserve"> HYPERLINK "https://familiesforlife.sg/media/getdocument/Guidelines%20on%20Autism%20Spectrum%20Disorder%20in%20Children%20Adolescents.pdf?filepath=FFLPGuide%2F5395713f-91b0-40fd-8547-3aef3cc7a142%2FGuidelines+on+Autism+Spectrum+Disorder+in+Children+Adolescents.pdf" \h </w:instrText>
      </w:r>
      <w:r>
        <w:fldChar w:fldCharType="separate"/>
      </w:r>
      <w:r>
        <w:rPr>
          <w:rFonts w:ascii="inter" w:hAnsi="inter" w:eastAsia="inter" w:cs="inter"/>
          <w:color w:val="000000"/>
          <w:sz w:val="18"/>
          <w:u w:val="single"/>
        </w:rPr>
        <w:t>https://familiesforlife.sg/media/getdocument/Guidelines on Autism Spectrum Disorder in Children Adolescents.pdf?filepath=FFLPGuide%2F5395713f-91b0-40fd-8547-3aef3cc7a142%2FGuidelines+on+Autism+Spectrum+Disorder+in+Children+Adolescents.pdf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60A0D9">
      <w:pPr>
        <w:numPr>
          <w:ilvl w:val="0"/>
          <w:numId w:val="72"/>
        </w:numPr>
        <w:spacing w:after="210" w:line="360" w:lineRule="auto"/>
      </w:pPr>
      <w:bookmarkStart w:id="325" w:name="fn9"/>
      <w:bookmarkEnd w:id="325"/>
      <w:r>
        <w:fldChar w:fldCharType="begin"/>
      </w:r>
      <w:r>
        <w:instrText xml:space="preserve"> HYPERLINK "http://www.smj.org.sg/sites/default/files/5103/5103cpg2.pdf" \h </w:instrText>
      </w:r>
      <w:r>
        <w:fldChar w:fldCharType="separate"/>
      </w:r>
      <w:r>
        <w:rPr>
          <w:rFonts w:ascii="inter" w:hAnsi="inter" w:eastAsia="inter" w:cs="inter"/>
          <w:color w:val="000000"/>
          <w:sz w:val="18"/>
          <w:u w:val="single"/>
        </w:rPr>
        <w:t>http://www.smj.org.sg/sites/default/files/5103/5103cpg2.pdf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32D4654">
      <w:pPr>
        <w:numPr>
          <w:ilvl w:val="0"/>
          <w:numId w:val="72"/>
        </w:numPr>
        <w:spacing w:after="210" w:line="360" w:lineRule="auto"/>
      </w:pPr>
      <w:bookmarkStart w:id="326" w:name="fn10"/>
      <w:bookmarkEnd w:id="326"/>
      <w:r>
        <w:fldChar w:fldCharType="begin"/>
      </w:r>
      <w:r>
        <w:instrText xml:space="preserve"> HYPERLINK "https://ncmhc.org.cn/channel/newsinfo/7572" \h </w:instrText>
      </w:r>
      <w:r>
        <w:fldChar w:fldCharType="separate"/>
      </w:r>
      <w:r>
        <w:rPr>
          <w:rFonts w:ascii="inter" w:hAnsi="inter" w:eastAsia="inter" w:cs="inter"/>
          <w:color w:val="000000"/>
          <w:sz w:val="18"/>
          <w:u w:val="single"/>
        </w:rPr>
        <w:t>https://ncmhc.org.cn/channel/newsinfo/7572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3483E3E">
      <w:pPr>
        <w:numPr>
          <w:ilvl w:val="0"/>
          <w:numId w:val="72"/>
        </w:numPr>
        <w:spacing w:after="210" w:line="360" w:lineRule="auto"/>
      </w:pPr>
      <w:bookmarkStart w:id="327" w:name="fn11"/>
      <w:bookmarkEnd w:id="327"/>
      <w:r>
        <w:fldChar w:fldCharType="begin"/>
      </w:r>
      <w:r>
        <w:instrText xml:space="preserve"> HYPERLINK "http://www.moe.gov.cn/jyb_xxgk/moe_1777/moe_1778/202201/t20220125_596312.html" \h </w:instrText>
      </w:r>
      <w:r>
        <w:fldChar w:fldCharType="separate"/>
      </w:r>
      <w:r>
        <w:rPr>
          <w:rFonts w:ascii="inter" w:hAnsi="inter" w:eastAsia="inter" w:cs="inter"/>
          <w:color w:val="000000"/>
          <w:sz w:val="18"/>
          <w:u w:val="single"/>
        </w:rPr>
        <w:t>http://www.moe.gov.cn/jyb_xxgk/moe_1777/moe_1778/202201/t20220125_596312.html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639AE0">
      <w:pPr>
        <w:numPr>
          <w:ilvl w:val="0"/>
          <w:numId w:val="72"/>
        </w:numPr>
        <w:spacing w:after="210" w:line="360" w:lineRule="auto"/>
      </w:pPr>
      <w:bookmarkStart w:id="328" w:name="fn12"/>
      <w:bookmarkEnd w:id="328"/>
      <w:r>
        <w:fldChar w:fldCharType="begin"/>
      </w:r>
      <w:r>
        <w:instrText xml:space="preserve"> HYPERLINK "http://www.moe.gov.cn/jyb_xwfb/s5147/202006/t20200629_468965.html" \h </w:instrText>
      </w:r>
      <w:r>
        <w:fldChar w:fldCharType="separate"/>
      </w:r>
      <w:r>
        <w:rPr>
          <w:rFonts w:ascii="inter" w:hAnsi="inter" w:eastAsia="inter" w:cs="inter"/>
          <w:color w:val="000000"/>
          <w:sz w:val="18"/>
          <w:u w:val="single"/>
        </w:rPr>
        <w:t>http://www.moe.gov.cn/jyb_xwfb/s5147/202006/t20200629_468965.html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F75E95C">
      <w:pPr>
        <w:numPr>
          <w:ilvl w:val="0"/>
          <w:numId w:val="72"/>
        </w:numPr>
        <w:spacing w:after="210" w:line="360" w:lineRule="auto"/>
      </w:pPr>
      <w:bookmarkStart w:id="329" w:name="fn13"/>
      <w:bookmarkEnd w:id="329"/>
      <w:r>
        <w:fldChar w:fldCharType="begin"/>
      </w:r>
      <w:r>
        <w:instrText xml:space="preserve"> HYPERLINK "http://www.news.cn/gongyi/20230424/020d5957394c47b298959f8e8a9cc53c/c.html" \h </w:instrText>
      </w:r>
      <w:r>
        <w:fldChar w:fldCharType="separate"/>
      </w:r>
      <w:r>
        <w:rPr>
          <w:rFonts w:ascii="inter" w:hAnsi="inter" w:eastAsia="inter" w:cs="inter"/>
          <w:color w:val="000000"/>
          <w:sz w:val="18"/>
          <w:u w:val="single"/>
        </w:rPr>
        <w:t>http://www.news.cn/gongyi/20230424/020d5957394c47b298959f8e8a9cc53c/c.html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CE52948">
      <w:pPr>
        <w:numPr>
          <w:ilvl w:val="0"/>
          <w:numId w:val="72"/>
        </w:numPr>
        <w:spacing w:after="210" w:line="360" w:lineRule="auto"/>
      </w:pPr>
      <w:bookmarkStart w:id="330" w:name="fn14"/>
      <w:bookmarkEnd w:id="330"/>
      <w:r>
        <w:fldChar w:fldCharType="begin"/>
      </w:r>
      <w:r>
        <w:instrText xml:space="preserve"> HYPERLINK "https://pmc.ncbi.nlm.nih.gov/articles/PMC1350798/" \h </w:instrText>
      </w:r>
      <w:r>
        <w:fldChar w:fldCharType="separate"/>
      </w:r>
      <w:r>
        <w:rPr>
          <w:rFonts w:ascii="inter" w:hAnsi="inter" w:eastAsia="inter" w:cs="inter"/>
          <w:color w:val="000000"/>
          <w:sz w:val="18"/>
          <w:u w:val="single"/>
        </w:rPr>
        <w:t>https://pmc.ncbi.nlm.nih.gov/articles/PMC1350798/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1262516">
      <w:pPr>
        <w:numPr>
          <w:ilvl w:val="0"/>
          <w:numId w:val="72"/>
        </w:numPr>
        <w:spacing w:after="210" w:line="360" w:lineRule="auto"/>
      </w:pPr>
      <w:bookmarkStart w:id="331" w:name="fn15"/>
      <w:bookmarkEnd w:id="331"/>
      <w:r>
        <w:fldChar w:fldCharType="begin"/>
      </w:r>
      <w:r>
        <w:instrText xml:space="preserve"> HYPERLINK "https://pmc.ncbi.nlm.nih.gov/articles/PMC9596950/" \h </w:instrText>
      </w:r>
      <w:r>
        <w:fldChar w:fldCharType="separate"/>
      </w:r>
      <w:r>
        <w:rPr>
          <w:rFonts w:ascii="inter" w:hAnsi="inter" w:eastAsia="inter" w:cs="inter"/>
          <w:color w:val="000000"/>
          <w:sz w:val="18"/>
          <w:u w:val="single"/>
        </w:rPr>
        <w:t>https://pmc.ncbi.nlm.nih.gov/articles/PMC9596950/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BFF57A4">
      <w:pPr>
        <w:numPr>
          <w:ilvl w:val="0"/>
          <w:numId w:val="72"/>
        </w:numPr>
        <w:spacing w:after="210" w:line="360" w:lineRule="auto"/>
      </w:pPr>
      <w:bookmarkStart w:id="332" w:name="fn16"/>
      <w:bookmarkEnd w:id="332"/>
      <w:r>
        <w:fldChar w:fldCharType="begin"/>
      </w:r>
      <w:r>
        <w:instrText xml:space="preserve"> HYPERLINK "https://graciousgrowthaba.com/14-teacch-activities-to-support-students-with-autism/" \h </w:instrText>
      </w:r>
      <w:r>
        <w:fldChar w:fldCharType="separate"/>
      </w:r>
      <w:r>
        <w:rPr>
          <w:rFonts w:ascii="inter" w:hAnsi="inter" w:eastAsia="inter" w:cs="inter"/>
          <w:color w:val="000000"/>
          <w:sz w:val="18"/>
          <w:u w:val="single"/>
        </w:rPr>
        <w:t>https://graciousgrowthaba.com/14-teacch-activities-to-support-students-with-autism/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767874">
      <w:pPr>
        <w:numPr>
          <w:ilvl w:val="0"/>
          <w:numId w:val="72"/>
        </w:numPr>
        <w:spacing w:after="210" w:line="360" w:lineRule="auto"/>
      </w:pPr>
      <w:bookmarkStart w:id="333" w:name="fn17"/>
      <w:bookmarkEnd w:id="333"/>
      <w:r>
        <w:fldChar w:fldCharType="begin"/>
      </w:r>
      <w:r>
        <w:instrText xml:space="preserve"> HYPERLINK "https://pmc.ncbi.nlm.nih.gov/articles/PMC8115572/" \h </w:instrText>
      </w:r>
      <w:r>
        <w:fldChar w:fldCharType="separate"/>
      </w:r>
      <w:r>
        <w:rPr>
          <w:rFonts w:ascii="inter" w:hAnsi="inter" w:eastAsia="inter" w:cs="inter"/>
          <w:color w:val="000000"/>
          <w:sz w:val="18"/>
          <w:u w:val="single"/>
        </w:rPr>
        <w:t>https://pmc.ncbi.nlm.nih.gov/articles/PMC8115572/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0D48FE2">
      <w:pPr>
        <w:numPr>
          <w:ilvl w:val="0"/>
          <w:numId w:val="72"/>
        </w:numPr>
        <w:spacing w:after="210" w:line="360" w:lineRule="auto"/>
      </w:pPr>
      <w:bookmarkStart w:id="334" w:name="fn18"/>
      <w:bookmarkEnd w:id="334"/>
      <w:r>
        <w:fldChar w:fldCharType="begin"/>
      </w:r>
      <w:r>
        <w:instrText xml:space="preserve"> HYPERLINK "https://www.thetreetop.com/aba-therapy/what-is-the-teacch-method" \h </w:instrText>
      </w:r>
      <w:r>
        <w:fldChar w:fldCharType="separate"/>
      </w:r>
      <w:r>
        <w:rPr>
          <w:rFonts w:ascii="inter" w:hAnsi="inter" w:eastAsia="inter" w:cs="inter"/>
          <w:color w:val="000000"/>
          <w:sz w:val="18"/>
          <w:u w:val="single"/>
        </w:rPr>
        <w:t>https://www.thetreetop.com/aba-therapy/what-is-the-teacch-method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8E07F8D">
      <w:pPr>
        <w:numPr>
          <w:ilvl w:val="0"/>
          <w:numId w:val="72"/>
        </w:numPr>
        <w:spacing w:after="210" w:line="360" w:lineRule="auto"/>
      </w:pPr>
      <w:bookmarkStart w:id="335" w:name="fn19"/>
      <w:bookmarkEnd w:id="335"/>
      <w:r>
        <w:fldChar w:fldCharType="begin"/>
      </w:r>
      <w:r>
        <w:instrText xml:space="preserve"> HYPERLINK "https://www.cliffsnotes.com/study-notes/26559903" \h </w:instrText>
      </w:r>
      <w:r>
        <w:fldChar w:fldCharType="separate"/>
      </w:r>
      <w:r>
        <w:rPr>
          <w:rFonts w:ascii="inter" w:hAnsi="inter" w:eastAsia="inter" w:cs="inter"/>
          <w:color w:val="000000"/>
          <w:sz w:val="18"/>
          <w:u w:val="single"/>
        </w:rPr>
        <w:t>https://www.cliffsnotes.com/study-notes/26559903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B17BA8C">
      <w:pPr>
        <w:numPr>
          <w:ilvl w:val="0"/>
          <w:numId w:val="72"/>
        </w:numPr>
        <w:spacing w:after="210" w:line="360" w:lineRule="auto"/>
      </w:pPr>
      <w:bookmarkStart w:id="336" w:name="fn20"/>
      <w:bookmarkEnd w:id="336"/>
      <w:r>
        <w:fldChar w:fldCharType="begin"/>
      </w:r>
      <w:r>
        <w:instrText xml:space="preserve"> HYPERLINK "https://www.adinaaba.com/post/teacch-method-for-autism" \h </w:instrText>
      </w:r>
      <w:r>
        <w:fldChar w:fldCharType="separate"/>
      </w:r>
      <w:r>
        <w:rPr>
          <w:rFonts w:ascii="inter" w:hAnsi="inter" w:eastAsia="inter" w:cs="inter"/>
          <w:color w:val="000000"/>
          <w:sz w:val="18"/>
          <w:u w:val="single"/>
        </w:rPr>
        <w:t>https://www.adinaaba.com/post/teacch-method-for-autism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2FA3887">
      <w:pPr>
        <w:numPr>
          <w:ilvl w:val="0"/>
          <w:numId w:val="72"/>
        </w:numPr>
        <w:spacing w:after="210" w:line="360" w:lineRule="auto"/>
      </w:pPr>
      <w:bookmarkStart w:id="337" w:name="fn21"/>
      <w:bookmarkEnd w:id="337"/>
      <w:r>
        <w:fldChar w:fldCharType="begin"/>
      </w:r>
      <w:r>
        <w:instrText xml:space="preserve"> HYPERLINK "https://www.littleraysaba.com/blog/technology-assisted-learning-for-autism" \h </w:instrText>
      </w:r>
      <w:r>
        <w:fldChar w:fldCharType="separate"/>
      </w:r>
      <w:r>
        <w:rPr>
          <w:rFonts w:ascii="inter" w:hAnsi="inter" w:eastAsia="inter" w:cs="inter"/>
          <w:color w:val="000000"/>
          <w:sz w:val="18"/>
          <w:u w:val="single"/>
        </w:rPr>
        <w:t>https://www.littleraysaba.com/blog/technology-assisted-learning-for-autism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7388416">
      <w:pPr>
        <w:numPr>
          <w:ilvl w:val="0"/>
          <w:numId w:val="72"/>
        </w:numPr>
        <w:spacing w:after="210" w:line="360" w:lineRule="auto"/>
      </w:pPr>
      <w:bookmarkStart w:id="338" w:name="fn22"/>
      <w:bookmarkEnd w:id="338"/>
      <w:r>
        <w:fldChar w:fldCharType="begin"/>
      </w:r>
      <w:r>
        <w:instrText xml:space="preserve"> HYPERLINK "https://pmc.ncbi.nlm.nih.gov/articles/PMC8928843/" \h </w:instrText>
      </w:r>
      <w:r>
        <w:fldChar w:fldCharType="separate"/>
      </w:r>
      <w:r>
        <w:rPr>
          <w:rFonts w:ascii="inter" w:hAnsi="inter" w:eastAsia="inter" w:cs="inter"/>
          <w:color w:val="000000"/>
          <w:sz w:val="18"/>
          <w:u w:val="single"/>
        </w:rPr>
        <w:t>https://pmc.ncbi.nlm.nih.gov/articles/PMC8928843/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54436D">
      <w:pPr>
        <w:numPr>
          <w:ilvl w:val="0"/>
          <w:numId w:val="72"/>
        </w:numPr>
        <w:spacing w:after="210" w:line="360" w:lineRule="auto"/>
      </w:pPr>
      <w:bookmarkStart w:id="339" w:name="fn23"/>
      <w:bookmarkEnd w:id="339"/>
      <w:r>
        <w:fldChar w:fldCharType="begin"/>
      </w:r>
      <w:r>
        <w:instrText xml:space="preserve"> HYPERLINK "https://media.naset.com/fileadmin/user_upload/Autism_Series/Assist_tech/AssistiveTech_for_Students_W_Autism.pdf" \h </w:instrText>
      </w:r>
      <w:r>
        <w:fldChar w:fldCharType="separate"/>
      </w:r>
      <w:r>
        <w:rPr>
          <w:rFonts w:ascii="inter" w:hAnsi="inter" w:eastAsia="inter" w:cs="inter"/>
          <w:color w:val="000000"/>
          <w:sz w:val="18"/>
          <w:u w:val="single"/>
        </w:rPr>
        <w:t>https://media.naset.com/fileadmin/user_upload/Autism_Series/Assist_tech/AssistiveTech_for_Students_W_Autism.pdf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D56320C">
      <w:pPr>
        <w:numPr>
          <w:ilvl w:val="0"/>
          <w:numId w:val="72"/>
        </w:numPr>
        <w:spacing w:after="210" w:line="360" w:lineRule="auto"/>
      </w:pPr>
      <w:bookmarkStart w:id="340" w:name="fn24"/>
      <w:bookmarkEnd w:id="340"/>
      <w:r>
        <w:fldChar w:fldCharType="begin"/>
      </w:r>
      <w:r>
        <w:instrText xml:space="preserve"> HYPERLINK "https://www.gratefulcareaba.com/blog/encouraging-positive-behaviors-in-autism" \h </w:instrText>
      </w:r>
      <w:r>
        <w:fldChar w:fldCharType="separate"/>
      </w:r>
      <w:r>
        <w:rPr>
          <w:rFonts w:ascii="inter" w:hAnsi="inter" w:eastAsia="inter" w:cs="inter"/>
          <w:color w:val="000000"/>
          <w:sz w:val="18"/>
          <w:u w:val="single"/>
        </w:rPr>
        <w:t>https://www.gratefulcareaba.com/blog/encouraging-positive-behaviors-in-autism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04FB876">
      <w:pPr>
        <w:numPr>
          <w:ilvl w:val="0"/>
          <w:numId w:val="72"/>
        </w:numPr>
        <w:spacing w:after="210" w:line="360" w:lineRule="auto"/>
      </w:pPr>
      <w:bookmarkStart w:id="341" w:name="fn25"/>
      <w:bookmarkEnd w:id="341"/>
      <w:r>
        <w:fldChar w:fldCharType="begin"/>
      </w:r>
      <w:r>
        <w:instrText xml:space="preserve"> HYPERLINK "https://www.advancedautism.com/post/how-to-use-positive-behavior-support-strategies-for-autism" \h </w:instrText>
      </w:r>
      <w:r>
        <w:fldChar w:fldCharType="separate"/>
      </w:r>
      <w:r>
        <w:rPr>
          <w:rFonts w:ascii="inter" w:hAnsi="inter" w:eastAsia="inter" w:cs="inter"/>
          <w:color w:val="000000"/>
          <w:sz w:val="18"/>
          <w:u w:val="single"/>
        </w:rPr>
        <w:t>https://www.advancedautism.com/post/how-to-use-positive-behavior-support-strategies-for-autism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105EEE">
      <w:pPr>
        <w:numPr>
          <w:ilvl w:val="0"/>
          <w:numId w:val="72"/>
        </w:numPr>
        <w:spacing w:after="210" w:line="360" w:lineRule="auto"/>
      </w:pPr>
      <w:bookmarkStart w:id="342" w:name="fn26"/>
      <w:bookmarkEnd w:id="342"/>
      <w:r>
        <w:fldChar w:fldCharType="begin"/>
      </w:r>
      <w:r>
        <w:instrText xml:space="preserve"> HYPERLINK "https://autismspectrumnews.org/positive-behavioral-interventions-and-supports-an-effective-approach-for-schools-to-prevent-and-manage-challenging-behaviors/" \h </w:instrText>
      </w:r>
      <w:r>
        <w:fldChar w:fldCharType="separate"/>
      </w:r>
      <w:r>
        <w:rPr>
          <w:rFonts w:ascii="inter" w:hAnsi="inter" w:eastAsia="inter" w:cs="inter"/>
          <w:color w:val="000000"/>
          <w:sz w:val="18"/>
          <w:u w:val="single"/>
        </w:rPr>
        <w:t>https://autismspectrumnews.org/positive-behavioral-interventions-and-supports-an-effective-approach-for-schools-to-prevent-and-manage-challenging-behaviors/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92FE928">
      <w:pPr>
        <w:numPr>
          <w:ilvl w:val="0"/>
          <w:numId w:val="72"/>
        </w:numPr>
        <w:spacing w:after="210" w:line="360" w:lineRule="auto"/>
      </w:pPr>
      <w:bookmarkStart w:id="343" w:name="fn27"/>
      <w:bookmarkEnd w:id="343"/>
      <w:r>
        <w:fldChar w:fldCharType="begin"/>
      </w:r>
      <w:r>
        <w:instrText xml:space="preserve"> HYPERLINK "https://www.pbis.org/resource/supporting-students-with-autism-spectrum-disorders-through-school-wide-positive-behavior-interventions-and-supports" \h </w:instrText>
      </w:r>
      <w:r>
        <w:fldChar w:fldCharType="separate"/>
      </w:r>
      <w:r>
        <w:rPr>
          <w:rFonts w:ascii="inter" w:hAnsi="inter" w:eastAsia="inter" w:cs="inter"/>
          <w:color w:val="000000"/>
          <w:sz w:val="18"/>
          <w:u w:val="single"/>
        </w:rPr>
        <w:t>https://www.pbis.org/resource/supporting-students-with-autism-spectrum-disorders-through-school-wide-positive-behavior-interventions-and-supports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B94F94">
      <w:pPr>
        <w:numPr>
          <w:ilvl w:val="0"/>
          <w:numId w:val="72"/>
        </w:numPr>
        <w:spacing w:after="210" w:line="360" w:lineRule="auto"/>
      </w:pPr>
      <w:bookmarkStart w:id="344" w:name="fn28"/>
      <w:bookmarkEnd w:id="344"/>
      <w:r>
        <w:fldChar w:fldCharType="begin"/>
      </w:r>
      <w:r>
        <w:instrText xml:space="preserve"> HYPERLINK "https://uxdesign.cc/universal-design-for-learning-for-students-with-autism-a7d12c0d35f7" \h </w:instrText>
      </w:r>
      <w:r>
        <w:fldChar w:fldCharType="separate"/>
      </w:r>
      <w:r>
        <w:rPr>
          <w:rFonts w:ascii="inter" w:hAnsi="inter" w:eastAsia="inter" w:cs="inter"/>
          <w:color w:val="000000"/>
          <w:sz w:val="18"/>
          <w:u w:val="single"/>
        </w:rPr>
        <w:t>https://uxdesign.cc/universal-design-for-learning-for-students-with-autism-a7d12c0d35f7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57CA5B">
      <w:pPr>
        <w:numPr>
          <w:ilvl w:val="0"/>
          <w:numId w:val="72"/>
        </w:numPr>
        <w:spacing w:after="210" w:line="360" w:lineRule="auto"/>
      </w:pPr>
      <w:bookmarkStart w:id="345" w:name="fn29"/>
      <w:bookmarkEnd w:id="345"/>
      <w:r>
        <w:fldChar w:fldCharType="begin"/>
      </w:r>
      <w:r>
        <w:instrText xml:space="preserve"> HYPERLINK "https://www.middletownautism.com/files/uploads/c2af8710d75276926008ec41fe8dcb4b.pdf" \h </w:instrText>
      </w:r>
      <w:r>
        <w:fldChar w:fldCharType="separate"/>
      </w:r>
      <w:r>
        <w:rPr>
          <w:rFonts w:ascii="inter" w:hAnsi="inter" w:eastAsia="inter" w:cs="inter"/>
          <w:color w:val="000000"/>
          <w:sz w:val="18"/>
          <w:u w:val="single"/>
        </w:rPr>
        <w:t>https://www.middletownautism.com/files/uploads/c2af8710d75276926008ec41fe8dcb4b.pdf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550063">
      <w:pPr>
        <w:numPr>
          <w:ilvl w:val="0"/>
          <w:numId w:val="72"/>
        </w:numPr>
        <w:spacing w:after="210" w:line="360" w:lineRule="auto"/>
      </w:pPr>
      <w:bookmarkStart w:id="346" w:name="fn30"/>
      <w:bookmarkEnd w:id="346"/>
      <w:r>
        <w:fldChar w:fldCharType="begin"/>
      </w:r>
      <w:r>
        <w:instrText xml:space="preserve"> HYPERLINK "https://pmc.ncbi.nlm.nih.gov/articles/PMC9788711/" \h </w:instrText>
      </w:r>
      <w:r>
        <w:fldChar w:fldCharType="separate"/>
      </w:r>
      <w:r>
        <w:rPr>
          <w:rFonts w:ascii="inter" w:hAnsi="inter" w:eastAsia="inter" w:cs="inter"/>
          <w:color w:val="000000"/>
          <w:sz w:val="18"/>
          <w:u w:val="single"/>
        </w:rPr>
        <w:t>https://pmc.ncbi.nlm.nih.gov/articles/PMC9788711/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D103C4B">
      <w:pPr>
        <w:numPr>
          <w:ilvl w:val="0"/>
          <w:numId w:val="72"/>
        </w:numPr>
        <w:spacing w:after="210" w:line="360" w:lineRule="auto"/>
      </w:pPr>
      <w:bookmarkStart w:id="347" w:name="fn31"/>
      <w:bookmarkEnd w:id="347"/>
      <w:r>
        <w:fldChar w:fldCharType="begin"/>
      </w:r>
      <w:r>
        <w:instrText xml:space="preserve"> HYPERLINK "https://www.kairaranga.ac.nz/index.php/k/article/download/344/301" \h </w:instrText>
      </w:r>
      <w:r>
        <w:fldChar w:fldCharType="separate"/>
      </w:r>
      <w:r>
        <w:rPr>
          <w:rFonts w:ascii="inter" w:hAnsi="inter" w:eastAsia="inter" w:cs="inter"/>
          <w:color w:val="000000"/>
          <w:sz w:val="18"/>
          <w:u w:val="single"/>
        </w:rPr>
        <w:t>https://www.kairaranga.ac.nz/index.php/k/article/download/344/301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3071099">
      <w:pPr>
        <w:numPr>
          <w:ilvl w:val="0"/>
          <w:numId w:val="72"/>
        </w:numPr>
        <w:spacing w:after="210" w:line="360" w:lineRule="auto"/>
      </w:pPr>
      <w:bookmarkStart w:id="348" w:name="fn32"/>
      <w:bookmarkEnd w:id="348"/>
      <w:r>
        <w:fldChar w:fldCharType="begin"/>
      </w:r>
      <w:r>
        <w:instrText xml:space="preserve"> HYPERLINK "https://journals.sagepub.com/doi/10.1177/21582440241272032" \h </w:instrText>
      </w:r>
      <w:r>
        <w:fldChar w:fldCharType="separate"/>
      </w:r>
      <w:r>
        <w:rPr>
          <w:rFonts w:ascii="inter" w:hAnsi="inter" w:eastAsia="inter" w:cs="inter"/>
          <w:color w:val="000000"/>
          <w:sz w:val="18"/>
          <w:u w:val="single"/>
        </w:rPr>
        <w:t>https://journals.sagepub.com/doi/10.1177/21582440241272032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8F34B3D">
      <w:pPr>
        <w:numPr>
          <w:ilvl w:val="0"/>
          <w:numId w:val="72"/>
        </w:numPr>
        <w:spacing w:after="210" w:line="360" w:lineRule="auto"/>
      </w:pPr>
      <w:bookmarkStart w:id="349" w:name="fn33"/>
      <w:bookmarkEnd w:id="349"/>
      <w:r>
        <w:fldChar w:fldCharType="begin"/>
      </w:r>
      <w:r>
        <w:instrText xml:space="preserve"> HYPERLINK "https://reciteme.com/news/assistive-technology-in-education/" \h </w:instrText>
      </w:r>
      <w:r>
        <w:fldChar w:fldCharType="separate"/>
      </w:r>
      <w:r>
        <w:rPr>
          <w:rFonts w:ascii="inter" w:hAnsi="inter" w:eastAsia="inter" w:cs="inter"/>
          <w:color w:val="000000"/>
          <w:sz w:val="18"/>
          <w:u w:val="single"/>
        </w:rPr>
        <w:t>https://reciteme.com/news/assistive-technology-in-education/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B798A87">
      <w:pPr>
        <w:numPr>
          <w:ilvl w:val="0"/>
          <w:numId w:val="72"/>
        </w:numPr>
        <w:spacing w:after="210" w:line="360" w:lineRule="auto"/>
      </w:pPr>
      <w:bookmarkStart w:id="350" w:name="fn34"/>
      <w:bookmarkEnd w:id="350"/>
      <w:r>
        <w:fldChar w:fldCharType="begin"/>
      </w:r>
      <w:r>
        <w:instrText xml:space="preserve"> HYPERLINK "https://nurturepods.com/assistive-technologies-for-autism-harnessing-innovation-to-improve-learning-and-communication/" \h </w:instrText>
      </w:r>
      <w:r>
        <w:fldChar w:fldCharType="separate"/>
      </w:r>
      <w:r>
        <w:rPr>
          <w:rFonts w:ascii="inter" w:hAnsi="inter" w:eastAsia="inter" w:cs="inter"/>
          <w:color w:val="000000"/>
          <w:sz w:val="18"/>
          <w:u w:val="single"/>
        </w:rPr>
        <w:t>https://nurturepods.com/assistive-technologies-for-autism-harnessing-innovation-to-improve-learning-and-communication/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A7EF3A3">
      <w:pPr>
        <w:numPr>
          <w:ilvl w:val="0"/>
          <w:numId w:val="72"/>
        </w:numPr>
        <w:spacing w:after="210" w:line="360" w:lineRule="auto"/>
      </w:pPr>
      <w:bookmarkStart w:id="351" w:name="fn35"/>
      <w:bookmarkEnd w:id="351"/>
      <w:r>
        <w:fldChar w:fldCharType="begin"/>
      </w:r>
      <w:r>
        <w:instrText xml:space="preserve"> HYPERLINK "https://www.diva-portal.org/smash/get/diva2:1106562/FULLTEXT01.pdf" \h </w:instrText>
      </w:r>
      <w:r>
        <w:fldChar w:fldCharType="separate"/>
      </w:r>
      <w:r>
        <w:rPr>
          <w:rFonts w:ascii="inter" w:hAnsi="inter" w:eastAsia="inter" w:cs="inter"/>
          <w:color w:val="000000"/>
          <w:sz w:val="18"/>
          <w:u w:val="single"/>
        </w:rPr>
        <w:t>https://www.diva-portal.org/smash/get/diva2:1106562/FULLTEXT01.pdf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444DA5E">
      <w:pPr>
        <w:numPr>
          <w:ilvl w:val="0"/>
          <w:numId w:val="72"/>
        </w:numPr>
        <w:spacing w:after="210" w:line="360" w:lineRule="auto"/>
      </w:pPr>
      <w:bookmarkStart w:id="352" w:name="fn36"/>
      <w:bookmarkEnd w:id="352"/>
      <w:r>
        <w:fldChar w:fldCharType="begin"/>
      </w:r>
      <w:r>
        <w:instrText xml:space="preserve"> HYPERLINK "https://autismclassroomresources.com/3-strategies-for-student-engagement/" \h </w:instrText>
      </w:r>
      <w:r>
        <w:fldChar w:fldCharType="separate"/>
      </w:r>
      <w:r>
        <w:rPr>
          <w:rFonts w:ascii="inter" w:hAnsi="inter" w:eastAsia="inter" w:cs="inter"/>
          <w:color w:val="000000"/>
          <w:sz w:val="18"/>
          <w:u w:val="single"/>
        </w:rPr>
        <w:t>https://autismclassroomresources.com/3-strategies-for-student-engagement/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A40D74">
      <w:pPr>
        <w:numPr>
          <w:ilvl w:val="0"/>
          <w:numId w:val="72"/>
        </w:numPr>
        <w:spacing w:after="210" w:line="360" w:lineRule="auto"/>
      </w:pPr>
      <w:bookmarkStart w:id="353" w:name="fn37"/>
      <w:bookmarkEnd w:id="353"/>
      <w:r>
        <w:fldChar w:fldCharType="begin"/>
      </w:r>
      <w:r>
        <w:instrText xml:space="preserve"> HYPERLINK "https://beyondcaretherapy.com/blog/educational-strategies-for-autism/" \h </w:instrText>
      </w:r>
      <w:r>
        <w:fldChar w:fldCharType="separate"/>
      </w:r>
      <w:r>
        <w:rPr>
          <w:rFonts w:ascii="inter" w:hAnsi="inter" w:eastAsia="inter" w:cs="inter"/>
          <w:color w:val="000000"/>
          <w:sz w:val="18"/>
          <w:u w:val="single"/>
        </w:rPr>
        <w:t>https://beyondcaretherapy.com/blog/educational-strategies-for-autism/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B2D19A">
      <w:pPr>
        <w:numPr>
          <w:ilvl w:val="0"/>
          <w:numId w:val="72"/>
        </w:numPr>
        <w:spacing w:after="210" w:line="360" w:lineRule="auto"/>
      </w:pPr>
      <w:bookmarkStart w:id="354" w:name="fn38"/>
      <w:bookmarkEnd w:id="354"/>
      <w:r>
        <w:fldChar w:fldCharType="begin"/>
      </w:r>
      <w:r>
        <w:instrText xml:space="preserve"> HYPERLINK "https://www.magnetaba.com/blog/autism-friendly-classroom-tips" \h </w:instrText>
      </w:r>
      <w:r>
        <w:fldChar w:fldCharType="separate"/>
      </w:r>
      <w:r>
        <w:rPr>
          <w:rFonts w:ascii="inter" w:hAnsi="inter" w:eastAsia="inter" w:cs="inter"/>
          <w:color w:val="000000"/>
          <w:sz w:val="18"/>
          <w:u w:val="single"/>
        </w:rPr>
        <w:t>https://www.magnetaba.com/blog/autism-friendly-classroom-tips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6DB05D7">
      <w:pPr>
        <w:numPr>
          <w:ilvl w:val="0"/>
          <w:numId w:val="72"/>
        </w:numPr>
        <w:spacing w:after="210" w:line="360" w:lineRule="auto"/>
      </w:pPr>
      <w:bookmarkStart w:id="355" w:name="fn39"/>
      <w:bookmarkEnd w:id="355"/>
      <w:r>
        <w:fldChar w:fldCharType="begin"/>
      </w:r>
      <w:r>
        <w:instrText xml:space="preserve"> HYPERLINK "https://pmc.ncbi.nlm.nih.gov/articles/PMC9620685/" \h </w:instrText>
      </w:r>
      <w:r>
        <w:fldChar w:fldCharType="separate"/>
      </w:r>
      <w:r>
        <w:rPr>
          <w:rFonts w:ascii="inter" w:hAnsi="inter" w:eastAsia="inter" w:cs="inter"/>
          <w:color w:val="000000"/>
          <w:sz w:val="18"/>
          <w:u w:val="single"/>
        </w:rPr>
        <w:t>https://pmc.ncbi.nlm.nih.gov/articles/PMC9620685/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0C16CFB">
      <w:pPr>
        <w:numPr>
          <w:ilvl w:val="0"/>
          <w:numId w:val="72"/>
        </w:numPr>
        <w:spacing w:after="210" w:line="360" w:lineRule="auto"/>
      </w:pPr>
      <w:bookmarkStart w:id="356" w:name="fn40"/>
      <w:bookmarkEnd w:id="356"/>
      <w:r>
        <w:fldChar w:fldCharType="begin"/>
      </w:r>
      <w:r>
        <w:instrText xml:space="preserve"> HYPERLINK "http://www.moe.gov.cn/jyb_xwfb/s5147/202104/t20210419_526981.html" \h </w:instrText>
      </w:r>
      <w:r>
        <w:fldChar w:fldCharType="separate"/>
      </w:r>
      <w:r>
        <w:rPr>
          <w:rFonts w:ascii="inter" w:hAnsi="inter" w:eastAsia="inter" w:cs="inter"/>
          <w:color w:val="000000"/>
          <w:sz w:val="18"/>
          <w:u w:val="single"/>
        </w:rPr>
        <w:t>http://www.moe.gov.cn/jyb_xwfb/s5147/202104/t20210419_526981.html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1CCBB2C">
      <w:pPr>
        <w:numPr>
          <w:ilvl w:val="0"/>
          <w:numId w:val="72"/>
        </w:numPr>
        <w:spacing w:after="210" w:line="360" w:lineRule="auto"/>
      </w:pPr>
      <w:bookmarkStart w:id="357" w:name="fn41"/>
      <w:bookmarkEnd w:id="357"/>
      <w:r>
        <w:fldChar w:fldCharType="begin"/>
      </w:r>
      <w:r>
        <w:instrText xml:space="preserve"> HYPERLINK "https://www.incredibleyears.com/blog/autism-in-the-inclusive-classroom" \h </w:instrText>
      </w:r>
      <w:r>
        <w:fldChar w:fldCharType="separate"/>
      </w:r>
      <w:r>
        <w:rPr>
          <w:rFonts w:ascii="inter" w:hAnsi="inter" w:eastAsia="inter" w:cs="inter"/>
          <w:color w:val="000000"/>
          <w:sz w:val="18"/>
          <w:u w:val="single"/>
        </w:rPr>
        <w:t>https://www.incredibleyears.com/blog/autism-in-the-inclusive-classroom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C010D0">
      <w:pPr>
        <w:numPr>
          <w:ilvl w:val="0"/>
          <w:numId w:val="72"/>
        </w:numPr>
        <w:spacing w:after="210" w:line="360" w:lineRule="auto"/>
      </w:pPr>
      <w:bookmarkStart w:id="358" w:name="fn42"/>
      <w:bookmarkEnd w:id="358"/>
      <w:r>
        <w:fldChar w:fldCharType="begin"/>
      </w:r>
      <w:r>
        <w:instrText xml:space="preserve"> HYPERLINK "https://journals.sagepub.com/doi/10.1177/00400599251346719" \h </w:instrText>
      </w:r>
      <w:r>
        <w:fldChar w:fldCharType="separate"/>
      </w:r>
      <w:r>
        <w:rPr>
          <w:rFonts w:ascii="inter" w:hAnsi="inter" w:eastAsia="inter" w:cs="inter"/>
          <w:color w:val="000000"/>
          <w:sz w:val="18"/>
          <w:u w:val="single"/>
        </w:rPr>
        <w:t>https://journals.sagepub.com/doi/10.1177/00400599251346719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9C40EC6">
      <w:pPr>
        <w:numPr>
          <w:ilvl w:val="0"/>
          <w:numId w:val="72"/>
        </w:numPr>
        <w:spacing w:after="210" w:line="360" w:lineRule="auto"/>
      </w:pPr>
      <w:bookmarkStart w:id="359" w:name="fn43"/>
      <w:bookmarkEnd w:id="359"/>
      <w:r>
        <w:fldChar w:fldCharType="begin"/>
      </w:r>
      <w:r>
        <w:instrText xml:space="preserve"> HYPERLINK "https://www.waterford.org/blog/activities-for-children-with-autism/" \h </w:instrText>
      </w:r>
      <w:r>
        <w:fldChar w:fldCharType="separate"/>
      </w:r>
      <w:r>
        <w:rPr>
          <w:rFonts w:ascii="inter" w:hAnsi="inter" w:eastAsia="inter" w:cs="inter"/>
          <w:color w:val="000000"/>
          <w:sz w:val="18"/>
          <w:u w:val="single"/>
        </w:rPr>
        <w:t>https://www.waterford.org/blog/activities-for-children-with-autism/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AFF8A6">
      <w:pPr>
        <w:numPr>
          <w:ilvl w:val="0"/>
          <w:numId w:val="72"/>
        </w:numPr>
        <w:spacing w:after="210" w:line="360" w:lineRule="auto"/>
      </w:pPr>
      <w:bookmarkStart w:id="360" w:name="fn44"/>
      <w:bookmarkEnd w:id="360"/>
      <w:r>
        <w:fldChar w:fldCharType="begin"/>
      </w:r>
      <w:r>
        <w:instrText xml:space="preserve"> HYPERLINK "https://ies.ed.gov/learn/blog/interventions-autism-spectrum-disorder-early-childhood-preliminary-and-long-term-impacts" \h </w:instrText>
      </w:r>
      <w:r>
        <w:fldChar w:fldCharType="separate"/>
      </w:r>
      <w:r>
        <w:rPr>
          <w:rFonts w:ascii="inter" w:hAnsi="inter" w:eastAsia="inter" w:cs="inter"/>
          <w:color w:val="000000"/>
          <w:sz w:val="18"/>
          <w:u w:val="single"/>
        </w:rPr>
        <w:t>https://ies.ed.gov/learn/blog/interventions-autism-spectrum-disorder-early-childhood-preliminary-and-long-term-impacts</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bullet"/>
      <w:lvlText w:val=""/>
      <w:lvlJc w:val="left"/>
      <w:pPr>
        <w:tabs>
          <w:tab w:val="left" w:pos="900"/>
        </w:tabs>
        <w:ind w:left="540" w:hanging="360"/>
      </w:pPr>
      <w:rPr>
        <w:rFonts w:hint="default" w:ascii="Symbol" w:hAnsi="Symbol"/>
      </w:rPr>
    </w:lvl>
  </w:abstractNum>
  <w:abstractNum w:abstractNumId="1">
    <w:nsid w:val="845B5372"/>
    <w:multiLevelType w:val="singleLevel"/>
    <w:tmpl w:val="845B5372"/>
    <w:lvl w:ilvl="0" w:tentative="0">
      <w:start w:val="2"/>
      <w:numFmt w:val="decimal"/>
      <w:lvlText w:val="%1."/>
      <w:lvlJc w:val="left"/>
      <w:pPr>
        <w:tabs>
          <w:tab w:val="left" w:pos="900"/>
        </w:tabs>
        <w:ind w:left="540" w:hanging="360"/>
      </w:pPr>
    </w:lvl>
  </w:abstractNum>
  <w:abstractNum w:abstractNumId="2">
    <w:nsid w:val="8461FADE"/>
    <w:multiLevelType w:val="singleLevel"/>
    <w:tmpl w:val="8461FADE"/>
    <w:lvl w:ilvl="0" w:tentative="0">
      <w:start w:val="1"/>
      <w:numFmt w:val="decimal"/>
      <w:lvlText w:val="%1."/>
      <w:lvlJc w:val="left"/>
      <w:pPr>
        <w:tabs>
          <w:tab w:val="left" w:pos="900"/>
        </w:tabs>
        <w:ind w:left="540" w:hanging="360"/>
      </w:pPr>
    </w:lvl>
  </w:abstractNum>
  <w:abstractNum w:abstractNumId="3">
    <w:nsid w:val="8CAEB125"/>
    <w:multiLevelType w:val="multilevel"/>
    <w:tmpl w:val="8CAEB125"/>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4">
    <w:nsid w:val="91995D4F"/>
    <w:multiLevelType w:val="multilevel"/>
    <w:tmpl w:val="91995D4F"/>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5">
    <w:nsid w:val="9239341B"/>
    <w:multiLevelType w:val="singleLevel"/>
    <w:tmpl w:val="9239341B"/>
    <w:lvl w:ilvl="0" w:tentative="0">
      <w:start w:val="4"/>
      <w:numFmt w:val="decimal"/>
      <w:lvlText w:val="%1."/>
      <w:lvlJc w:val="left"/>
      <w:pPr>
        <w:tabs>
          <w:tab w:val="left" w:pos="900"/>
        </w:tabs>
        <w:ind w:left="540" w:hanging="360"/>
      </w:pPr>
    </w:lvl>
  </w:abstractNum>
  <w:abstractNum w:abstractNumId="6">
    <w:nsid w:val="9288B902"/>
    <w:multiLevelType w:val="singleLevel"/>
    <w:tmpl w:val="9288B902"/>
    <w:lvl w:ilvl="0" w:tentative="0">
      <w:start w:val="3"/>
      <w:numFmt w:val="decimal"/>
      <w:lvlText w:val="%1."/>
      <w:lvlJc w:val="left"/>
      <w:pPr>
        <w:tabs>
          <w:tab w:val="left" w:pos="900"/>
        </w:tabs>
        <w:ind w:left="540" w:hanging="360"/>
      </w:pPr>
    </w:lvl>
  </w:abstractNum>
  <w:abstractNum w:abstractNumId="7">
    <w:nsid w:val="9C8AC8EF"/>
    <w:multiLevelType w:val="singleLevel"/>
    <w:tmpl w:val="9C8AC8EF"/>
    <w:lvl w:ilvl="0" w:tentative="0">
      <w:start w:val="1"/>
      <w:numFmt w:val="decimal"/>
      <w:lvlText w:val="%1."/>
      <w:lvlJc w:val="left"/>
      <w:pPr>
        <w:tabs>
          <w:tab w:val="left" w:pos="900"/>
        </w:tabs>
        <w:ind w:left="540" w:hanging="360"/>
      </w:pPr>
    </w:lvl>
  </w:abstractNum>
  <w:abstractNum w:abstractNumId="8">
    <w:nsid w:val="A0F05207"/>
    <w:multiLevelType w:val="multilevel"/>
    <w:tmpl w:val="A0F05207"/>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9">
    <w:nsid w:val="B0F1ACD9"/>
    <w:multiLevelType w:val="multilevel"/>
    <w:tmpl w:val="B0F1ACD9"/>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10">
    <w:nsid w:val="B23A94A9"/>
    <w:multiLevelType w:val="singleLevel"/>
    <w:tmpl w:val="B23A94A9"/>
    <w:lvl w:ilvl="0" w:tentative="0">
      <w:start w:val="1"/>
      <w:numFmt w:val="bullet"/>
      <w:lvlText w:val=""/>
      <w:lvlJc w:val="left"/>
      <w:pPr>
        <w:tabs>
          <w:tab w:val="left" w:pos="900"/>
        </w:tabs>
        <w:ind w:left="540" w:hanging="360"/>
      </w:pPr>
      <w:rPr>
        <w:rFonts w:hint="default" w:ascii="Symbol" w:hAnsi="Symbol"/>
      </w:rPr>
    </w:lvl>
  </w:abstractNum>
  <w:abstractNum w:abstractNumId="11">
    <w:nsid w:val="B53F3350"/>
    <w:multiLevelType w:val="singleLevel"/>
    <w:tmpl w:val="B53F3350"/>
    <w:lvl w:ilvl="0" w:tentative="0">
      <w:start w:val="1"/>
      <w:numFmt w:val="bullet"/>
      <w:lvlText w:val=""/>
      <w:lvlJc w:val="left"/>
      <w:pPr>
        <w:tabs>
          <w:tab w:val="left" w:pos="900"/>
        </w:tabs>
        <w:ind w:left="540" w:hanging="360"/>
      </w:pPr>
      <w:rPr>
        <w:rFonts w:hint="default" w:ascii="Symbol" w:hAnsi="Symbol"/>
      </w:rPr>
    </w:lvl>
  </w:abstractNum>
  <w:abstractNum w:abstractNumId="12">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13">
    <w:nsid w:val="B8CEF35B"/>
    <w:multiLevelType w:val="singleLevel"/>
    <w:tmpl w:val="B8CEF35B"/>
    <w:lvl w:ilvl="0" w:tentative="0">
      <w:start w:val="1"/>
      <w:numFmt w:val="decimal"/>
      <w:lvlText w:val="%1."/>
      <w:lvlJc w:val="left"/>
      <w:pPr>
        <w:tabs>
          <w:tab w:val="left" w:pos="900"/>
        </w:tabs>
        <w:ind w:left="540" w:hanging="360"/>
      </w:pPr>
    </w:lvl>
  </w:abstractNum>
  <w:abstractNum w:abstractNumId="14">
    <w:nsid w:val="BB64CFA9"/>
    <w:multiLevelType w:val="singleLevel"/>
    <w:tmpl w:val="BB64CFA9"/>
    <w:lvl w:ilvl="0" w:tentative="0">
      <w:start w:val="3"/>
      <w:numFmt w:val="decimal"/>
      <w:lvlText w:val="%1."/>
      <w:lvlJc w:val="left"/>
      <w:pPr>
        <w:tabs>
          <w:tab w:val="left" w:pos="900"/>
        </w:tabs>
        <w:ind w:left="540" w:hanging="360"/>
      </w:pPr>
    </w:lvl>
  </w:abstractNum>
  <w:abstractNum w:abstractNumId="15">
    <w:nsid w:val="BE923771"/>
    <w:multiLevelType w:val="singleLevel"/>
    <w:tmpl w:val="BE923771"/>
    <w:lvl w:ilvl="0" w:tentative="0">
      <w:start w:val="2"/>
      <w:numFmt w:val="decimal"/>
      <w:lvlText w:val="%1."/>
      <w:lvlJc w:val="left"/>
      <w:pPr>
        <w:tabs>
          <w:tab w:val="left" w:pos="900"/>
        </w:tabs>
        <w:ind w:left="540" w:hanging="360"/>
      </w:pPr>
    </w:lvl>
  </w:abstractNum>
  <w:abstractNum w:abstractNumId="16">
    <w:nsid w:val="BF205925"/>
    <w:multiLevelType w:val="singleLevel"/>
    <w:tmpl w:val="BF205925"/>
    <w:lvl w:ilvl="0" w:tentative="0">
      <w:start w:val="3"/>
      <w:numFmt w:val="decimal"/>
      <w:lvlText w:val="%1."/>
      <w:lvlJc w:val="left"/>
      <w:pPr>
        <w:tabs>
          <w:tab w:val="left" w:pos="900"/>
        </w:tabs>
        <w:ind w:left="540" w:hanging="360"/>
      </w:pPr>
    </w:lvl>
  </w:abstractNum>
  <w:abstractNum w:abstractNumId="17">
    <w:nsid w:val="C0915F4F"/>
    <w:multiLevelType w:val="singleLevel"/>
    <w:tmpl w:val="C0915F4F"/>
    <w:lvl w:ilvl="0" w:tentative="0">
      <w:start w:val="1"/>
      <w:numFmt w:val="bullet"/>
      <w:lvlText w:val=""/>
      <w:lvlJc w:val="left"/>
      <w:pPr>
        <w:tabs>
          <w:tab w:val="left" w:pos="900"/>
        </w:tabs>
        <w:ind w:left="540" w:hanging="360"/>
      </w:pPr>
      <w:rPr>
        <w:rFonts w:hint="default" w:ascii="Symbol" w:hAnsi="Symbol"/>
      </w:rPr>
    </w:lvl>
  </w:abstractNum>
  <w:abstractNum w:abstractNumId="18">
    <w:nsid w:val="C8879AEF"/>
    <w:multiLevelType w:val="singleLevel"/>
    <w:tmpl w:val="C8879AEF"/>
    <w:lvl w:ilvl="0" w:tentative="0">
      <w:start w:val="3"/>
      <w:numFmt w:val="decimal"/>
      <w:lvlText w:val="%1."/>
      <w:lvlJc w:val="left"/>
      <w:pPr>
        <w:tabs>
          <w:tab w:val="left" w:pos="900"/>
        </w:tabs>
        <w:ind w:left="540" w:hanging="360"/>
      </w:pPr>
    </w:lvl>
  </w:abstractNum>
  <w:abstractNum w:abstractNumId="19">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20">
    <w:nsid w:val="D7D140E4"/>
    <w:multiLevelType w:val="singleLevel"/>
    <w:tmpl w:val="D7D140E4"/>
    <w:lvl w:ilvl="0" w:tentative="0">
      <w:start w:val="2"/>
      <w:numFmt w:val="decimal"/>
      <w:lvlText w:val="%1."/>
      <w:lvlJc w:val="left"/>
      <w:pPr>
        <w:tabs>
          <w:tab w:val="left" w:pos="900"/>
        </w:tabs>
        <w:ind w:left="540" w:hanging="360"/>
      </w:pPr>
    </w:lvl>
  </w:abstractNum>
  <w:abstractNum w:abstractNumId="21">
    <w:nsid w:val="D7F9FE59"/>
    <w:multiLevelType w:val="singleLevel"/>
    <w:tmpl w:val="D7F9FE59"/>
    <w:lvl w:ilvl="0" w:tentative="0">
      <w:start w:val="1"/>
      <w:numFmt w:val="bullet"/>
      <w:lvlText w:val=""/>
      <w:lvlJc w:val="left"/>
      <w:pPr>
        <w:tabs>
          <w:tab w:val="left" w:pos="900"/>
        </w:tabs>
        <w:ind w:left="540" w:hanging="360"/>
      </w:pPr>
      <w:rPr>
        <w:rFonts w:hint="default" w:ascii="Symbol" w:hAnsi="Symbol"/>
      </w:rPr>
    </w:lvl>
  </w:abstractNum>
  <w:abstractNum w:abstractNumId="22">
    <w:nsid w:val="DCBA6B53"/>
    <w:multiLevelType w:val="singleLevel"/>
    <w:tmpl w:val="DCBA6B53"/>
    <w:lvl w:ilvl="0" w:tentative="0">
      <w:start w:val="7"/>
      <w:numFmt w:val="decimal"/>
      <w:lvlText w:val="%1."/>
      <w:lvlJc w:val="left"/>
      <w:pPr>
        <w:tabs>
          <w:tab w:val="left" w:pos="900"/>
        </w:tabs>
        <w:ind w:left="540" w:hanging="360"/>
      </w:pPr>
    </w:lvl>
  </w:abstractNum>
  <w:abstractNum w:abstractNumId="23">
    <w:nsid w:val="E093A4B0"/>
    <w:multiLevelType w:val="singleLevel"/>
    <w:tmpl w:val="E093A4B0"/>
    <w:lvl w:ilvl="0" w:tentative="0">
      <w:start w:val="1"/>
      <w:numFmt w:val="bullet"/>
      <w:lvlText w:val=""/>
      <w:lvlJc w:val="left"/>
      <w:pPr>
        <w:tabs>
          <w:tab w:val="left" w:pos="900"/>
        </w:tabs>
        <w:ind w:left="540" w:hanging="360"/>
      </w:pPr>
      <w:rPr>
        <w:rFonts w:hint="default" w:ascii="Symbol" w:hAnsi="Symbol"/>
      </w:rPr>
    </w:lvl>
  </w:abstractNum>
  <w:abstractNum w:abstractNumId="24">
    <w:nsid w:val="F0E89278"/>
    <w:multiLevelType w:val="singleLevel"/>
    <w:tmpl w:val="F0E89278"/>
    <w:lvl w:ilvl="0" w:tentative="0">
      <w:start w:val="1"/>
      <w:numFmt w:val="bullet"/>
      <w:lvlText w:val=""/>
      <w:lvlJc w:val="left"/>
      <w:pPr>
        <w:tabs>
          <w:tab w:val="left" w:pos="900"/>
        </w:tabs>
        <w:ind w:left="540" w:hanging="360"/>
      </w:pPr>
      <w:rPr>
        <w:rFonts w:hint="default" w:ascii="Symbol" w:hAnsi="Symbol"/>
      </w:rPr>
    </w:lvl>
  </w:abstractNum>
  <w:abstractNum w:abstractNumId="25">
    <w:nsid w:val="F4B5D9F5"/>
    <w:multiLevelType w:val="singleLevel"/>
    <w:tmpl w:val="F4B5D9F5"/>
    <w:lvl w:ilvl="0" w:tentative="0">
      <w:start w:val="5"/>
      <w:numFmt w:val="decimal"/>
      <w:lvlText w:val="%1."/>
      <w:lvlJc w:val="left"/>
      <w:pPr>
        <w:tabs>
          <w:tab w:val="left" w:pos="900"/>
        </w:tabs>
        <w:ind w:left="540" w:hanging="360"/>
      </w:pPr>
    </w:lvl>
  </w:abstractNum>
  <w:abstractNum w:abstractNumId="26">
    <w:nsid w:val="F689643B"/>
    <w:multiLevelType w:val="multilevel"/>
    <w:tmpl w:val="F689643B"/>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27">
    <w:nsid w:val="F7735DC9"/>
    <w:multiLevelType w:val="singleLevel"/>
    <w:tmpl w:val="F7735DC9"/>
    <w:lvl w:ilvl="0" w:tentative="0">
      <w:start w:val="1"/>
      <w:numFmt w:val="decimal"/>
      <w:lvlText w:val="%1."/>
      <w:lvlJc w:val="left"/>
      <w:pPr>
        <w:tabs>
          <w:tab w:val="left" w:pos="900"/>
        </w:tabs>
        <w:ind w:left="540" w:hanging="360"/>
      </w:pPr>
    </w:lvl>
  </w:abstractNum>
  <w:abstractNum w:abstractNumId="28">
    <w:nsid w:val="FEC2EA36"/>
    <w:multiLevelType w:val="singleLevel"/>
    <w:tmpl w:val="FEC2EA36"/>
    <w:lvl w:ilvl="0" w:tentative="0">
      <w:start w:val="1"/>
      <w:numFmt w:val="decimal"/>
      <w:lvlText w:val="%1."/>
      <w:lvlJc w:val="left"/>
      <w:pPr>
        <w:tabs>
          <w:tab w:val="left" w:pos="900"/>
        </w:tabs>
        <w:ind w:left="540" w:hanging="360"/>
      </w:pPr>
    </w:lvl>
  </w:abstractNum>
  <w:abstractNum w:abstractNumId="29">
    <w:nsid w:val="0053208E"/>
    <w:multiLevelType w:val="singleLevel"/>
    <w:tmpl w:val="0053208E"/>
    <w:lvl w:ilvl="0" w:tentative="0">
      <w:start w:val="1"/>
      <w:numFmt w:val="decimal"/>
      <w:lvlText w:val="%1."/>
      <w:lvlJc w:val="left"/>
      <w:pPr>
        <w:tabs>
          <w:tab w:val="left" w:pos="900"/>
        </w:tabs>
        <w:ind w:left="540" w:hanging="360"/>
      </w:pPr>
    </w:lvl>
  </w:abstractNum>
  <w:abstractNum w:abstractNumId="30">
    <w:nsid w:val="0248C179"/>
    <w:multiLevelType w:val="singleLevel"/>
    <w:tmpl w:val="0248C179"/>
    <w:lvl w:ilvl="0" w:tentative="0">
      <w:start w:val="3"/>
      <w:numFmt w:val="decimal"/>
      <w:lvlText w:val="%1."/>
      <w:lvlJc w:val="left"/>
      <w:pPr>
        <w:tabs>
          <w:tab w:val="left" w:pos="900"/>
        </w:tabs>
        <w:ind w:left="540" w:hanging="360"/>
      </w:pPr>
    </w:lvl>
  </w:abstractNum>
  <w:abstractNum w:abstractNumId="31">
    <w:nsid w:val="03A63A41"/>
    <w:multiLevelType w:val="singleLevel"/>
    <w:tmpl w:val="03A63A41"/>
    <w:lvl w:ilvl="0" w:tentative="0">
      <w:start w:val="1"/>
      <w:numFmt w:val="bullet"/>
      <w:lvlText w:val=""/>
      <w:lvlJc w:val="left"/>
      <w:pPr>
        <w:tabs>
          <w:tab w:val="left" w:pos="900"/>
        </w:tabs>
        <w:ind w:left="540" w:hanging="360"/>
      </w:pPr>
      <w:rPr>
        <w:rFonts w:hint="default" w:ascii="Symbol" w:hAnsi="Symbol"/>
      </w:rPr>
    </w:lvl>
  </w:abstractNum>
  <w:abstractNum w:abstractNumId="32">
    <w:nsid w:val="03D62ECE"/>
    <w:multiLevelType w:val="singleLevel"/>
    <w:tmpl w:val="03D62ECE"/>
    <w:lvl w:ilvl="0" w:tentative="0">
      <w:start w:val="1"/>
      <w:numFmt w:val="decimal"/>
      <w:lvlText w:val="%1."/>
      <w:lvlJc w:val="left"/>
      <w:pPr>
        <w:tabs>
          <w:tab w:val="left" w:pos="900"/>
        </w:tabs>
        <w:ind w:left="540" w:hanging="360"/>
      </w:pPr>
    </w:lvl>
  </w:abstractNum>
  <w:abstractNum w:abstractNumId="33">
    <w:nsid w:val="0709FD3E"/>
    <w:multiLevelType w:val="singleLevel"/>
    <w:tmpl w:val="0709FD3E"/>
    <w:lvl w:ilvl="0" w:tentative="0">
      <w:start w:val="1"/>
      <w:numFmt w:val="bullet"/>
      <w:lvlText w:val=""/>
      <w:lvlJc w:val="left"/>
      <w:pPr>
        <w:tabs>
          <w:tab w:val="left" w:pos="900"/>
        </w:tabs>
        <w:ind w:left="540" w:hanging="360"/>
      </w:pPr>
      <w:rPr>
        <w:rFonts w:hint="default" w:ascii="Symbol" w:hAnsi="Symbol"/>
      </w:rPr>
    </w:lvl>
  </w:abstractNum>
  <w:abstractNum w:abstractNumId="34">
    <w:nsid w:val="0CEF100B"/>
    <w:multiLevelType w:val="singleLevel"/>
    <w:tmpl w:val="0CEF100B"/>
    <w:lvl w:ilvl="0" w:tentative="0">
      <w:start w:val="1"/>
      <w:numFmt w:val="decimal"/>
      <w:lvlText w:val="%1."/>
      <w:lvlJc w:val="left"/>
      <w:pPr>
        <w:tabs>
          <w:tab w:val="left" w:pos="900"/>
        </w:tabs>
        <w:ind w:left="540" w:hanging="360"/>
      </w:pPr>
    </w:lvl>
  </w:abstractNum>
  <w:abstractNum w:abstractNumId="35">
    <w:nsid w:val="0E640482"/>
    <w:multiLevelType w:val="singleLevel"/>
    <w:tmpl w:val="0E640482"/>
    <w:lvl w:ilvl="0" w:tentative="0">
      <w:start w:val="1"/>
      <w:numFmt w:val="bullet"/>
      <w:lvlText w:val=""/>
      <w:lvlJc w:val="left"/>
      <w:pPr>
        <w:tabs>
          <w:tab w:val="left" w:pos="900"/>
        </w:tabs>
        <w:ind w:left="540" w:hanging="360"/>
      </w:pPr>
      <w:rPr>
        <w:rFonts w:hint="default" w:ascii="Symbol" w:hAnsi="Symbol"/>
      </w:rPr>
    </w:lvl>
  </w:abstractNum>
  <w:abstractNum w:abstractNumId="36">
    <w:nsid w:val="0F9F9CCA"/>
    <w:multiLevelType w:val="singleLevel"/>
    <w:tmpl w:val="0F9F9CCA"/>
    <w:lvl w:ilvl="0" w:tentative="0">
      <w:start w:val="1"/>
      <w:numFmt w:val="bullet"/>
      <w:lvlText w:val=""/>
      <w:lvlJc w:val="left"/>
      <w:pPr>
        <w:tabs>
          <w:tab w:val="left" w:pos="900"/>
        </w:tabs>
        <w:ind w:left="540" w:hanging="360"/>
      </w:pPr>
      <w:rPr>
        <w:rFonts w:hint="default" w:ascii="Symbol" w:hAnsi="Symbol"/>
      </w:rPr>
    </w:lvl>
  </w:abstractNum>
  <w:abstractNum w:abstractNumId="37">
    <w:nsid w:val="12EADF99"/>
    <w:multiLevelType w:val="singleLevel"/>
    <w:tmpl w:val="12EADF99"/>
    <w:lvl w:ilvl="0" w:tentative="0">
      <w:start w:val="1"/>
      <w:numFmt w:val="bullet"/>
      <w:lvlText w:val=""/>
      <w:lvlJc w:val="left"/>
      <w:pPr>
        <w:tabs>
          <w:tab w:val="left" w:pos="900"/>
        </w:tabs>
        <w:ind w:left="540" w:hanging="360"/>
      </w:pPr>
      <w:rPr>
        <w:rFonts w:hint="default" w:ascii="Symbol" w:hAnsi="Symbol"/>
      </w:rPr>
    </w:lvl>
  </w:abstractNum>
  <w:abstractNum w:abstractNumId="38">
    <w:nsid w:val="1ACDE60F"/>
    <w:multiLevelType w:val="singleLevel"/>
    <w:tmpl w:val="1ACDE60F"/>
    <w:lvl w:ilvl="0" w:tentative="0">
      <w:start w:val="3"/>
      <w:numFmt w:val="decimal"/>
      <w:lvlText w:val="%1."/>
      <w:lvlJc w:val="left"/>
      <w:pPr>
        <w:tabs>
          <w:tab w:val="left" w:pos="900"/>
        </w:tabs>
        <w:ind w:left="540" w:hanging="360"/>
      </w:pPr>
    </w:lvl>
  </w:abstractNum>
  <w:abstractNum w:abstractNumId="39">
    <w:nsid w:val="1C257C7B"/>
    <w:multiLevelType w:val="singleLevel"/>
    <w:tmpl w:val="1C257C7B"/>
    <w:lvl w:ilvl="0" w:tentative="0">
      <w:start w:val="1"/>
      <w:numFmt w:val="bullet"/>
      <w:lvlText w:val=""/>
      <w:lvlJc w:val="left"/>
      <w:pPr>
        <w:tabs>
          <w:tab w:val="left" w:pos="900"/>
        </w:tabs>
        <w:ind w:left="540" w:hanging="360"/>
      </w:pPr>
      <w:rPr>
        <w:rFonts w:hint="default" w:ascii="Symbol" w:hAnsi="Symbol"/>
      </w:rPr>
    </w:lvl>
  </w:abstractNum>
  <w:abstractNum w:abstractNumId="40">
    <w:nsid w:val="23E97754"/>
    <w:multiLevelType w:val="singleLevel"/>
    <w:tmpl w:val="23E97754"/>
    <w:lvl w:ilvl="0" w:tentative="0">
      <w:start w:val="1"/>
      <w:numFmt w:val="decimal"/>
      <w:lvlText w:val="%1."/>
      <w:lvlJc w:val="left"/>
      <w:pPr>
        <w:tabs>
          <w:tab w:val="left" w:pos="900"/>
        </w:tabs>
        <w:ind w:left="540" w:hanging="360"/>
      </w:pPr>
    </w:lvl>
  </w:abstractNum>
  <w:abstractNum w:abstractNumId="41">
    <w:nsid w:val="243FCF68"/>
    <w:multiLevelType w:val="singleLevel"/>
    <w:tmpl w:val="243FCF68"/>
    <w:lvl w:ilvl="0" w:tentative="0">
      <w:start w:val="4"/>
      <w:numFmt w:val="decimal"/>
      <w:lvlText w:val="%1."/>
      <w:lvlJc w:val="left"/>
      <w:pPr>
        <w:tabs>
          <w:tab w:val="left" w:pos="900"/>
        </w:tabs>
        <w:ind w:left="540" w:hanging="360"/>
      </w:pPr>
    </w:lvl>
  </w:abstractNum>
  <w:abstractNum w:abstractNumId="42">
    <w:nsid w:val="2470EC97"/>
    <w:multiLevelType w:val="singleLevel"/>
    <w:tmpl w:val="2470EC97"/>
    <w:lvl w:ilvl="0" w:tentative="0">
      <w:start w:val="6"/>
      <w:numFmt w:val="decimal"/>
      <w:lvlText w:val="%1."/>
      <w:lvlJc w:val="left"/>
      <w:pPr>
        <w:tabs>
          <w:tab w:val="left" w:pos="900"/>
        </w:tabs>
        <w:ind w:left="540" w:hanging="360"/>
      </w:pPr>
    </w:lvl>
  </w:abstractNum>
  <w:abstractNum w:abstractNumId="43">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44">
    <w:nsid w:val="2A8F537B"/>
    <w:multiLevelType w:val="singleLevel"/>
    <w:tmpl w:val="2A8F537B"/>
    <w:lvl w:ilvl="0" w:tentative="0">
      <w:start w:val="1"/>
      <w:numFmt w:val="decimal"/>
      <w:lvlText w:val="%1."/>
      <w:lvlJc w:val="left"/>
      <w:pPr>
        <w:tabs>
          <w:tab w:val="left" w:pos="900"/>
        </w:tabs>
        <w:ind w:left="540" w:hanging="360"/>
      </w:pPr>
    </w:lvl>
  </w:abstractNum>
  <w:abstractNum w:abstractNumId="45">
    <w:nsid w:val="30A0AC00"/>
    <w:multiLevelType w:val="singleLevel"/>
    <w:tmpl w:val="30A0AC00"/>
    <w:lvl w:ilvl="0" w:tentative="0">
      <w:start w:val="1"/>
      <w:numFmt w:val="bullet"/>
      <w:lvlText w:val=""/>
      <w:lvlJc w:val="left"/>
      <w:pPr>
        <w:tabs>
          <w:tab w:val="left" w:pos="900"/>
        </w:tabs>
        <w:ind w:left="540" w:hanging="360"/>
      </w:pPr>
      <w:rPr>
        <w:rFonts w:hint="default" w:ascii="Symbol" w:hAnsi="Symbol"/>
      </w:rPr>
    </w:lvl>
  </w:abstractNum>
  <w:abstractNum w:abstractNumId="46">
    <w:nsid w:val="30FC5B15"/>
    <w:multiLevelType w:val="singleLevel"/>
    <w:tmpl w:val="30FC5B15"/>
    <w:lvl w:ilvl="0" w:tentative="0">
      <w:start w:val="2"/>
      <w:numFmt w:val="decimal"/>
      <w:lvlText w:val="%1."/>
      <w:lvlJc w:val="left"/>
      <w:pPr>
        <w:tabs>
          <w:tab w:val="left" w:pos="900"/>
        </w:tabs>
        <w:ind w:left="540" w:hanging="360"/>
      </w:pPr>
    </w:lvl>
  </w:abstractNum>
  <w:abstractNum w:abstractNumId="47">
    <w:nsid w:val="322D85CA"/>
    <w:multiLevelType w:val="singleLevel"/>
    <w:tmpl w:val="322D85CA"/>
    <w:lvl w:ilvl="0" w:tentative="0">
      <w:start w:val="1"/>
      <w:numFmt w:val="bullet"/>
      <w:lvlText w:val=""/>
      <w:lvlJc w:val="left"/>
      <w:pPr>
        <w:tabs>
          <w:tab w:val="left" w:pos="900"/>
        </w:tabs>
        <w:ind w:left="540" w:hanging="360"/>
      </w:pPr>
      <w:rPr>
        <w:rFonts w:hint="default" w:ascii="Symbol" w:hAnsi="Symbol"/>
      </w:rPr>
    </w:lvl>
  </w:abstractNum>
  <w:abstractNum w:abstractNumId="48">
    <w:nsid w:val="32A7AF2D"/>
    <w:multiLevelType w:val="singleLevel"/>
    <w:tmpl w:val="32A7AF2D"/>
    <w:lvl w:ilvl="0" w:tentative="0">
      <w:start w:val="1"/>
      <w:numFmt w:val="bullet"/>
      <w:lvlText w:val=""/>
      <w:lvlJc w:val="left"/>
      <w:pPr>
        <w:tabs>
          <w:tab w:val="left" w:pos="900"/>
        </w:tabs>
        <w:ind w:left="540" w:hanging="360"/>
      </w:pPr>
      <w:rPr>
        <w:rFonts w:hint="default" w:ascii="Symbol" w:hAnsi="Symbol"/>
      </w:rPr>
    </w:lvl>
  </w:abstractNum>
  <w:abstractNum w:abstractNumId="49">
    <w:nsid w:val="35E83B33"/>
    <w:multiLevelType w:val="singleLevel"/>
    <w:tmpl w:val="35E83B33"/>
    <w:lvl w:ilvl="0" w:tentative="0">
      <w:start w:val="2"/>
      <w:numFmt w:val="decimal"/>
      <w:lvlText w:val="%1."/>
      <w:lvlJc w:val="left"/>
      <w:pPr>
        <w:tabs>
          <w:tab w:val="left" w:pos="900"/>
        </w:tabs>
        <w:ind w:left="540" w:hanging="360"/>
      </w:pPr>
    </w:lvl>
  </w:abstractNum>
  <w:abstractNum w:abstractNumId="50">
    <w:nsid w:val="39A0D9AC"/>
    <w:multiLevelType w:val="multilevel"/>
    <w:tmpl w:val="39A0D9AC"/>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51">
    <w:nsid w:val="3B8127DF"/>
    <w:multiLevelType w:val="singleLevel"/>
    <w:tmpl w:val="3B8127DF"/>
    <w:lvl w:ilvl="0" w:tentative="0">
      <w:start w:val="1"/>
      <w:numFmt w:val="decimal"/>
      <w:lvlText w:val="%1."/>
      <w:lvlJc w:val="left"/>
      <w:pPr>
        <w:tabs>
          <w:tab w:val="left" w:pos="900"/>
        </w:tabs>
        <w:ind w:left="540" w:hanging="360"/>
      </w:pPr>
    </w:lvl>
  </w:abstractNum>
  <w:abstractNum w:abstractNumId="52">
    <w:nsid w:val="40B249F9"/>
    <w:multiLevelType w:val="singleLevel"/>
    <w:tmpl w:val="40B249F9"/>
    <w:lvl w:ilvl="0" w:tentative="0">
      <w:start w:val="1"/>
      <w:numFmt w:val="decimal"/>
      <w:lvlText w:val="%1."/>
      <w:lvlJc w:val="left"/>
      <w:pPr>
        <w:tabs>
          <w:tab w:val="left" w:pos="900"/>
        </w:tabs>
        <w:ind w:left="540" w:hanging="360"/>
      </w:pPr>
    </w:lvl>
  </w:abstractNum>
  <w:abstractNum w:abstractNumId="53">
    <w:nsid w:val="46A08BB8"/>
    <w:multiLevelType w:val="singleLevel"/>
    <w:tmpl w:val="46A08BB8"/>
    <w:lvl w:ilvl="0" w:tentative="0">
      <w:start w:val="3"/>
      <w:numFmt w:val="decimal"/>
      <w:lvlText w:val="%1."/>
      <w:lvlJc w:val="left"/>
      <w:pPr>
        <w:tabs>
          <w:tab w:val="left" w:pos="900"/>
        </w:tabs>
        <w:ind w:left="540" w:hanging="360"/>
      </w:pPr>
    </w:lvl>
  </w:abstractNum>
  <w:abstractNum w:abstractNumId="54">
    <w:nsid w:val="4C1BAE26"/>
    <w:multiLevelType w:val="singleLevel"/>
    <w:tmpl w:val="4C1BAE26"/>
    <w:lvl w:ilvl="0" w:tentative="0">
      <w:start w:val="1"/>
      <w:numFmt w:val="bullet"/>
      <w:lvlText w:val=""/>
      <w:lvlJc w:val="left"/>
      <w:pPr>
        <w:tabs>
          <w:tab w:val="left" w:pos="900"/>
        </w:tabs>
        <w:ind w:left="540" w:hanging="360"/>
      </w:pPr>
      <w:rPr>
        <w:rFonts w:hint="default" w:ascii="Symbol" w:hAnsi="Symbol"/>
      </w:rPr>
    </w:lvl>
  </w:abstractNum>
  <w:abstractNum w:abstractNumId="55">
    <w:nsid w:val="4C3D7A74"/>
    <w:multiLevelType w:val="singleLevel"/>
    <w:tmpl w:val="4C3D7A74"/>
    <w:lvl w:ilvl="0" w:tentative="0">
      <w:start w:val="2"/>
      <w:numFmt w:val="decimal"/>
      <w:lvlText w:val="%1."/>
      <w:lvlJc w:val="left"/>
      <w:pPr>
        <w:tabs>
          <w:tab w:val="left" w:pos="900"/>
        </w:tabs>
        <w:ind w:left="540" w:hanging="360"/>
      </w:pPr>
    </w:lvl>
  </w:abstractNum>
  <w:abstractNum w:abstractNumId="56">
    <w:nsid w:val="4D4DC07F"/>
    <w:multiLevelType w:val="singleLevel"/>
    <w:tmpl w:val="4D4DC07F"/>
    <w:lvl w:ilvl="0" w:tentative="0">
      <w:start w:val="4"/>
      <w:numFmt w:val="decimal"/>
      <w:lvlText w:val="%1."/>
      <w:lvlJc w:val="left"/>
      <w:pPr>
        <w:tabs>
          <w:tab w:val="left" w:pos="900"/>
        </w:tabs>
        <w:ind w:left="540" w:hanging="360"/>
      </w:pPr>
    </w:lvl>
  </w:abstractNum>
  <w:abstractNum w:abstractNumId="57">
    <w:nsid w:val="4D94DA66"/>
    <w:multiLevelType w:val="multilevel"/>
    <w:tmpl w:val="4D94DA66"/>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58">
    <w:nsid w:val="58765686"/>
    <w:multiLevelType w:val="singleLevel"/>
    <w:tmpl w:val="58765686"/>
    <w:lvl w:ilvl="0" w:tentative="0">
      <w:start w:val="2"/>
      <w:numFmt w:val="decimal"/>
      <w:lvlText w:val="%1."/>
      <w:lvlJc w:val="left"/>
      <w:pPr>
        <w:tabs>
          <w:tab w:val="left" w:pos="900"/>
        </w:tabs>
        <w:ind w:left="540" w:hanging="360"/>
      </w:pPr>
    </w:lvl>
  </w:abstractNum>
  <w:abstractNum w:abstractNumId="59">
    <w:nsid w:val="59ADCABA"/>
    <w:multiLevelType w:val="singleLevel"/>
    <w:tmpl w:val="59ADCABA"/>
    <w:lvl w:ilvl="0" w:tentative="0">
      <w:start w:val="2"/>
      <w:numFmt w:val="decimal"/>
      <w:lvlText w:val="%1."/>
      <w:lvlJc w:val="left"/>
      <w:pPr>
        <w:tabs>
          <w:tab w:val="left" w:pos="900"/>
        </w:tabs>
        <w:ind w:left="540" w:hanging="360"/>
      </w:pPr>
    </w:lvl>
  </w:abstractNum>
  <w:abstractNum w:abstractNumId="60">
    <w:nsid w:val="5A241D34"/>
    <w:multiLevelType w:val="singleLevel"/>
    <w:tmpl w:val="5A241D34"/>
    <w:lvl w:ilvl="0" w:tentative="0">
      <w:start w:val="2"/>
      <w:numFmt w:val="decimal"/>
      <w:lvlText w:val="%1."/>
      <w:lvlJc w:val="left"/>
      <w:pPr>
        <w:tabs>
          <w:tab w:val="left" w:pos="900"/>
        </w:tabs>
        <w:ind w:left="540" w:hanging="360"/>
      </w:pPr>
    </w:lvl>
  </w:abstractNum>
  <w:abstractNum w:abstractNumId="61">
    <w:nsid w:val="5E29AB5A"/>
    <w:multiLevelType w:val="singleLevel"/>
    <w:tmpl w:val="5E29AB5A"/>
    <w:lvl w:ilvl="0" w:tentative="0">
      <w:start w:val="1"/>
      <w:numFmt w:val="bullet"/>
      <w:lvlText w:val=""/>
      <w:lvlJc w:val="left"/>
      <w:pPr>
        <w:tabs>
          <w:tab w:val="left" w:pos="900"/>
        </w:tabs>
        <w:ind w:left="540" w:hanging="360"/>
      </w:pPr>
      <w:rPr>
        <w:rFonts w:hint="default" w:ascii="Symbol" w:hAnsi="Symbol"/>
      </w:rPr>
    </w:lvl>
  </w:abstractNum>
  <w:abstractNum w:abstractNumId="62">
    <w:nsid w:val="5FFFB1A7"/>
    <w:multiLevelType w:val="singleLevel"/>
    <w:tmpl w:val="5FFFB1A7"/>
    <w:lvl w:ilvl="0" w:tentative="0">
      <w:start w:val="1"/>
      <w:numFmt w:val="decimal"/>
      <w:lvlText w:val="%1."/>
      <w:lvlJc w:val="left"/>
      <w:pPr>
        <w:tabs>
          <w:tab w:val="left" w:pos="900"/>
        </w:tabs>
        <w:ind w:left="540" w:hanging="360"/>
      </w:pPr>
    </w:lvl>
  </w:abstractNum>
  <w:abstractNum w:abstractNumId="63">
    <w:nsid w:val="60382F6E"/>
    <w:multiLevelType w:val="singleLevel"/>
    <w:tmpl w:val="60382F6E"/>
    <w:lvl w:ilvl="0" w:tentative="0">
      <w:start w:val="2"/>
      <w:numFmt w:val="decimal"/>
      <w:lvlText w:val="%1."/>
      <w:lvlJc w:val="left"/>
      <w:pPr>
        <w:tabs>
          <w:tab w:val="left" w:pos="900"/>
        </w:tabs>
        <w:ind w:left="540" w:hanging="360"/>
      </w:pPr>
    </w:lvl>
  </w:abstractNum>
  <w:abstractNum w:abstractNumId="64">
    <w:nsid w:val="629F7852"/>
    <w:multiLevelType w:val="singleLevel"/>
    <w:tmpl w:val="629F7852"/>
    <w:lvl w:ilvl="0" w:tentative="0">
      <w:start w:val="1"/>
      <w:numFmt w:val="bullet"/>
      <w:lvlText w:val=""/>
      <w:lvlJc w:val="left"/>
      <w:pPr>
        <w:tabs>
          <w:tab w:val="left" w:pos="900"/>
        </w:tabs>
        <w:ind w:left="540" w:hanging="360"/>
      </w:pPr>
      <w:rPr>
        <w:rFonts w:hint="default" w:ascii="Symbol" w:hAnsi="Symbol"/>
      </w:rPr>
    </w:lvl>
  </w:abstractNum>
  <w:abstractNum w:abstractNumId="65">
    <w:nsid w:val="65CD0074"/>
    <w:multiLevelType w:val="singleLevel"/>
    <w:tmpl w:val="65CD0074"/>
    <w:lvl w:ilvl="0" w:tentative="0">
      <w:start w:val="3"/>
      <w:numFmt w:val="decimal"/>
      <w:lvlText w:val="%1."/>
      <w:lvlJc w:val="left"/>
      <w:pPr>
        <w:tabs>
          <w:tab w:val="left" w:pos="900"/>
        </w:tabs>
        <w:ind w:left="540" w:hanging="360"/>
      </w:pPr>
    </w:lvl>
  </w:abstractNum>
  <w:abstractNum w:abstractNumId="66">
    <w:nsid w:val="72183CF9"/>
    <w:multiLevelType w:val="singleLevel"/>
    <w:tmpl w:val="72183CF9"/>
    <w:lvl w:ilvl="0" w:tentative="0">
      <w:start w:val="2"/>
      <w:numFmt w:val="decimal"/>
      <w:lvlText w:val="%1."/>
      <w:lvlJc w:val="left"/>
      <w:pPr>
        <w:tabs>
          <w:tab w:val="left" w:pos="900"/>
        </w:tabs>
        <w:ind w:left="540" w:hanging="360"/>
      </w:pPr>
    </w:lvl>
  </w:abstractNum>
  <w:abstractNum w:abstractNumId="67">
    <w:nsid w:val="74C28B35"/>
    <w:multiLevelType w:val="singleLevel"/>
    <w:tmpl w:val="74C28B35"/>
    <w:lvl w:ilvl="0" w:tentative="0">
      <w:start w:val="1"/>
      <w:numFmt w:val="bullet"/>
      <w:lvlText w:val=""/>
      <w:lvlJc w:val="left"/>
      <w:pPr>
        <w:tabs>
          <w:tab w:val="left" w:pos="900"/>
        </w:tabs>
        <w:ind w:left="540" w:hanging="360"/>
      </w:pPr>
      <w:rPr>
        <w:rFonts w:hint="default" w:ascii="Symbol" w:hAnsi="Symbol"/>
      </w:rPr>
    </w:lvl>
  </w:abstractNum>
  <w:abstractNum w:abstractNumId="68">
    <w:nsid w:val="77ECEA79"/>
    <w:multiLevelType w:val="singleLevel"/>
    <w:tmpl w:val="77ECEA79"/>
    <w:lvl w:ilvl="0" w:tentative="0">
      <w:start w:val="1"/>
      <w:numFmt w:val="bullet"/>
      <w:lvlText w:val=""/>
      <w:lvlJc w:val="left"/>
      <w:pPr>
        <w:tabs>
          <w:tab w:val="left" w:pos="900"/>
        </w:tabs>
        <w:ind w:left="540" w:hanging="360"/>
      </w:pPr>
      <w:rPr>
        <w:rFonts w:hint="default" w:ascii="Symbol" w:hAnsi="Symbol"/>
      </w:rPr>
    </w:lvl>
  </w:abstractNum>
  <w:abstractNum w:abstractNumId="69">
    <w:nsid w:val="79AA4FA4"/>
    <w:multiLevelType w:val="singleLevel"/>
    <w:tmpl w:val="79AA4FA4"/>
    <w:lvl w:ilvl="0" w:tentative="0">
      <w:start w:val="1"/>
      <w:numFmt w:val="bullet"/>
      <w:lvlText w:val=""/>
      <w:lvlJc w:val="left"/>
      <w:pPr>
        <w:tabs>
          <w:tab w:val="left" w:pos="900"/>
        </w:tabs>
        <w:ind w:left="540" w:hanging="360"/>
      </w:pPr>
      <w:rPr>
        <w:rFonts w:hint="default" w:ascii="Symbol" w:hAnsi="Symbol"/>
      </w:rPr>
    </w:lvl>
  </w:abstractNum>
  <w:abstractNum w:abstractNumId="70">
    <w:nsid w:val="7C246926"/>
    <w:multiLevelType w:val="singleLevel"/>
    <w:tmpl w:val="7C246926"/>
    <w:lvl w:ilvl="0" w:tentative="0">
      <w:start w:val="1"/>
      <w:numFmt w:val="decimal"/>
      <w:lvlText w:val="%1."/>
      <w:lvlJc w:val="left"/>
      <w:pPr>
        <w:tabs>
          <w:tab w:val="left" w:pos="900"/>
        </w:tabs>
        <w:ind w:left="540" w:hanging="360"/>
      </w:pPr>
    </w:lvl>
  </w:abstractNum>
  <w:abstractNum w:abstractNumId="71">
    <w:nsid w:val="7DEC2089"/>
    <w:multiLevelType w:val="singleLevel"/>
    <w:tmpl w:val="7DEC2089"/>
    <w:lvl w:ilvl="0" w:tentative="0">
      <w:start w:val="3"/>
      <w:numFmt w:val="decimal"/>
      <w:lvlText w:val="%1."/>
      <w:lvlJc w:val="left"/>
      <w:pPr>
        <w:tabs>
          <w:tab w:val="left" w:pos="900"/>
        </w:tabs>
        <w:ind w:left="540" w:hanging="360"/>
      </w:pPr>
    </w:lvl>
  </w:abstractNum>
  <w:num w:numId="1">
    <w:abstractNumId w:val="29"/>
  </w:num>
  <w:num w:numId="2">
    <w:abstractNumId w:val="19"/>
  </w:num>
  <w:num w:numId="3">
    <w:abstractNumId w:val="59"/>
  </w:num>
  <w:num w:numId="4">
    <w:abstractNumId w:val="16"/>
  </w:num>
  <w:num w:numId="5">
    <w:abstractNumId w:val="12"/>
  </w:num>
  <w:num w:numId="6">
    <w:abstractNumId w:val="32"/>
  </w:num>
  <w:num w:numId="7">
    <w:abstractNumId w:val="43"/>
  </w:num>
  <w:num w:numId="8">
    <w:abstractNumId w:val="66"/>
  </w:num>
  <w:num w:numId="9">
    <w:abstractNumId w:val="30"/>
  </w:num>
  <w:num w:numId="10">
    <w:abstractNumId w:val="5"/>
  </w:num>
  <w:num w:numId="11">
    <w:abstractNumId w:val="44"/>
  </w:num>
  <w:num w:numId="12">
    <w:abstractNumId w:val="60"/>
  </w:num>
  <w:num w:numId="13">
    <w:abstractNumId w:val="18"/>
  </w:num>
  <w:num w:numId="14">
    <w:abstractNumId w:val="56"/>
  </w:num>
  <w:num w:numId="15">
    <w:abstractNumId w:val="25"/>
  </w:num>
  <w:num w:numId="16">
    <w:abstractNumId w:val="42"/>
  </w:num>
  <w:num w:numId="17">
    <w:abstractNumId w:val="22"/>
  </w:num>
  <w:num w:numId="18">
    <w:abstractNumId w:val="21"/>
  </w:num>
  <w:num w:numId="19">
    <w:abstractNumId w:val="7"/>
  </w:num>
  <w:num w:numId="20">
    <w:abstractNumId w:val="54"/>
  </w:num>
  <w:num w:numId="21">
    <w:abstractNumId w:val="63"/>
  </w:num>
  <w:num w:numId="22">
    <w:abstractNumId w:val="35"/>
  </w:num>
  <w:num w:numId="23">
    <w:abstractNumId w:val="53"/>
  </w:num>
  <w:num w:numId="24">
    <w:abstractNumId w:val="9"/>
  </w:num>
  <w:num w:numId="25">
    <w:abstractNumId w:val="70"/>
  </w:num>
  <w:num w:numId="26">
    <w:abstractNumId w:val="68"/>
  </w:num>
  <w:num w:numId="27">
    <w:abstractNumId w:val="15"/>
  </w:num>
  <w:num w:numId="28">
    <w:abstractNumId w:val="64"/>
  </w:num>
  <w:num w:numId="29">
    <w:abstractNumId w:val="6"/>
  </w:num>
  <w:num w:numId="30">
    <w:abstractNumId w:val="50"/>
  </w:num>
  <w:num w:numId="31">
    <w:abstractNumId w:val="2"/>
  </w:num>
  <w:num w:numId="32">
    <w:abstractNumId w:val="58"/>
  </w:num>
  <w:num w:numId="33">
    <w:abstractNumId w:val="71"/>
  </w:num>
  <w:num w:numId="34">
    <w:abstractNumId w:val="0"/>
  </w:num>
  <w:num w:numId="35">
    <w:abstractNumId w:val="41"/>
  </w:num>
  <w:num w:numId="36">
    <w:abstractNumId w:val="57"/>
  </w:num>
  <w:num w:numId="37">
    <w:abstractNumId w:val="27"/>
  </w:num>
  <w:num w:numId="38">
    <w:abstractNumId w:val="23"/>
  </w:num>
  <w:num w:numId="39">
    <w:abstractNumId w:val="46"/>
  </w:num>
  <w:num w:numId="40">
    <w:abstractNumId w:val="69"/>
  </w:num>
  <w:num w:numId="41">
    <w:abstractNumId w:val="14"/>
  </w:num>
  <w:num w:numId="42">
    <w:abstractNumId w:val="4"/>
  </w:num>
  <w:num w:numId="43">
    <w:abstractNumId w:val="13"/>
  </w:num>
  <w:num w:numId="44">
    <w:abstractNumId w:val="61"/>
  </w:num>
  <w:num w:numId="45">
    <w:abstractNumId w:val="1"/>
  </w:num>
  <w:num w:numId="46">
    <w:abstractNumId w:val="38"/>
  </w:num>
  <w:num w:numId="47">
    <w:abstractNumId w:val="3"/>
  </w:num>
  <w:num w:numId="48">
    <w:abstractNumId w:val="62"/>
  </w:num>
  <w:num w:numId="49">
    <w:abstractNumId w:val="67"/>
  </w:num>
  <w:num w:numId="50">
    <w:abstractNumId w:val="55"/>
  </w:num>
  <w:num w:numId="51">
    <w:abstractNumId w:val="47"/>
  </w:num>
  <w:num w:numId="52">
    <w:abstractNumId w:val="65"/>
  </w:num>
  <w:num w:numId="53">
    <w:abstractNumId w:val="33"/>
  </w:num>
  <w:num w:numId="54">
    <w:abstractNumId w:val="34"/>
  </w:num>
  <w:num w:numId="55">
    <w:abstractNumId w:val="20"/>
  </w:num>
  <w:num w:numId="56">
    <w:abstractNumId w:val="48"/>
  </w:num>
  <w:num w:numId="57">
    <w:abstractNumId w:val="39"/>
  </w:num>
  <w:num w:numId="58">
    <w:abstractNumId w:val="24"/>
  </w:num>
  <w:num w:numId="59">
    <w:abstractNumId w:val="40"/>
  </w:num>
  <w:num w:numId="60">
    <w:abstractNumId w:val="11"/>
  </w:num>
  <w:num w:numId="61">
    <w:abstractNumId w:val="52"/>
  </w:num>
  <w:num w:numId="62">
    <w:abstractNumId w:val="36"/>
  </w:num>
  <w:num w:numId="63">
    <w:abstractNumId w:val="49"/>
  </w:num>
  <w:num w:numId="64">
    <w:abstractNumId w:val="31"/>
  </w:num>
  <w:num w:numId="65">
    <w:abstractNumId w:val="17"/>
  </w:num>
  <w:num w:numId="66">
    <w:abstractNumId w:val="37"/>
  </w:num>
  <w:num w:numId="67">
    <w:abstractNumId w:val="10"/>
  </w:num>
  <w:num w:numId="68">
    <w:abstractNumId w:val="51"/>
  </w:num>
  <w:num w:numId="69">
    <w:abstractNumId w:val="8"/>
  </w:num>
  <w:num w:numId="70">
    <w:abstractNumId w:val="26"/>
  </w:num>
  <w:num w:numId="71">
    <w:abstractNumId w:val="45"/>
  </w:num>
  <w:num w:numId="7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6CD56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zh-CN" w:eastAsia="zh-CN" w:bidi="ar-SA"/>
    </w:rPr>
  </w:style>
  <w:style w:type="character" w:default="1" w:styleId="3">
    <w:name w:val="Default Paragraph Font"/>
    <w:semiHidden/>
    <w:uiPriority w:val="0"/>
  </w:style>
  <w:style w:type="table" w:default="1" w:styleId="2">
    <w:name w:val="Normal Table"/>
    <w:semiHidden/>
    <w:unhideWhenUsed/>
    <w:qFormat/>
    <w:uiPriority w:val="99"/>
    <w:tblPr>
      <w:tblCellMar>
        <w:top w:w="80" w:type="dxa"/>
        <w:left w:w="160" w:type="dxa"/>
        <w:bottom w:w="80" w:type="dxa"/>
        <w:right w:w="160" w:type="dxa"/>
      </w:tblCellMar>
    </w:tblPr>
  </w:style>
  <w:style w:type="character" w:customStyle="1" w:styleId="4">
    <w:name w:val="Verbatim Char"/>
    <w:qFormat/>
    <w:uiPriority w:val="0"/>
    <w:rPr>
      <w:rFonts w:ascii="Consolas" w:hAnsi="Consolas"/>
      <w:sz w:val="22"/>
    </w:rPr>
  </w:style>
  <w:style w:type="table" w:customStyle="1" w:styleId="5">
    <w:name w:val="Normal Grid"/>
    <w:basedOn w:val="2"/>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25</Pages>
  <Words>1057</Words>
  <Characters>1206</Characters>
  <TotalTime>0</TotalTime>
  <ScaleCrop>false</ScaleCrop>
  <LinksUpToDate>false</LinksUpToDate>
  <CharactersWithSpaces>1211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2026-01-13T05:53:00Z</dcterms:created>
  <dc:creator>html-to-docx</dc:creator>
  <cp:keywords>html-to-docx</cp:keywords>
  <cp:lastModifiedBy>dyx</cp:lastModifiedBy>
  <dcterms:modified xsi:type="dcterms:W3CDTF">2026-01-13T05:54:05Z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D545F3B7552243CCBC0BB4B3D35D7BB7_12</vt:lpwstr>
  </property>
</Properties>
</file>