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42"/>
        <w:spacing w:before="49" w:line="320" w:lineRule="auto"/>
        <w:tabs>
          <w:tab w:val="left" w:pos="158"/>
        </w:tabs>
        <w:rPr/>
      </w:pPr>
      <w:r>
        <w:rPr>
          <w:spacing w:val="2"/>
        </w:rPr>
        <w:t>自闭症谱系障碍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Autism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</w:rPr>
        <w:t>Spectrum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</w:rPr>
        <w:t>Disorder</w:t>
      </w:r>
      <w:r>
        <w:rPr>
          <w:rFonts w:ascii="SimSun" w:hAnsi="SimSun" w:eastAsia="SimSun" w:cs="SimSun"/>
          <w:spacing w:val="2"/>
        </w:rPr>
        <w:t>,</w:t>
      </w:r>
      <w:r>
        <w:rPr>
          <w:spacing w:val="2"/>
        </w:rPr>
        <w:t>以下简称</w:t>
      </w:r>
      <w:r>
        <w:rPr>
          <w:rFonts w:ascii="SimSun" w:hAnsi="SimSun" w:eastAsia="SimSun" w:cs="SimSun"/>
        </w:rPr>
        <w:t>ASD</w:t>
      </w:r>
      <w:r>
        <w:rPr>
          <w:rFonts w:ascii="SimSun" w:hAnsi="SimSun" w:eastAsia="SimSun" w:cs="SimSun"/>
          <w:spacing w:val="44"/>
        </w:rPr>
        <w:t xml:space="preserve"> </w:t>
      </w:r>
      <w:r>
        <w:rPr>
          <w:spacing w:val="2"/>
        </w:rPr>
        <w:t>或自闭症)学生在课堂中的参与度</w:t>
      </w:r>
      <w:r>
        <w:rPr/>
        <w:t xml:space="preserve"> </w:t>
      </w:r>
      <w:r>
        <w:rPr>
          <w:rFonts w:ascii="SimSun" w:hAnsi="SimSun" w:eastAsia="SimSun" w:cs="SimSun"/>
        </w:rPr>
        <w:tab/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classroom</w:t>
      </w:r>
      <w:r>
        <w:rPr>
          <w:rFonts w:ascii="SimSun" w:hAnsi="SimSun" w:eastAsia="SimSun" w:cs="SimSun"/>
          <w:spacing w:val="1"/>
        </w:rPr>
        <w:t xml:space="preserve">   </w:t>
      </w:r>
      <w:r>
        <w:rPr>
          <w:rFonts w:ascii="SimSun" w:hAnsi="SimSun" w:eastAsia="SimSun" w:cs="SimSun"/>
        </w:rPr>
        <w:t>engagement</w:t>
      </w:r>
      <w:r>
        <w:rPr>
          <w:rFonts w:ascii="SimSun" w:hAnsi="SimSun" w:eastAsia="SimSun" w:cs="SimSun"/>
          <w:spacing w:val="1"/>
        </w:rPr>
        <w:t>)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1"/>
        </w:rPr>
        <w:t>是影响其学业、社会发展和整体包容教育成效的关键指标。课</w:t>
      </w:r>
      <w:r>
        <w:rPr/>
        <w:t>堂参</w:t>
      </w:r>
      <w:r>
        <w:rPr/>
        <w:t xml:space="preserve"> </w:t>
      </w:r>
      <w:r>
        <w:rPr/>
        <w:t>与度指学生在课堂活动中表现出积极、专注、主动</w:t>
      </w:r>
      <w:r>
        <w:rPr>
          <w:spacing w:val="-1"/>
        </w:rPr>
        <w:t>的行为，包括注意听讲、回应指令、参与小组</w:t>
      </w:r>
      <w:r>
        <w:rPr/>
        <w:t xml:space="preserve">  </w:t>
      </w:r>
      <w:r>
        <w:rPr>
          <w:spacing w:val="-11"/>
        </w:rPr>
        <w:t>讨论、完成任务、与同伴互动等，而非仅仅“在场”。</w:t>
      </w:r>
    </w:p>
    <w:p>
      <w:pPr>
        <w:pStyle w:val="BodyText"/>
        <w:ind w:right="155"/>
        <w:spacing w:before="148" w:line="318" w:lineRule="auto"/>
        <w:rPr>
          <w:rFonts w:ascii="SimSun" w:hAnsi="SimSun" w:eastAsia="SimSun" w:cs="SimSun"/>
        </w:rPr>
      </w:pPr>
      <w:r>
        <w:rPr/>
        <w:t>自闭症学生的课堂参与往往面临独特挑战，但通过证据为基础的、个体化的策略，可以显</w:t>
      </w:r>
      <w:r>
        <w:rPr>
          <w:spacing w:val="-1"/>
        </w:rPr>
        <w:t>著提升</w:t>
      </w:r>
      <w:r>
        <w:rPr/>
        <w:t xml:space="preserve"> </w:t>
      </w:r>
      <w:r>
        <w:rPr>
          <w:spacing w:val="3"/>
        </w:rPr>
        <w:t>其有意义的参与水平。本报告基于近年来权威来源(如</w:t>
      </w:r>
      <w:r>
        <w:rPr>
          <w:rFonts w:ascii="SimSun" w:hAnsi="SimSun" w:eastAsia="SimSun" w:cs="SimSun"/>
        </w:rPr>
        <w:t>National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</w:rPr>
        <w:t>Professional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</w:rPr>
        <w:t>Development</w:t>
      </w:r>
    </w:p>
    <w:p>
      <w:pPr>
        <w:pStyle w:val="BodyText"/>
        <w:ind w:right="184"/>
        <w:spacing w:before="1" w:line="307" w:lineRule="auto"/>
        <w:rPr/>
      </w:pPr>
      <w:r>
        <w:rPr>
          <w:rFonts w:ascii="Times New Roman" w:hAnsi="Times New Roman" w:eastAsia="Times New Roman" w:cs="Times New Roman"/>
        </w:rPr>
        <w:t>Center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</w:rPr>
        <w:t>on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</w:rPr>
        <w:t>ASD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Times New Roman" w:hAnsi="Times New Roman" w:eastAsia="Times New Roman" w:cs="Times New Roman"/>
        </w:rPr>
        <w:t>National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</w:rPr>
        <w:t>Autism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</w:rPr>
        <w:t>Center</w:t>
      </w:r>
      <w:r>
        <w:rPr>
          <w:spacing w:val="4"/>
        </w:rPr>
        <w:t>的证据实践、系</w:t>
      </w:r>
      <w:r>
        <w:rPr>
          <w:spacing w:val="3"/>
        </w:rPr>
        <w:t>统综述及包容教育研究)总结核心障</w:t>
      </w:r>
      <w:r>
        <w:rPr/>
        <w:t xml:space="preserve"> </w:t>
      </w:r>
      <w:r>
        <w:rPr>
          <w:spacing w:val="-1"/>
        </w:rPr>
        <w:t>碍与有效策略，旨在为教师、教育支持人员及家</w:t>
      </w:r>
      <w:r>
        <w:rPr>
          <w:spacing w:val="-2"/>
        </w:rPr>
        <w:t>长提供可操作指导。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一、自闭症学生课堂参与的核心障碍</w:t>
      </w:r>
    </w:p>
    <w:p>
      <w:pPr>
        <w:pStyle w:val="BodyText"/>
        <w:ind w:right="154"/>
        <w:spacing w:before="232" w:line="317" w:lineRule="auto"/>
        <w:rPr/>
      </w:pPr>
      <w:r>
        <w:rPr/>
        <w:t>自闭症是高度异质性的谱系障碍，不同学生障碍表现及严重程度差异巨大。常见核心障碍直</w:t>
      </w:r>
      <w:r>
        <w:rPr>
          <w:spacing w:val="-1"/>
        </w:rPr>
        <w:t>接影</w:t>
      </w:r>
      <w:r>
        <w:rPr/>
        <w:t xml:space="preserve"> </w:t>
      </w:r>
      <w:r>
        <w:rPr>
          <w:spacing w:val="-6"/>
        </w:rPr>
        <w:t>响课堂参与：</w:t>
      </w:r>
    </w:p>
    <w:p>
      <w:pPr>
        <w:pStyle w:val="BodyText"/>
        <w:ind w:left="509" w:right="219" w:hanging="126"/>
        <w:spacing w:before="135" w:line="261" w:lineRule="auto"/>
        <w:rPr/>
      </w:pPr>
      <w:r>
        <w:rPr>
          <w:b/>
          <w:bCs/>
          <w:spacing w:val="3"/>
        </w:rPr>
        <w:t>·社交沟通困难：</w:t>
      </w:r>
      <w:r>
        <w:rPr>
          <w:spacing w:val="3"/>
        </w:rPr>
        <w:t>难以理解社交线索、非言语信号(如眼神接触、面部表情),难以发起或维</w:t>
      </w:r>
      <w:r>
        <w:rPr>
          <w:spacing w:val="5"/>
        </w:rPr>
        <w:t xml:space="preserve"> </w:t>
      </w:r>
      <w:r>
        <w:rPr>
          <w:spacing w:val="-2"/>
        </w:rPr>
        <w:t>持对话，导致不愿参与小组活动或课堂讨论。</w:t>
      </w:r>
    </w:p>
    <w:p>
      <w:pPr>
        <w:pStyle w:val="BodyText"/>
        <w:ind w:left="509" w:right="5" w:hanging="126"/>
        <w:spacing w:before="259" w:line="276" w:lineRule="auto"/>
        <w:rPr/>
      </w:pPr>
      <w:r>
        <w:rPr>
          <w:b/>
          <w:bCs/>
          <w:spacing w:val="3"/>
        </w:rPr>
        <w:t>·感官处理异常</w:t>
      </w:r>
      <w:r>
        <w:rPr>
          <w:spacing w:val="3"/>
        </w:rPr>
        <w:t xml:space="preserve"> </w:t>
      </w:r>
      <w:r>
        <w:rPr>
          <w:rFonts w:ascii="Arial" w:hAnsi="Arial" w:eastAsia="Arial" w:cs="Arial"/>
          <w:spacing w:val="3"/>
        </w:rPr>
        <w:t>(</w:t>
      </w:r>
      <w:r>
        <w:rPr>
          <w:rFonts w:ascii="Arial" w:hAnsi="Arial" w:eastAsia="Arial" w:cs="Arial"/>
        </w:rPr>
        <w:t>Sensory</w:t>
      </w:r>
      <w:r>
        <w:rPr>
          <w:rFonts w:ascii="Arial" w:hAnsi="Arial" w:eastAsia="Arial" w:cs="Arial"/>
          <w:spacing w:val="3"/>
        </w:rPr>
        <w:t xml:space="preserve">   </w:t>
      </w:r>
      <w:r>
        <w:rPr>
          <w:rFonts w:ascii="Arial" w:hAnsi="Arial" w:eastAsia="Arial" w:cs="Arial"/>
        </w:rPr>
        <w:t>Processing</w:t>
      </w:r>
      <w:r>
        <w:rPr>
          <w:rFonts w:ascii="Arial" w:hAnsi="Arial" w:eastAsia="Arial" w:cs="Arial"/>
          <w:spacing w:val="3"/>
        </w:rPr>
        <w:t xml:space="preserve">    </w:t>
      </w:r>
      <w:r>
        <w:rPr>
          <w:rFonts w:ascii="Arial" w:hAnsi="Arial" w:eastAsia="Arial" w:cs="Arial"/>
        </w:rPr>
        <w:t>Differences</w:t>
      </w:r>
      <w:r>
        <w:rPr>
          <w:rFonts w:ascii="Arial" w:hAnsi="Arial" w:eastAsia="Arial" w:cs="Arial"/>
          <w:spacing w:val="3"/>
        </w:rPr>
        <w:t>):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spacing w:val="3"/>
        </w:rPr>
        <w:t>约70-90%的自闭症学生存在感官超敏</w:t>
      </w:r>
      <w:r>
        <w:rPr/>
        <w:t xml:space="preserve"> </w:t>
      </w:r>
      <w:r>
        <w:rPr>
          <w:spacing w:val="6"/>
        </w:rPr>
        <w:t>或低敏(如噪音、光线、触觉敏感),易导致感官超载、回避或分心。</w:t>
      </w:r>
    </w:p>
    <w:p>
      <w:pPr>
        <w:pStyle w:val="BodyText"/>
        <w:ind w:left="508" w:right="114" w:hanging="129"/>
        <w:spacing w:before="235" w:line="309" w:lineRule="auto"/>
        <w:rPr>
          <w:sz w:val="19"/>
          <w:szCs w:val="19"/>
        </w:rPr>
      </w:pPr>
      <w:r>
        <w:rPr>
          <w:spacing w:val="-2"/>
        </w:rPr>
        <w:t>·刻板兴趣与重复行为：强烈偏好特定主题或</w:t>
      </w:r>
      <w:r>
        <w:rPr>
          <w:spacing w:val="-3"/>
        </w:rPr>
        <w:t>重复动作，难以转移注意力到教师指定的非兴趣</w:t>
      </w:r>
      <w:r>
        <w:rPr/>
        <w:t xml:space="preserve"> </w:t>
      </w:r>
      <w:r>
        <w:rPr>
          <w:sz w:val="19"/>
          <w:szCs w:val="19"/>
          <w:spacing w:val="-9"/>
        </w:rPr>
        <w:t>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9"/>
        </w:rPr>
        <w:t>容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9"/>
        </w:rPr>
        <w:t>。</w:t>
      </w:r>
    </w:p>
    <w:p>
      <w:pPr>
        <w:pStyle w:val="BodyText"/>
        <w:ind w:left="508" w:right="114" w:hanging="129"/>
        <w:spacing w:before="241" w:line="276" w:lineRule="auto"/>
        <w:rPr/>
      </w:pPr>
      <w:r>
        <w:rPr>
          <w:spacing w:val="-2"/>
        </w:rPr>
        <w:t>·执行功能挑战：计划、组织、灵活切换任务</w:t>
      </w:r>
      <w:r>
        <w:rPr>
          <w:spacing w:val="-3"/>
        </w:rPr>
        <w:t>、自我监控能力弱，表现为难以开始任务、跟不</w:t>
      </w:r>
      <w:r>
        <w:rPr/>
        <w:t xml:space="preserve"> </w:t>
      </w:r>
      <w:r>
        <w:rPr>
          <w:spacing w:val="-2"/>
        </w:rPr>
        <w:t>上课堂节奏、过渡困难。</w:t>
      </w:r>
    </w:p>
    <w:p>
      <w:pPr>
        <w:pStyle w:val="BodyText"/>
        <w:ind w:left="508" w:right="114" w:hanging="129"/>
        <w:spacing w:before="252" w:line="279" w:lineRule="auto"/>
        <w:rPr/>
      </w:pPr>
      <w:r>
        <w:rPr>
          <w:spacing w:val="-2"/>
        </w:rPr>
        <w:t>·焦虑与情绪调节问题：不确定性、新环境或</w:t>
      </w:r>
      <w:r>
        <w:rPr>
          <w:spacing w:val="-3"/>
        </w:rPr>
        <w:t>社交压力易引发焦虑，导致退缩、回避或问题行</w:t>
      </w:r>
      <w:r>
        <w:rPr/>
        <w:t xml:space="preserve"> </w:t>
      </w:r>
      <w:r>
        <w:rPr>
          <w:spacing w:val="-12"/>
        </w:rPr>
        <w:t>为。</w:t>
      </w:r>
    </w:p>
    <w:p>
      <w:pPr>
        <w:pStyle w:val="BodyText"/>
        <w:spacing w:before="316" w:line="294" w:lineRule="auto"/>
        <w:rPr/>
      </w:pPr>
      <w:r>
        <w:rPr>
          <w:spacing w:val="4"/>
        </w:rPr>
        <w:t>这些障碍并非孤立，常交互作用(如感官超载加剧焦</w:t>
      </w:r>
      <w:r>
        <w:rPr>
          <w:spacing w:val="3"/>
        </w:rPr>
        <w:t>虑，进一步降低参与意愿)。因此，策略必须</w:t>
      </w:r>
      <w:r>
        <w:rPr/>
        <w:t xml:space="preserve"> </w:t>
      </w:r>
      <w:r>
        <w:rPr>
          <w:spacing w:val="-1"/>
        </w:rPr>
        <w:t>高度个体化，通过功能性行为评估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</w:rPr>
        <w:t>(FBA)</w:t>
      </w:r>
      <w:r>
        <w:rPr>
          <w:rFonts w:ascii="Arial" w:hAnsi="Arial" w:eastAsia="Arial" w:cs="Arial"/>
          <w:spacing w:val="41"/>
          <w:w w:val="101"/>
        </w:rPr>
        <w:t xml:space="preserve">  </w:t>
      </w:r>
      <w:r>
        <w:rPr>
          <w:spacing w:val="-1"/>
        </w:rPr>
        <w:t>或观察了解具体触发因素。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二、增强课堂参与度的有效策略类别与具体示例</w:t>
      </w:r>
    </w:p>
    <w:p>
      <w:pPr>
        <w:pStyle w:val="BodyText"/>
        <w:ind w:right="3"/>
        <w:spacing w:before="219" w:line="325" w:lineRule="auto"/>
        <w:rPr/>
      </w:pPr>
      <w:r>
        <w:rPr>
          <w:spacing w:val="3"/>
        </w:rPr>
        <w:t>以下策略分类基于证据实践(如</w:t>
      </w:r>
      <w:r>
        <w:rPr>
          <w:rFonts w:ascii="SimSun" w:hAnsi="SimSun" w:eastAsia="SimSun" w:cs="SimSun"/>
        </w:rPr>
        <w:t>NPDC</w:t>
      </w:r>
      <w:r>
        <w:rPr>
          <w:rFonts w:ascii="SimSun" w:hAnsi="SimSun" w:eastAsia="SimSun" w:cs="SimSun"/>
          <w:spacing w:val="91"/>
        </w:rPr>
        <w:t xml:space="preserve"> </w:t>
      </w:r>
      <w:r>
        <w:rPr>
          <w:spacing w:val="3"/>
        </w:rPr>
        <w:t>的27项证据为基础实践、</w:t>
      </w:r>
      <w:r>
        <w:rPr>
          <w:rFonts w:ascii="SimSun" w:hAnsi="SimSun" w:eastAsia="SimSun" w:cs="SimSun"/>
        </w:rPr>
        <w:t>TEACCH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spacing w:val="3"/>
        </w:rPr>
        <w:t>结构化教学、</w:t>
      </w:r>
      <w:r>
        <w:rPr>
          <w:rFonts w:ascii="SimSun" w:hAnsi="SimSun" w:eastAsia="SimSun" w:cs="SimSun"/>
        </w:rPr>
        <w:t>NDBI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spacing w:val="3"/>
        </w:rPr>
        <w:t>自</w:t>
      </w:r>
      <w:r>
        <w:rPr>
          <w:spacing w:val="-53"/>
        </w:rPr>
        <w:t xml:space="preserve"> </w:t>
      </w:r>
      <w:r>
        <w:rPr>
          <w:spacing w:val="3"/>
        </w:rPr>
        <w:t>然</w:t>
      </w:r>
      <w:r>
        <w:rPr/>
        <w:t xml:space="preserve"> </w:t>
      </w:r>
      <w:r>
        <w:rPr>
          <w:spacing w:val="3"/>
        </w:rPr>
        <w:t>发展行为干预等),覆盖环境、教学、社交、沟通、行为、技术等多维度。所有策略强调预防先</w:t>
      </w:r>
    </w:p>
    <w:p>
      <w:pPr>
        <w:pStyle w:val="BodyText"/>
        <w:spacing w:before="1" w:line="220" w:lineRule="auto"/>
        <w:rPr/>
      </w:pPr>
      <w:r>
        <w:rPr>
          <w:spacing w:val="-1"/>
        </w:rPr>
        <w:t>行、视觉支持、学生优势导向与渐进式实施。</w:t>
      </w:r>
    </w:p>
    <w:p>
      <w:pPr>
        <w:spacing w:line="220" w:lineRule="auto"/>
        <w:sectPr>
          <w:pgSz w:w="12240" w:h="15840"/>
          <w:pgMar w:top="1144" w:right="1026" w:bottom="0" w:left="980" w:header="0" w:footer="0" w:gutter="0"/>
        </w:sectPr>
        <w:rPr/>
      </w:pPr>
    </w:p>
    <w:p>
      <w:pPr>
        <w:pStyle w:val="BodyText"/>
        <w:spacing w:before="46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1</w:t>
      </w:r>
      <w:r>
        <w:rPr>
          <w:sz w:val="23"/>
          <w:szCs w:val="23"/>
          <w:b/>
          <w:bCs/>
          <w:spacing w:val="-1"/>
        </w:rPr>
        <w:t>.环境调整与结构化支持</w:t>
      </w:r>
      <w:r>
        <w:rPr>
          <w:sz w:val="23"/>
          <w:szCs w:val="23"/>
          <w:spacing w:val="-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(Antecedent-Based</w:t>
      </w:r>
      <w:r>
        <w:rPr>
          <w:rFonts w:ascii="SimSun" w:hAnsi="SimSun" w:eastAsia="SimSun" w:cs="SimSun"/>
          <w:sz w:val="23"/>
          <w:szCs w:val="23"/>
          <w:spacing w:val="-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Interventions</w:t>
      </w:r>
      <w:r>
        <w:rPr>
          <w:rFonts w:ascii="SimSun" w:hAnsi="SimSun" w:eastAsia="SimSun" w:cs="SimSun"/>
          <w:sz w:val="23"/>
          <w:szCs w:val="23"/>
          <w:spacing w:val="55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&amp;Structured</w:t>
      </w:r>
      <w:r>
        <w:rPr>
          <w:rFonts w:ascii="SimSun" w:hAnsi="SimSun" w:eastAsia="SimSun" w:cs="SimSun"/>
          <w:sz w:val="23"/>
          <w:szCs w:val="23"/>
          <w:spacing w:val="-2"/>
        </w:rPr>
        <w:t xml:space="preserve">   </w:t>
      </w: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Teaching)</w:t>
      </w:r>
    </w:p>
    <w:p>
      <w:pPr>
        <w:pStyle w:val="BodyText"/>
        <w:ind w:left="373"/>
        <w:spacing w:before="209" w:line="213" w:lineRule="auto"/>
        <w:rPr>
          <w:sz w:val="23"/>
          <w:szCs w:val="23"/>
        </w:rPr>
      </w:pPr>
      <w:r>
        <w:rPr>
          <w:sz w:val="23"/>
          <w:szCs w:val="23"/>
          <w:b/>
          <w:bCs/>
        </w:rPr>
        <w:t>·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b/>
          <w:bCs/>
        </w:rPr>
        <w:t>为何有效：</w:t>
      </w:r>
      <w:r>
        <w:rPr>
          <w:sz w:val="23"/>
          <w:szCs w:val="23"/>
        </w:rPr>
        <w:t>减少不确定性与感官负担，提供可预测性，帮助执行功能弱的学生“读懂</w:t>
      </w:r>
      <w:r>
        <w:rPr>
          <w:sz w:val="23"/>
          <w:szCs w:val="23"/>
          <w:spacing w:val="-1"/>
        </w:rPr>
        <w:t>”课堂。</w:t>
      </w:r>
    </w:p>
    <w:p>
      <w:pPr>
        <w:pStyle w:val="BodyText"/>
        <w:ind w:left="373"/>
        <w:spacing w:before="271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8"/>
        </w:rPr>
        <w:t>·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b/>
          <w:bCs/>
          <w:spacing w:val="-18"/>
        </w:rPr>
        <w:t>具体策略：</w:t>
      </w:r>
    </w:p>
    <w:p>
      <w:pPr>
        <w:pStyle w:val="BodyText"/>
        <w:ind w:left="1189" w:hanging="320"/>
        <w:spacing w:before="251" w:line="285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·</w:t>
      </w:r>
      <w:r>
        <w:rPr>
          <w:sz w:val="23"/>
          <w:szCs w:val="23"/>
          <w:spacing w:val="-93"/>
        </w:rPr>
        <w:t xml:space="preserve"> </w:t>
      </w:r>
      <w:r>
        <w:rPr>
          <w:sz w:val="23"/>
          <w:szCs w:val="23"/>
          <w:spacing w:val="4"/>
        </w:rPr>
        <w:t>使用视觉日程表</w:t>
      </w:r>
      <w:r>
        <w:rPr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Visual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        </w:t>
      </w:r>
      <w:r>
        <w:rPr>
          <w:rFonts w:ascii="Times New Roman" w:hAnsi="Times New Roman" w:eastAsia="Times New Roman" w:cs="Times New Roman"/>
          <w:sz w:val="23"/>
          <w:szCs w:val="23"/>
        </w:rPr>
        <w:t>Schedules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):  </w:t>
      </w:r>
      <w:r>
        <w:rPr>
          <w:sz w:val="23"/>
          <w:szCs w:val="23"/>
          <w:spacing w:val="4"/>
        </w:rPr>
        <w:t>图文并茂展示一天/一节课流程</w:t>
      </w:r>
      <w:r>
        <w:rPr>
          <w:sz w:val="23"/>
          <w:szCs w:val="23"/>
          <w:spacing w:val="3"/>
        </w:rPr>
        <w:t>，标注过渡提示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3"/>
        </w:rPr>
        <w:t>(如“接下来是数学→小组讨论”)。</w:t>
      </w:r>
    </w:p>
    <w:p>
      <w:pPr>
        <w:pStyle w:val="BodyText"/>
        <w:ind w:left="998" w:right="141" w:hanging="129"/>
        <w:spacing w:before="275" w:line="273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·清晰的课堂区域划分：用颜色、地垫、屏风划分“安静工作区”“小组合作区”“感官调节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0"/>
        </w:rPr>
        <w:t>角”。</w:t>
      </w:r>
    </w:p>
    <w:p>
      <w:pPr>
        <w:pStyle w:val="BodyText"/>
        <w:ind w:left="1198" w:right="2045" w:hanging="329"/>
        <w:spacing w:before="288" w:line="269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87"/>
        </w:rPr>
        <w:t xml:space="preserve"> </w:t>
      </w:r>
      <w:r>
        <w:rPr>
          <w:sz w:val="23"/>
          <w:szCs w:val="23"/>
          <w:spacing w:val="5"/>
        </w:rPr>
        <w:t>感官友好调整：提供耳塞/耳机、柔和照明、可调节座椅、运动休息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Sensory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/</w:t>
      </w:r>
      <w:r>
        <w:rPr>
          <w:rFonts w:ascii="Times New Roman" w:hAnsi="Times New Roman" w:eastAsia="Times New Roman" w:cs="Times New Roman"/>
          <w:sz w:val="23"/>
          <w:szCs w:val="23"/>
        </w:rPr>
        <w:t>Movement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          </w:t>
      </w:r>
      <w:r>
        <w:rPr>
          <w:rFonts w:ascii="Times New Roman" w:hAnsi="Times New Roman" w:eastAsia="Times New Roman" w:cs="Times New Roman"/>
          <w:sz w:val="23"/>
          <w:szCs w:val="23"/>
        </w:rPr>
        <w:t>Breaks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4"/>
        </w:rPr>
        <w:t>如短暂跳跃或挤压球)。</w:t>
      </w:r>
    </w:p>
    <w:p>
      <w:pPr>
        <w:pStyle w:val="BodyText"/>
        <w:ind w:left="869"/>
        <w:spacing w:before="281" w:line="222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86"/>
        </w:rPr>
        <w:t xml:space="preserve"> </w:t>
      </w:r>
      <w:r>
        <w:rPr>
          <w:sz w:val="23"/>
          <w:szCs w:val="23"/>
          <w:spacing w:val="5"/>
        </w:rPr>
        <w:t>预先警告过渡：用计时器+视觉提示提前1-2分钟告知活动结束。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4" w:line="22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2.</w:t>
      </w:r>
      <w:r>
        <w:rPr>
          <w:rFonts w:ascii="SimSun" w:hAnsi="SimSun" w:eastAsia="SimSun" w:cs="SimSun"/>
          <w:sz w:val="23"/>
          <w:szCs w:val="23"/>
          <w:spacing w:val="-57"/>
        </w:rPr>
        <w:t xml:space="preserve"> </w:t>
      </w:r>
      <w:r>
        <w:rPr>
          <w:sz w:val="23"/>
          <w:szCs w:val="23"/>
          <w:b/>
          <w:bCs/>
          <w:spacing w:val="5"/>
        </w:rPr>
        <w:t>教学策略与动机增强</w:t>
      </w:r>
    </w:p>
    <w:p>
      <w:pPr>
        <w:pStyle w:val="BodyText"/>
        <w:ind w:left="369"/>
        <w:spacing w:before="228" w:line="21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spacing w:val="6"/>
        </w:rPr>
        <w:t>为何有效：利用兴趣、提供选择与成功体验，激活内在动机，减少逃避行</w:t>
      </w:r>
      <w:r>
        <w:rPr>
          <w:sz w:val="23"/>
          <w:szCs w:val="23"/>
          <w:spacing w:val="5"/>
        </w:rPr>
        <w:t>为。</w:t>
      </w:r>
    </w:p>
    <w:p>
      <w:pPr>
        <w:pStyle w:val="BodyText"/>
        <w:ind w:left="369"/>
        <w:spacing w:before="276" w:line="222" w:lineRule="auto"/>
        <w:rPr>
          <w:sz w:val="23"/>
          <w:szCs w:val="23"/>
        </w:rPr>
      </w:pPr>
      <w:r>
        <w:rPr>
          <w:sz w:val="23"/>
          <w:szCs w:val="23"/>
          <w:spacing w:val="-15"/>
        </w:rPr>
        <w:t>·</w:t>
      </w:r>
      <w:r>
        <w:rPr>
          <w:sz w:val="23"/>
          <w:szCs w:val="23"/>
          <w:spacing w:val="-81"/>
        </w:rPr>
        <w:t xml:space="preserve"> </w:t>
      </w:r>
      <w:r>
        <w:rPr>
          <w:sz w:val="23"/>
          <w:szCs w:val="23"/>
          <w:spacing w:val="-15"/>
        </w:rPr>
        <w:t>具体策略：</w:t>
      </w:r>
    </w:p>
    <w:p>
      <w:pPr>
        <w:pStyle w:val="BodyText"/>
        <w:ind w:left="998" w:right="3" w:hanging="129"/>
        <w:spacing w:before="277" w:line="270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84"/>
        </w:rPr>
        <w:t xml:space="preserve"> </w:t>
      </w:r>
      <w:r>
        <w:rPr>
          <w:sz w:val="23"/>
          <w:szCs w:val="23"/>
          <w:spacing w:val="5"/>
        </w:rPr>
        <w:t>融入特殊兴趣</w:t>
      </w:r>
      <w:r>
        <w:rPr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(</w:t>
      </w:r>
      <w:r>
        <w:rPr>
          <w:rFonts w:ascii="SimSun" w:hAnsi="SimSun" w:eastAsia="SimSun" w:cs="SimSun"/>
          <w:sz w:val="23"/>
          <w:szCs w:val="23"/>
        </w:rPr>
        <w:t>Interest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Integration</w:t>
      </w:r>
      <w:r>
        <w:rPr>
          <w:rFonts w:ascii="SimSun" w:hAnsi="SimSun" w:eastAsia="SimSun" w:cs="SimSun"/>
          <w:sz w:val="23"/>
          <w:szCs w:val="23"/>
          <w:spacing w:val="5"/>
        </w:rPr>
        <w:t>):</w:t>
      </w:r>
      <w:r>
        <w:rPr>
          <w:rFonts w:ascii="SimSun" w:hAnsi="SimSun" w:eastAsia="SimSun" w:cs="SimSun"/>
          <w:sz w:val="23"/>
          <w:szCs w:val="23"/>
          <w:spacing w:val="-41"/>
        </w:rPr>
        <w:t xml:space="preserve"> </w:t>
      </w:r>
      <w:r>
        <w:rPr>
          <w:sz w:val="23"/>
          <w:szCs w:val="23"/>
          <w:spacing w:val="5"/>
        </w:rPr>
        <w:t>将学生对火车/恐龙的兴趣嵌入数学(用火车车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2"/>
        </w:rPr>
        <w:t>厢计数)或语文(写恐龙故事)。</w:t>
      </w:r>
    </w:p>
    <w:p>
      <w:pPr>
        <w:pStyle w:val="BodyText"/>
        <w:ind w:left="998" w:right="43" w:hanging="129"/>
        <w:spacing w:before="268" w:line="281" w:lineRule="auto"/>
        <w:rPr>
          <w:sz w:val="23"/>
          <w:szCs w:val="23"/>
        </w:rPr>
      </w:pPr>
      <w:r>
        <w:rPr>
          <w:sz w:val="23"/>
          <w:szCs w:val="23"/>
        </w:rPr>
        <w:t>·</w:t>
      </w:r>
      <w:r>
        <w:rPr>
          <w:sz w:val="23"/>
          <w:szCs w:val="23"/>
          <w:spacing w:val="-93"/>
        </w:rPr>
        <w:t xml:space="preserve"> </w:t>
      </w:r>
      <w:r>
        <w:rPr>
          <w:sz w:val="23"/>
          <w:szCs w:val="23"/>
        </w:rPr>
        <w:t>提供有限选择</w:t>
      </w:r>
      <w:r>
        <w:rPr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(Choice-Making):   </w:t>
      </w:r>
      <w:r>
        <w:rPr>
          <w:sz w:val="23"/>
          <w:szCs w:val="23"/>
        </w:rPr>
        <w:t>如“今</w:t>
      </w:r>
      <w:r>
        <w:rPr>
          <w:sz w:val="23"/>
          <w:szCs w:val="23"/>
          <w:spacing w:val="-1"/>
        </w:rPr>
        <w:t>天用蓝色笔还是红色笔写答案?”“先做5道题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还是先听故事?”研究显示选择可显著增加任</w:t>
      </w:r>
      <w:r>
        <w:rPr>
          <w:sz w:val="23"/>
          <w:szCs w:val="23"/>
          <w:spacing w:val="8"/>
        </w:rPr>
        <w:t>务坚持时间。</w:t>
      </w:r>
    </w:p>
    <w:p>
      <w:pPr>
        <w:pStyle w:val="BodyText"/>
        <w:ind w:left="998" w:right="352" w:hanging="129"/>
        <w:spacing w:before="276" w:line="27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97"/>
        </w:rPr>
        <w:t xml:space="preserve"> </w:t>
      </w:r>
      <w:r>
        <w:rPr>
          <w:sz w:val="23"/>
          <w:szCs w:val="23"/>
          <w:spacing w:val="7"/>
        </w:rPr>
        <w:t>任务分析与分步视觉提示：将复杂任务分解</w:t>
      </w:r>
      <w:r>
        <w:rPr>
          <w:sz w:val="23"/>
          <w:szCs w:val="23"/>
          <w:spacing w:val="6"/>
        </w:rPr>
        <w:t>为小步，每步配图片/图标，支持独立完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成。</w:t>
      </w:r>
    </w:p>
    <w:p>
      <w:pPr>
        <w:pStyle w:val="BodyText"/>
        <w:ind w:left="998" w:right="40" w:hanging="129"/>
        <w:spacing w:before="266" w:line="281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·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spacing w:val="4"/>
        </w:rPr>
        <w:t>高概率请求序列</w:t>
      </w:r>
      <w:r>
        <w:rPr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-</w:t>
      </w:r>
      <w:r>
        <w:rPr>
          <w:rFonts w:ascii="Times New Roman" w:hAnsi="Times New Roman" w:eastAsia="Times New Roman" w:cs="Times New Roman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      </w:t>
      </w:r>
      <w:r>
        <w:rPr>
          <w:rFonts w:ascii="Times New Roman" w:hAnsi="Times New Roman" w:eastAsia="Times New Roman" w:cs="Times New Roman"/>
          <w:sz w:val="23"/>
          <w:szCs w:val="23"/>
        </w:rPr>
        <w:t>Request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Sequence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):</w:t>
      </w:r>
      <w:r>
        <w:rPr>
          <w:rFonts w:ascii="Times New Roman" w:hAnsi="Times New Roman" w:eastAsia="Times New Roman" w:cs="Times New Roman"/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3"/>
        </w:rPr>
        <w:t>先让学生完成容易任务建立成功感，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6"/>
        </w:rPr>
        <w:t>再引入难度任务。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3.</w:t>
      </w:r>
      <w:r>
        <w:rPr>
          <w:rFonts w:ascii="SimSun" w:hAnsi="SimSun" w:eastAsia="SimSun" w:cs="SimSun"/>
          <w:sz w:val="23"/>
          <w:szCs w:val="23"/>
          <w:spacing w:val="-59"/>
        </w:rPr>
        <w:t xml:space="preserve"> </w:t>
      </w:r>
      <w:r>
        <w:rPr>
          <w:sz w:val="23"/>
          <w:szCs w:val="23"/>
          <w:b/>
          <w:bCs/>
          <w:spacing w:val="5"/>
        </w:rPr>
        <w:t>社交技能与同伴中介支持</w:t>
      </w:r>
    </w:p>
    <w:p>
      <w:pPr>
        <w:spacing w:line="222" w:lineRule="auto"/>
        <w:sectPr>
          <w:pgSz w:w="12240" w:h="15840"/>
          <w:pgMar w:top="1262" w:right="1144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ind w:left="366"/>
        <w:spacing w:before="46" w:line="21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</w:t>
      </w:r>
      <w:r>
        <w:rPr>
          <w:sz w:val="23"/>
          <w:szCs w:val="23"/>
          <w:spacing w:val="-75"/>
        </w:rPr>
        <w:t xml:space="preserve"> </w:t>
      </w:r>
      <w:r>
        <w:rPr>
          <w:sz w:val="23"/>
          <w:szCs w:val="23"/>
          <w:spacing w:val="6"/>
        </w:rPr>
        <w:t>为何有效：自闭症学生社交理解困难，同伴中介可提供自然模型，增加真实社交机会。</w:t>
      </w:r>
    </w:p>
    <w:p>
      <w:pPr>
        <w:pStyle w:val="BodyText"/>
        <w:ind w:left="366"/>
        <w:spacing w:before="285" w:line="222" w:lineRule="auto"/>
        <w:rPr>
          <w:sz w:val="23"/>
          <w:szCs w:val="23"/>
        </w:rPr>
      </w:pPr>
      <w:r>
        <w:rPr>
          <w:sz w:val="23"/>
          <w:szCs w:val="23"/>
          <w:spacing w:val="-17"/>
        </w:rPr>
        <w:t>·</w:t>
      </w:r>
      <w:r>
        <w:rPr>
          <w:sz w:val="23"/>
          <w:szCs w:val="23"/>
          <w:spacing w:val="-88"/>
        </w:rPr>
        <w:t xml:space="preserve"> </w:t>
      </w:r>
      <w:r>
        <w:rPr>
          <w:sz w:val="23"/>
          <w:szCs w:val="23"/>
          <w:spacing w:val="-17"/>
        </w:rPr>
        <w:t>具体策略：</w:t>
      </w:r>
    </w:p>
    <w:p>
      <w:pPr>
        <w:pStyle w:val="BodyText"/>
        <w:ind w:left="1016" w:right="29" w:hanging="150"/>
        <w:spacing w:before="168" w:line="309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</w:t>
      </w:r>
      <w:r>
        <w:rPr>
          <w:sz w:val="23"/>
          <w:szCs w:val="23"/>
          <w:spacing w:val="-68"/>
        </w:rPr>
        <w:t xml:space="preserve"> </w:t>
      </w:r>
      <w:r>
        <w:rPr>
          <w:sz w:val="23"/>
          <w:szCs w:val="23"/>
          <w:spacing w:val="2"/>
        </w:rPr>
        <w:t>同伴中介干预</w:t>
      </w:r>
      <w:r>
        <w:rPr>
          <w:sz w:val="23"/>
          <w:szCs w:val="23"/>
          <w:spacing w:val="2"/>
        </w:rPr>
        <w:t xml:space="preserve"> </w:t>
      </w:r>
      <w:r>
        <w:rPr>
          <w:rFonts w:ascii="Arial" w:hAnsi="Arial" w:eastAsia="Arial" w:cs="Arial"/>
          <w:sz w:val="23"/>
          <w:szCs w:val="23"/>
          <w:spacing w:val="2"/>
        </w:rPr>
        <w:t>(</w:t>
      </w:r>
      <w:r>
        <w:rPr>
          <w:rFonts w:ascii="Arial" w:hAnsi="Arial" w:eastAsia="Arial" w:cs="Arial"/>
          <w:sz w:val="23"/>
          <w:szCs w:val="23"/>
        </w:rPr>
        <w:t>Peer</w:t>
      </w:r>
      <w:r>
        <w:rPr>
          <w:rFonts w:ascii="Arial" w:hAnsi="Arial" w:eastAsia="Arial" w:cs="Arial"/>
          <w:sz w:val="23"/>
          <w:szCs w:val="23"/>
          <w:spacing w:val="2"/>
        </w:rPr>
        <w:t>-</w:t>
      </w:r>
      <w:r>
        <w:rPr>
          <w:rFonts w:ascii="Arial" w:hAnsi="Arial" w:eastAsia="Arial" w:cs="Arial"/>
          <w:sz w:val="23"/>
          <w:szCs w:val="23"/>
        </w:rPr>
        <w:t>Mediated</w:t>
      </w:r>
      <w:r>
        <w:rPr>
          <w:rFonts w:ascii="Arial" w:hAnsi="Arial" w:eastAsia="Arial" w:cs="Arial"/>
          <w:sz w:val="23"/>
          <w:szCs w:val="23"/>
          <w:spacing w:val="2"/>
        </w:rPr>
        <w:t xml:space="preserve">         </w:t>
      </w:r>
      <w:r>
        <w:rPr>
          <w:rFonts w:ascii="Arial" w:hAnsi="Arial" w:eastAsia="Arial" w:cs="Arial"/>
          <w:sz w:val="23"/>
          <w:szCs w:val="23"/>
        </w:rPr>
        <w:t>Interventions</w:t>
      </w:r>
      <w:r>
        <w:rPr>
          <w:rFonts w:ascii="Arial" w:hAnsi="Arial" w:eastAsia="Arial" w:cs="Arial"/>
          <w:sz w:val="23"/>
          <w:szCs w:val="23"/>
          <w:spacing w:val="2"/>
        </w:rPr>
        <w:t>):</w:t>
      </w:r>
      <w:r>
        <w:rPr>
          <w:rFonts w:ascii="Arial" w:hAnsi="Arial" w:eastAsia="Arial" w:cs="Arial"/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2"/>
        </w:rPr>
        <w:t>训练典型发展同伴用简单语言邀请、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示范互动(如“一起玩这个积木?”)。</w:t>
      </w:r>
    </w:p>
    <w:p>
      <w:pPr>
        <w:pStyle w:val="BodyText"/>
        <w:ind w:left="866"/>
        <w:spacing w:before="274" w:line="221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·</w:t>
      </w:r>
      <w:r>
        <w:rPr>
          <w:sz w:val="23"/>
          <w:szCs w:val="23"/>
          <w:spacing w:val="-81"/>
        </w:rPr>
        <w:t xml:space="preserve"> </w:t>
      </w:r>
      <w:r>
        <w:rPr>
          <w:sz w:val="23"/>
          <w:szCs w:val="23"/>
          <w:spacing w:val="12"/>
        </w:rPr>
        <w:t>小组合作结构化：分配明确角色(如记录员、发言人),使用视</w:t>
      </w:r>
      <w:r>
        <w:rPr>
          <w:sz w:val="23"/>
          <w:szCs w:val="23"/>
          <w:spacing w:val="11"/>
        </w:rPr>
        <w:t>觉规则卡片。</w:t>
      </w:r>
    </w:p>
    <w:p>
      <w:pPr>
        <w:pStyle w:val="BodyText"/>
        <w:ind w:left="1015" w:right="106" w:hanging="146"/>
        <w:spacing w:before="259" w:line="28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·</w:t>
      </w:r>
      <w:r>
        <w:rPr>
          <w:sz w:val="23"/>
          <w:szCs w:val="23"/>
          <w:spacing w:val="-97"/>
        </w:rPr>
        <w:t xml:space="preserve"> </w:t>
      </w:r>
      <w:r>
        <w:rPr>
          <w:sz w:val="23"/>
          <w:szCs w:val="23"/>
          <w:b/>
          <w:bCs/>
          <w:spacing w:val="-1"/>
        </w:rPr>
        <w:t>社会故事/漫画对话</w:t>
      </w:r>
      <w:r>
        <w:rPr>
          <w:sz w:val="23"/>
          <w:szCs w:val="23"/>
          <w:spacing w:val="-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(Social</w:t>
      </w:r>
      <w:r>
        <w:rPr>
          <w:rFonts w:ascii="SimSun" w:hAnsi="SimSun" w:eastAsia="SimSun" w:cs="SimSun"/>
          <w:sz w:val="23"/>
          <w:szCs w:val="23"/>
          <w:spacing w:val="9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StoriesTM/Comic</w:t>
      </w:r>
      <w:r>
        <w:rPr>
          <w:rFonts w:ascii="SimSun" w:hAnsi="SimSun" w:eastAsia="SimSun" w:cs="SimSun"/>
          <w:sz w:val="23"/>
          <w:szCs w:val="23"/>
          <w:spacing w:val="9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Strip</w:t>
      </w:r>
      <w:r>
        <w:rPr>
          <w:rFonts w:ascii="SimSun" w:hAnsi="SimSun" w:eastAsia="SimSun" w:cs="SimSun"/>
          <w:sz w:val="23"/>
          <w:szCs w:val="23"/>
          <w:spacing w:val="8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Conversations):</w:t>
      </w:r>
      <w:r>
        <w:rPr>
          <w:rFonts w:ascii="SimSun" w:hAnsi="SimSun" w:eastAsia="SimSun" w:cs="SimSun"/>
          <w:sz w:val="23"/>
          <w:szCs w:val="23"/>
          <w:spacing w:val="-52"/>
        </w:rPr>
        <w:t xml:space="preserve"> </w:t>
      </w:r>
      <w:r>
        <w:rPr>
          <w:sz w:val="23"/>
          <w:szCs w:val="23"/>
          <w:spacing w:val="-2"/>
        </w:rPr>
        <w:t>提前用简单故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事解释课堂规则或社交场景。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5" w:line="22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4.</w:t>
      </w:r>
      <w:r>
        <w:rPr>
          <w:sz w:val="23"/>
          <w:szCs w:val="23"/>
          <w:b/>
          <w:bCs/>
          <w:spacing w:val="10"/>
        </w:rPr>
        <w:t>沟通系统与辅助技术</w:t>
      </w:r>
    </w:p>
    <w:p>
      <w:pPr>
        <w:pStyle w:val="BodyText"/>
        <w:ind w:left="366"/>
        <w:spacing w:before="238" w:line="213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86"/>
        </w:rPr>
        <w:t xml:space="preserve"> </w:t>
      </w:r>
      <w:r>
        <w:rPr>
          <w:sz w:val="23"/>
          <w:szCs w:val="23"/>
          <w:spacing w:val="5"/>
        </w:rPr>
        <w:t>为何有效：弥补口语表达困难，让学生能表达需求、参与讨论。</w:t>
      </w:r>
    </w:p>
    <w:p>
      <w:pPr>
        <w:pStyle w:val="BodyText"/>
        <w:ind w:left="366"/>
        <w:spacing w:before="275" w:line="222" w:lineRule="auto"/>
        <w:rPr>
          <w:sz w:val="23"/>
          <w:szCs w:val="23"/>
        </w:rPr>
      </w:pPr>
      <w:r>
        <w:rPr>
          <w:sz w:val="23"/>
          <w:szCs w:val="23"/>
          <w:spacing w:val="-17"/>
        </w:rPr>
        <w:t>·</w:t>
      </w:r>
      <w:r>
        <w:rPr>
          <w:sz w:val="23"/>
          <w:szCs w:val="23"/>
          <w:spacing w:val="-88"/>
        </w:rPr>
        <w:t xml:space="preserve"> </w:t>
      </w:r>
      <w:r>
        <w:rPr>
          <w:sz w:val="23"/>
          <w:szCs w:val="23"/>
          <w:spacing w:val="-17"/>
        </w:rPr>
        <w:t>具体策略：</w:t>
      </w:r>
    </w:p>
    <w:p>
      <w:pPr>
        <w:pStyle w:val="BodyText"/>
        <w:spacing w:before="259" w:line="212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</w:rPr>
        <w:t>·</w:t>
      </w:r>
      <w:r>
        <w:rPr>
          <w:sz w:val="23"/>
          <w:szCs w:val="23"/>
          <w:spacing w:val="-79"/>
        </w:rPr>
        <w:t xml:space="preserve"> </w:t>
      </w:r>
      <w:r>
        <w:rPr>
          <w:sz w:val="23"/>
          <w:szCs w:val="23"/>
        </w:rPr>
        <w:t>图片交换沟通系统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(PECS)     </w:t>
      </w:r>
      <w:r>
        <w:rPr>
          <w:sz w:val="23"/>
          <w:szCs w:val="23"/>
          <w:b/>
          <w:bCs/>
        </w:rPr>
        <w:t>或低/高科技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AAC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4"/>
          <w:w w:val="101"/>
        </w:rPr>
        <w:t xml:space="preserve">  </w:t>
      </w:r>
      <w:r>
        <w:rPr>
          <w:sz w:val="23"/>
          <w:szCs w:val="23"/>
        </w:rPr>
        <w:t>(语音输出设备、</w:t>
      </w:r>
      <w:r>
        <w:rPr>
          <w:sz w:val="23"/>
          <w:szCs w:val="23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Proloquo2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Go       App)</w:t>
      </w:r>
      <w:r>
        <w:rPr>
          <w:rFonts w:ascii="SimSun" w:hAnsi="SimSun" w:eastAsia="SimSun" w:cs="SimSun"/>
          <w:sz w:val="23"/>
          <w:szCs w:val="23"/>
          <w:spacing w:val="-1"/>
        </w:rPr>
        <w:t>。</w:t>
      </w:r>
    </w:p>
    <w:p>
      <w:pPr>
        <w:pStyle w:val="BodyText"/>
        <w:ind w:left="866"/>
        <w:spacing w:before="280" w:line="213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·视觉支持回应：提供“同意/不同意”“需要帮助”卡片，便于非言语学生参与。</w:t>
      </w:r>
    </w:p>
    <w:p>
      <w:pPr>
        <w:pStyle w:val="BodyText"/>
        <w:ind w:left="866"/>
        <w:spacing w:before="284" w:line="221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·</w:t>
      </w:r>
      <w:r>
        <w:rPr>
          <w:sz w:val="23"/>
          <w:szCs w:val="23"/>
          <w:spacing w:val="-98"/>
        </w:rPr>
        <w:t xml:space="preserve"> </w:t>
      </w:r>
      <w:r>
        <w:rPr>
          <w:sz w:val="23"/>
          <w:szCs w:val="23"/>
          <w:spacing w:val="4"/>
        </w:rPr>
        <w:t>增强性沟通训练：教学生用手势/符号请求暂停或帮</w:t>
      </w:r>
      <w:r>
        <w:rPr>
          <w:sz w:val="23"/>
          <w:szCs w:val="23"/>
          <w:spacing w:val="3"/>
        </w:rPr>
        <w:t>助。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76" w:line="22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5.</w:t>
      </w:r>
      <w:r>
        <w:rPr>
          <w:rFonts w:ascii="SimSun" w:hAnsi="SimSun" w:eastAsia="SimSun" w:cs="SimSun"/>
          <w:sz w:val="23"/>
          <w:szCs w:val="23"/>
          <w:spacing w:val="-59"/>
        </w:rPr>
        <w:t xml:space="preserve"> </w:t>
      </w:r>
      <w:r>
        <w:rPr>
          <w:sz w:val="23"/>
          <w:szCs w:val="23"/>
          <w:b/>
          <w:bCs/>
          <w:spacing w:val="4"/>
        </w:rPr>
        <w:t>行为支持与情绪调节</w:t>
      </w:r>
    </w:p>
    <w:p>
      <w:pPr>
        <w:pStyle w:val="BodyText"/>
        <w:ind w:left="369"/>
        <w:spacing w:before="226" w:line="21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5"/>
        </w:rPr>
        <w:t>·</w:t>
      </w:r>
      <w:r>
        <w:rPr>
          <w:sz w:val="23"/>
          <w:szCs w:val="23"/>
          <w:spacing w:val="-74"/>
        </w:rPr>
        <w:t xml:space="preserve"> </w:t>
      </w:r>
      <w:r>
        <w:rPr>
          <w:sz w:val="23"/>
          <w:szCs w:val="23"/>
          <w:b/>
          <w:bCs/>
          <w:spacing w:val="5"/>
        </w:rPr>
        <w:t>为何有效：</w:t>
      </w:r>
      <w:r>
        <w:rPr>
          <w:sz w:val="23"/>
          <w:szCs w:val="23"/>
          <w:spacing w:val="5"/>
        </w:rPr>
        <w:t>问题行为往往是沟通或逃避的表达，功能性支持可替代问题行为。</w:t>
      </w:r>
    </w:p>
    <w:p>
      <w:pPr>
        <w:pStyle w:val="BodyText"/>
        <w:ind w:left="369"/>
        <w:spacing w:before="292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0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b/>
          <w:bCs/>
          <w:spacing w:val="-20"/>
        </w:rPr>
        <w:t>具体策略：</w:t>
      </w:r>
    </w:p>
    <w:p>
      <w:pPr>
        <w:pStyle w:val="BodyText"/>
        <w:ind w:left="1016" w:right="71" w:hanging="150"/>
        <w:spacing w:before="267" w:line="280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</w:t>
      </w:r>
      <w:r>
        <w:rPr>
          <w:sz w:val="23"/>
          <w:szCs w:val="23"/>
          <w:spacing w:val="-80"/>
        </w:rPr>
        <w:t xml:space="preserve"> </w:t>
      </w:r>
      <w:r>
        <w:rPr>
          <w:sz w:val="23"/>
          <w:szCs w:val="23"/>
          <w:spacing w:val="2"/>
        </w:rPr>
        <w:t>正向行为支持计划</w:t>
      </w:r>
      <w:r>
        <w:rPr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(</w:t>
      </w:r>
      <w:r>
        <w:rPr>
          <w:rFonts w:ascii="SimSun" w:hAnsi="SimSun" w:eastAsia="SimSun" w:cs="SimSun"/>
          <w:sz w:val="23"/>
          <w:szCs w:val="23"/>
        </w:rPr>
        <w:t>PBIS</w:t>
      </w:r>
      <w:r>
        <w:rPr>
          <w:rFonts w:ascii="SimSun" w:hAnsi="SimSun" w:eastAsia="SimSun" w:cs="SimSun"/>
          <w:sz w:val="23"/>
          <w:szCs w:val="23"/>
          <w:spacing w:val="2"/>
        </w:rPr>
        <w:t>):  </w:t>
      </w:r>
      <w:r>
        <w:rPr>
          <w:sz w:val="23"/>
          <w:szCs w:val="23"/>
          <w:spacing w:val="2"/>
        </w:rPr>
        <w:t>识别行为功能，提供替代行为(如用“休息卡”代替逃离座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位)。</w:t>
      </w:r>
    </w:p>
    <w:p>
      <w:pPr>
        <w:pStyle w:val="BodyText"/>
        <w:ind w:left="866"/>
        <w:spacing w:before="261" w:line="221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</w:t>
      </w:r>
      <w:r>
        <w:rPr>
          <w:sz w:val="23"/>
          <w:szCs w:val="23"/>
          <w:spacing w:val="-57"/>
        </w:rPr>
        <w:t xml:space="preserve"> </w:t>
      </w:r>
      <w:r>
        <w:rPr>
          <w:sz w:val="23"/>
          <w:szCs w:val="23"/>
          <w:spacing w:val="2"/>
        </w:rPr>
        <w:t>自我调节工具：深压背心、摇摆椅、计时放松角。</w:t>
      </w:r>
    </w:p>
    <w:p>
      <w:pPr>
        <w:pStyle w:val="BodyText"/>
        <w:ind w:left="866"/>
        <w:spacing w:before="255" w:line="213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86"/>
        </w:rPr>
        <w:t xml:space="preserve"> </w:t>
      </w:r>
      <w:r>
        <w:rPr>
          <w:sz w:val="23"/>
          <w:szCs w:val="23"/>
          <w:spacing w:val="5"/>
        </w:rPr>
        <w:t>即时正强化：针对参与行为给予具体表扬或代币(如“很好，你举手回答了!”)。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1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三、策略实施的关键因素与个体化考量</w:t>
      </w:r>
    </w:p>
    <w:p>
      <w:pPr>
        <w:spacing w:line="222" w:lineRule="auto"/>
        <w:sectPr>
          <w:pgSz w:w="12240" w:h="15840"/>
          <w:pgMar w:top="1250" w:right="1114" w:bottom="0" w:left="983" w:header="0" w:footer="0" w:gutter="0"/>
        </w:sectPr>
        <w:rPr>
          <w:sz w:val="30"/>
          <w:szCs w:val="30"/>
        </w:rPr>
      </w:pPr>
    </w:p>
    <w:p>
      <w:pPr>
        <w:pStyle w:val="BodyText"/>
        <w:ind w:left="499" w:right="6" w:hanging="130"/>
        <w:spacing w:before="45" w:line="284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·个体化是核心：无“一刀切”策略。需通过功能评估、兴</w:t>
      </w:r>
      <w:r>
        <w:rPr>
          <w:sz w:val="23"/>
          <w:szCs w:val="23"/>
          <w:spacing w:val="1"/>
        </w:rPr>
        <w:t>趣调查、感官剖面定制；定期监测参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8"/>
        </w:rPr>
        <w:t>与指标(如</w:t>
      </w:r>
      <w:r>
        <w:rPr>
          <w:rFonts w:ascii="SimSun" w:hAnsi="SimSun" w:eastAsia="SimSun" w:cs="SimSun"/>
          <w:sz w:val="23"/>
          <w:szCs w:val="23"/>
        </w:rPr>
        <w:t>on</w:t>
      </w:r>
      <w:r>
        <w:rPr>
          <w:rFonts w:ascii="SimSun" w:hAnsi="SimSun" w:eastAsia="SimSun" w:cs="SimSun"/>
          <w:sz w:val="23"/>
          <w:szCs w:val="23"/>
          <w:spacing w:val="18"/>
        </w:rPr>
        <w:t>-</w:t>
      </w:r>
      <w:r>
        <w:rPr>
          <w:rFonts w:ascii="SimSun" w:hAnsi="SimSun" w:eastAsia="SimSun" w:cs="SimSun"/>
          <w:sz w:val="23"/>
          <w:szCs w:val="23"/>
        </w:rPr>
        <w:t>task</w:t>
      </w:r>
      <w:r>
        <w:rPr>
          <w:rFonts w:ascii="SimSun" w:hAnsi="SimSun" w:eastAsia="SimSun" w:cs="SimSun"/>
          <w:sz w:val="23"/>
          <w:szCs w:val="23"/>
          <w:spacing w:val="-27"/>
        </w:rPr>
        <w:t xml:space="preserve"> </w:t>
      </w:r>
      <w:r>
        <w:rPr>
          <w:sz w:val="23"/>
          <w:szCs w:val="23"/>
          <w:spacing w:val="18"/>
        </w:rPr>
        <w:t>时间、主动回应次数)并调整。</w:t>
      </w:r>
    </w:p>
    <w:p>
      <w:pPr>
        <w:pStyle w:val="BodyText"/>
        <w:ind w:left="499" w:right="261" w:hanging="130"/>
        <w:spacing w:before="252" w:line="288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·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spacing w:val="9"/>
        </w:rPr>
        <w:t>教师培训与持续支持：教师需掌握</w:t>
      </w:r>
      <w:r>
        <w:rPr>
          <w:rFonts w:ascii="SimSun" w:hAnsi="SimSun" w:eastAsia="SimSun" w:cs="SimSun"/>
          <w:sz w:val="23"/>
          <w:szCs w:val="23"/>
        </w:rPr>
        <w:t>ASD</w:t>
      </w:r>
      <w:r>
        <w:rPr>
          <w:rFonts w:ascii="SimSun" w:hAnsi="SimSun" w:eastAsia="SimSun" w:cs="SimSun"/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9"/>
        </w:rPr>
        <w:t>特征与证据实践，学校应提供专业发展(如</w:t>
      </w:r>
      <w:r>
        <w:rPr>
          <w:rFonts w:ascii="SimSun" w:hAnsi="SimSun" w:eastAsia="SimSun" w:cs="SimSun"/>
          <w:sz w:val="23"/>
          <w:szCs w:val="23"/>
        </w:rPr>
        <w:t>TEACCH </w:t>
      </w:r>
      <w:r>
        <w:rPr>
          <w:sz w:val="23"/>
          <w:szCs w:val="23"/>
          <w:spacing w:val="7"/>
        </w:rPr>
        <w:t>或</w:t>
      </w:r>
      <w:r>
        <w:rPr>
          <w:rFonts w:ascii="SimSun" w:hAnsi="SimSun" w:eastAsia="SimSun" w:cs="SimSun"/>
          <w:sz w:val="23"/>
          <w:szCs w:val="23"/>
        </w:rPr>
        <w:t>NPDC</w:t>
      </w:r>
      <w:r>
        <w:rPr>
          <w:rFonts w:ascii="SimSun" w:hAnsi="SimSun" w:eastAsia="SimSun" w:cs="SimSun"/>
          <w:sz w:val="23"/>
          <w:szCs w:val="23"/>
          <w:spacing w:val="98"/>
        </w:rPr>
        <w:t xml:space="preserve"> </w:t>
      </w:r>
      <w:r>
        <w:rPr>
          <w:sz w:val="23"/>
          <w:szCs w:val="23"/>
          <w:spacing w:val="7"/>
        </w:rPr>
        <w:t>培训)。</w:t>
      </w:r>
    </w:p>
    <w:p>
      <w:pPr>
        <w:pStyle w:val="BodyText"/>
        <w:ind w:left="369"/>
        <w:spacing w:before="263" w:line="213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·</w:t>
      </w:r>
      <w:r>
        <w:rPr>
          <w:sz w:val="23"/>
          <w:szCs w:val="23"/>
          <w:spacing w:val="-78"/>
        </w:rPr>
        <w:t xml:space="preserve"> </w:t>
      </w:r>
      <w:r>
        <w:rPr>
          <w:sz w:val="23"/>
          <w:szCs w:val="23"/>
          <w:spacing w:val="4"/>
        </w:rPr>
        <w:t>家校合作：家长提供居家兴趣/触发信息，共享视觉工具，确保一致性。</w:t>
      </w:r>
    </w:p>
    <w:p>
      <w:pPr>
        <w:pStyle w:val="BodyText"/>
        <w:ind w:left="499" w:right="23" w:hanging="130"/>
        <w:spacing w:before="273" w:line="279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97"/>
        </w:rPr>
        <w:t xml:space="preserve"> </w:t>
      </w:r>
      <w:r>
        <w:rPr>
          <w:sz w:val="23"/>
          <w:szCs w:val="23"/>
          <w:spacing w:val="7"/>
        </w:rPr>
        <w:t>跨专业协作：特殊教育教师、言语治疗师、职业</w:t>
      </w:r>
      <w:r>
        <w:rPr>
          <w:sz w:val="23"/>
          <w:szCs w:val="23"/>
          <w:spacing w:val="6"/>
        </w:rPr>
        <w:t>治疗师、心理支持人员共同制定</w:t>
      </w:r>
      <w:r>
        <w:rPr>
          <w:rFonts w:ascii="SimSun" w:hAnsi="SimSun" w:eastAsia="SimSun" w:cs="SimSun"/>
          <w:sz w:val="23"/>
          <w:szCs w:val="23"/>
        </w:rPr>
        <w:t>IEP</w:t>
      </w:r>
      <w:r>
        <w:rPr>
          <w:rFonts w:ascii="SimSun" w:hAnsi="SimSun" w:eastAsia="SimSun" w:cs="SimSun"/>
          <w:sz w:val="23"/>
          <w:szCs w:val="23"/>
          <w:spacing w:val="6"/>
        </w:rPr>
        <w:t>/</w:t>
      </w:r>
      <w:r>
        <w:rPr>
          <w:sz w:val="23"/>
          <w:szCs w:val="23"/>
          <w:spacing w:val="6"/>
        </w:rPr>
        <w:t>支持计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划。</w:t>
      </w:r>
    </w:p>
    <w:p>
      <w:pPr>
        <w:pStyle w:val="BodyText"/>
        <w:ind w:left="499" w:right="136" w:hanging="130"/>
        <w:spacing w:before="230" w:line="290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spacing w:val="3"/>
        </w:rPr>
        <w:t>资源与评估：需视觉材料、</w:t>
      </w:r>
      <w:r>
        <w:rPr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AAC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3"/>
        </w:rPr>
        <w:t>设备、安静空间；使用量表</w:t>
      </w:r>
      <w:r>
        <w:rPr>
          <w:sz w:val="23"/>
          <w:szCs w:val="23"/>
          <w:spacing w:val="2"/>
        </w:rPr>
        <w:t>(如</w:t>
      </w:r>
      <w:r>
        <w:rPr>
          <w:rFonts w:ascii="Times New Roman" w:hAnsi="Times New Roman" w:eastAsia="Times New Roman" w:cs="Times New Roman"/>
          <w:sz w:val="23"/>
          <w:szCs w:val="23"/>
        </w:rPr>
        <w:t>SET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23"/>
          <w:szCs w:val="23"/>
        </w:rPr>
        <w:t>Engagement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23"/>
          <w:szCs w:val="23"/>
        </w:rPr>
        <w:t>Scale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sz w:val="23"/>
          <w:szCs w:val="23"/>
          <w:spacing w:val="6"/>
        </w:rPr>
        <w:t>或直接观察记录参与变化。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四、整合、协同与有意义的参与</w:t>
      </w:r>
    </w:p>
    <w:p>
      <w:pPr>
        <w:pStyle w:val="BodyText"/>
        <w:ind w:right="191"/>
        <w:spacing w:before="226" w:line="318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有效实践往往整合多类策略，产生协同效应。例如：**视觉日程表(结构)+兴趣融入(动机)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23"/>
        </w:rPr>
        <w:t>+同伴邀请(社交)+强化(行为)**的组合，比单一策略更能维持高参与度。</w:t>
      </w:r>
    </w:p>
    <w:p>
      <w:pPr>
        <w:pStyle w:val="BodyText"/>
        <w:spacing w:before="147" w:line="213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对自闭症学生而言，“有意义的参与”不限于口头表达，可包括：</w:t>
      </w:r>
    </w:p>
    <w:p>
      <w:pPr>
        <w:pStyle w:val="BodyText"/>
        <w:ind w:left="369"/>
        <w:spacing w:before="297" w:line="222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76"/>
        </w:rPr>
        <w:t xml:space="preserve"> </w:t>
      </w:r>
      <w:r>
        <w:rPr>
          <w:sz w:val="23"/>
          <w:szCs w:val="23"/>
          <w:spacing w:val="8"/>
        </w:rPr>
        <w:t>非言语回应(如指向图片)</w:t>
      </w:r>
    </w:p>
    <w:p>
      <w:pPr>
        <w:pStyle w:val="BodyText"/>
        <w:ind w:left="369"/>
        <w:spacing w:before="262" w:line="222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·</w:t>
      </w:r>
      <w:r>
        <w:rPr>
          <w:sz w:val="23"/>
          <w:szCs w:val="23"/>
          <w:spacing w:val="-78"/>
        </w:rPr>
        <w:t xml:space="preserve"> </w:t>
      </w:r>
      <w:r>
        <w:rPr>
          <w:sz w:val="23"/>
          <w:szCs w:val="23"/>
          <w:spacing w:val="9"/>
        </w:rPr>
        <w:t>平行参与(安静观察但专注)</w:t>
      </w:r>
    </w:p>
    <w:p>
      <w:pPr>
        <w:pStyle w:val="BodyText"/>
        <w:ind w:left="369"/>
        <w:spacing w:before="253" w:line="221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·</w:t>
      </w:r>
      <w:r>
        <w:rPr>
          <w:sz w:val="23"/>
          <w:szCs w:val="23"/>
          <w:spacing w:val="-88"/>
        </w:rPr>
        <w:t xml:space="preserve"> </w:t>
      </w:r>
      <w:r>
        <w:rPr>
          <w:sz w:val="23"/>
          <w:szCs w:val="23"/>
          <w:spacing w:val="-7"/>
        </w:rPr>
        <w:t>独立完成任务</w:t>
      </w:r>
    </w:p>
    <w:p>
      <w:pPr>
        <w:pStyle w:val="BodyText"/>
        <w:ind w:left="369"/>
        <w:spacing w:before="265" w:line="22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·</w:t>
      </w:r>
      <w:r>
        <w:rPr>
          <w:sz w:val="23"/>
          <w:szCs w:val="23"/>
          <w:spacing w:val="-91"/>
        </w:rPr>
        <w:t xml:space="preserve"> </w:t>
      </w:r>
      <w:r>
        <w:rPr>
          <w:sz w:val="23"/>
          <w:szCs w:val="23"/>
          <w:spacing w:val="-4"/>
        </w:rPr>
        <w:t>短暂高质量互动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76" w:line="21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这些形式同样有价值，应避免以典型学生标准衡量。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18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五、总结与实践启示</w:t>
      </w:r>
    </w:p>
    <w:p>
      <w:pPr>
        <w:pStyle w:val="BodyText"/>
        <w:ind w:right="21"/>
        <w:spacing w:before="223" w:line="342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增强自闭症学生课堂参与度的根本路径是从“障碍导向”转向“支持导向”</w:t>
      </w:r>
      <w:r>
        <w:rPr>
          <w:sz w:val="23"/>
          <w:szCs w:val="23"/>
          <w:spacing w:val="1"/>
        </w:rPr>
        <w:t>:理解神经多样性，减少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环境与教学中的不必要需求，放大优势与动机，提供多模态参与途径。</w:t>
      </w:r>
    </w:p>
    <w:p>
      <w:pPr>
        <w:pStyle w:val="BodyText"/>
        <w:spacing w:before="117" w:line="342" w:lineRule="auto"/>
        <w:jc w:val="both"/>
        <w:rPr>
          <w:sz w:val="23"/>
          <w:szCs w:val="23"/>
        </w:rPr>
      </w:pPr>
      <w:r>
        <w:rPr>
          <w:sz w:val="23"/>
          <w:szCs w:val="23"/>
          <w:spacing w:val="4"/>
        </w:rPr>
        <w:t>最具启发性的结论：最强大的“策略”往往不是复杂技术，而是教师的接纳态度、可预测的温暖环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5"/>
        </w:rPr>
        <w:t>境、以及对学生独特方式的真正尊重。当课堂成为“安全-可预测-有意义”的空间，</w:t>
      </w:r>
      <w:r>
        <w:rPr>
          <w:sz w:val="23"/>
          <w:szCs w:val="23"/>
          <w:spacing w:val="4"/>
        </w:rPr>
        <w:t>自闭症学生自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7"/>
        </w:rPr>
        <w:t>然会以自己的节奏和方式“参与进来”。</w:t>
      </w:r>
    </w:p>
    <w:p>
      <w:pPr>
        <w:spacing w:line="342" w:lineRule="auto"/>
        <w:sectPr>
          <w:pgSz w:w="12240" w:h="15840"/>
          <w:pgMar w:top="1221" w:right="1154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spacing w:before="44" w:line="351" w:lineRule="auto"/>
        <w:rPr>
          <w:sz w:val="23"/>
          <w:szCs w:val="23"/>
        </w:rPr>
      </w:pPr>
      <w:r>
        <w:rPr>
          <w:sz w:val="23"/>
          <w:szCs w:val="23"/>
          <w:spacing w:val="16"/>
        </w:rPr>
        <w:t>建议教师从一个小改变开始(如添加视觉日程+一</w:t>
      </w:r>
      <w:r>
        <w:rPr>
          <w:sz w:val="23"/>
          <w:szCs w:val="23"/>
          <w:spacing w:val="15"/>
        </w:rPr>
        <w:t>次兴趣融入),结合数据持续优化，并与团队/家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长共同庆祝每一点进步。这不仅是提升参与度，更是助力每位自闭症学生在课堂中找到归属与成</w:t>
      </w:r>
      <w:r>
        <w:rPr>
          <w:sz w:val="23"/>
          <w:szCs w:val="23"/>
          <w:spacing w:val="9"/>
        </w:rPr>
        <w:t xml:space="preserve">  </w:t>
      </w:r>
      <w:r>
        <w:rPr>
          <w:sz w:val="23"/>
          <w:szCs w:val="23"/>
          <w:spacing w:val="8"/>
        </w:rPr>
        <w:t>长的过程。</w:t>
      </w:r>
    </w:p>
    <w:sectPr>
      <w:pgSz w:w="12240" w:h="15840"/>
      <w:pgMar w:top="1200" w:right="1031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2026-03-15T23:59:55</vt:filetime>
  </property>
  <property fmtid="{D5CDD505-2E9C-101B-9397-08002B2CF9AE}" pid="4" name="UsrData">
    <vt:lpwstr>69b6d7796314910020303eabwl</vt:lpwstr>
  </property>
</Properties>
</file>