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62"/>
        <w:spacing w:before="63" w:line="318" w:lineRule="auto"/>
        <w:outlineLvl w:val="0"/>
        <w:rPr/>
      </w:pPr>
      <w:r>
        <w:rPr>
          <w:sz w:val="31"/>
          <w:szCs w:val="31"/>
          <w:spacing w:val="-8"/>
        </w:rPr>
        <w:t>提升自闭症谱系障碍</w:t>
      </w:r>
      <w:r>
        <w:rPr>
          <w:sz w:val="31"/>
          <w:szCs w:val="31"/>
          <w:spacing w:val="-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(ASD)  </w:t>
      </w:r>
      <w:r>
        <w:rPr>
          <w:sz w:val="31"/>
          <w:szCs w:val="31"/>
          <w:spacing w:val="-8"/>
        </w:rPr>
        <w:t>学生课堂参与度的系统性策略评估与实施方案</w:t>
      </w:r>
      <w:r>
        <w:rPr>
          <w:sz w:val="31"/>
          <w:szCs w:val="31"/>
          <w:spacing w:val="17"/>
        </w:rPr>
        <w:t xml:space="preserve"> </w:t>
      </w:r>
      <w:r>
        <w:rPr>
          <w:spacing w:val="3"/>
        </w:rPr>
        <w:t>关键要点</w:t>
      </w:r>
    </w:p>
    <w:p>
      <w:pPr>
        <w:pStyle w:val="BodyText"/>
        <w:ind w:left="499" w:right="184" w:hanging="130"/>
        <w:spacing w:before="239" w:line="268" w:lineRule="auto"/>
        <w:rPr/>
      </w:pPr>
      <w:r>
        <w:rPr>
          <w:spacing w:val="-2"/>
        </w:rPr>
        <w:t>·研究建议，自闭症谱系障碍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(ASD)  </w:t>
      </w:r>
      <w:r>
        <w:rPr>
          <w:spacing w:val="-2"/>
        </w:rPr>
        <w:t>学生通常面临社交沟通障碍、感知觉异常和执行功能缺</w:t>
      </w:r>
      <w:r>
        <w:rPr>
          <w:spacing w:val="9"/>
        </w:rPr>
        <w:t xml:space="preserve"> </w:t>
      </w:r>
      <w:r>
        <w:rPr>
          <w:spacing w:val="1"/>
        </w:rPr>
        <w:t>陷，这些可能降低课堂参与度，但通过针对性策略如应用行为分析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ABA</w:t>
      </w:r>
      <w:r>
        <w:rPr>
          <w:rFonts w:ascii="SimSun" w:hAnsi="SimSun" w:eastAsia="SimSun" w:cs="SimSun"/>
          <w:spacing w:val="1"/>
        </w:rPr>
        <w:t>)  </w:t>
      </w:r>
      <w:r>
        <w:rPr>
          <w:spacing w:val="1"/>
        </w:rPr>
        <w:t>和结构化教学</w:t>
      </w:r>
    </w:p>
    <w:p>
      <w:pPr>
        <w:pStyle w:val="BodyText"/>
        <w:ind w:left="669"/>
        <w:spacing w:before="152" w:line="219" w:lineRule="auto"/>
        <w:rPr/>
      </w:pPr>
      <w:r>
        <w:rPr>
          <w:rFonts w:ascii="SimSun" w:hAnsi="SimSun" w:eastAsia="SimSun" w:cs="SimSun"/>
          <w:spacing w:val="-5"/>
        </w:rPr>
        <w:t>(TEACCH),</w:t>
      </w:r>
      <w:r>
        <w:rPr>
          <w:rFonts w:ascii="SimSun" w:hAnsi="SimSun" w:eastAsia="SimSun" w:cs="SimSun"/>
          <w:spacing w:val="17"/>
        </w:rPr>
        <w:t xml:space="preserve">   </w:t>
      </w:r>
      <w:r>
        <w:rPr>
          <w:spacing w:val="-5"/>
        </w:rPr>
        <w:t>可能显著提升其互动水平。</w:t>
      </w:r>
    </w:p>
    <w:p>
      <w:pPr>
        <w:pStyle w:val="BodyText"/>
        <w:ind w:left="499" w:right="293" w:hanging="130"/>
        <w:spacing w:before="220" w:line="278" w:lineRule="auto"/>
        <w:rPr/>
      </w:pPr>
      <w:r>
        <w:rPr>
          <w:spacing w:val="-1"/>
        </w:rPr>
        <w:t>·证据显示，采用图片交换沟通系统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(PECS)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spacing w:val="-1"/>
        </w:rPr>
        <w:t>和正向行为支</w:t>
      </w:r>
      <w:r>
        <w:rPr>
          <w:spacing w:val="-2"/>
        </w:rPr>
        <w:t>持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(PBS)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2"/>
        </w:rPr>
        <w:t>等方法，在一定条件</w:t>
      </w:r>
      <w:r>
        <w:rPr>
          <w:spacing w:val="1"/>
        </w:rPr>
        <w:t xml:space="preserve"> </w:t>
      </w:r>
      <w:r>
        <w:rPr>
          <w:spacing w:val="-1"/>
        </w:rPr>
        <w:t>下可改善学生的专注力和合作性，尽管效果因个体差异而异。</w:t>
      </w:r>
    </w:p>
    <w:p>
      <w:pPr>
        <w:pStyle w:val="BodyText"/>
        <w:ind w:left="499" w:right="149" w:hanging="130"/>
        <w:spacing w:before="252" w:line="276" w:lineRule="auto"/>
        <w:rPr/>
      </w:pPr>
      <w:r>
        <w:rPr>
          <w:spacing w:val="-3"/>
        </w:rPr>
        <w:t>·建议考虑通用学习设计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3"/>
        </w:rPr>
        <w:t>(UDL)  </w:t>
      </w:r>
      <w:r>
        <w:rPr>
          <w:spacing w:val="-3"/>
        </w:rPr>
        <w:t>和辅助技术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(AT)  </w:t>
      </w:r>
      <w:r>
        <w:rPr>
          <w:spacing w:val="-3"/>
        </w:rPr>
        <w:t>作为包容性框架，以促进教育公平，但需</w:t>
      </w:r>
      <w:r>
        <w:rPr/>
        <w:t xml:space="preserve"> </w:t>
      </w:r>
      <w:r>
        <w:rPr>
          <w:spacing w:val="-3"/>
        </w:rPr>
        <w:t>结合学校资源和教师培训评估适用性。</w:t>
      </w:r>
    </w:p>
    <w:p>
      <w:pPr>
        <w:pStyle w:val="BodyText"/>
        <w:ind w:left="499" w:right="177" w:hanging="130"/>
        <w:spacing w:before="252" w:line="272" w:lineRule="auto"/>
        <w:rPr/>
      </w:pPr>
      <w:r>
        <w:rPr>
          <w:spacing w:val="-2"/>
        </w:rPr>
        <w:t>·总体而言，该领域存在争议，如行为干预的伦理问题，因此策略实施应强调个性化评估和多</w:t>
      </w:r>
      <w:r>
        <w:rPr>
          <w:spacing w:val="8"/>
        </w:rPr>
        <w:t xml:space="preserve"> </w:t>
      </w:r>
      <w:r>
        <w:rPr>
          <w:spacing w:val="-2"/>
        </w:rPr>
        <w:t>方协作，以平衡潜在益处与风险。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5"/>
        </w:rPr>
        <w:t>策略概述</w:t>
      </w:r>
    </w:p>
    <w:p>
      <w:pPr>
        <w:pStyle w:val="BodyText"/>
        <w:ind w:right="165"/>
        <w:spacing w:before="227" w:line="313" w:lineRule="auto"/>
        <w:rPr/>
      </w:pPr>
      <w:r>
        <w:rPr/>
        <w:t>提升</w:t>
      </w:r>
      <w:r>
        <w:rPr>
          <w:rFonts w:ascii="SimSun" w:hAnsi="SimSun" w:eastAsia="SimSun" w:cs="SimSun"/>
        </w:rPr>
        <w:t>ASD </w:t>
      </w:r>
      <w:r>
        <w:rPr/>
        <w:t>学生课堂参与度通常涉及多维度干预。据美国疾病控制与预防中心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</w:rPr>
        <w:t>(CDC)</w:t>
      </w:r>
      <w:r>
        <w:rPr>
          <w:rFonts w:ascii="SimSun" w:hAnsi="SimSun" w:eastAsia="SimSun" w:cs="SimSun"/>
          <w:spacing w:val="45"/>
        </w:rPr>
        <w:t xml:space="preserve">  </w:t>
      </w:r>
      <w:r>
        <w:rPr/>
        <w:t>报告指出，</w:t>
      </w:r>
      <w:r>
        <w:rPr>
          <w:spacing w:val="1"/>
        </w:rPr>
        <w:t xml:space="preserve"> </w:t>
      </w:r>
      <w:r>
        <w:rPr>
          <w:rFonts w:ascii="SimSun" w:hAnsi="SimSun" w:eastAsia="SimSun" w:cs="SimSun"/>
        </w:rPr>
        <w:t>ASD </w:t>
      </w:r>
      <w:r>
        <w:rPr/>
        <w:t>影响约1/54儿童的教育体验，强调早期干预的重要性</w:t>
      </w:r>
    </w:p>
    <w:p>
      <w:pPr>
        <w:pStyle w:val="BodyText"/>
        <w:ind w:right="92" w:firstLine="159"/>
        <w:spacing w:line="332" w:lineRule="auto"/>
        <w:rPr/>
      </w:pPr>
      <w:r>
        <w:rPr>
          <w:rFonts w:ascii="SimSun" w:hAnsi="SimSun" w:eastAsia="SimSun" w:cs="SimSun"/>
          <w:spacing w:val="-1"/>
        </w:rPr>
        <w:t>(</w:t>
      </w:r>
      <w:hyperlink w:history="true" r:id="rId1">
        <w:r>
          <w:rPr>
            <w:rFonts w:ascii="SimSun" w:hAnsi="SimSun" w:eastAsia="SimSun" w:cs="SimSun"/>
            <w:spacing w:val="-1"/>
          </w:rPr>
          <w:t>https://www.cdc.gov/ncbddd/autism/data.html</w:t>
        </w:r>
      </w:hyperlink>
      <w:r>
        <w:rPr>
          <w:rFonts w:ascii="SimSun" w:hAnsi="SimSun" w:eastAsia="SimSun" w:cs="SimSun"/>
          <w:spacing w:val="-1"/>
        </w:rPr>
        <w:t>)。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-1"/>
        </w:rPr>
        <w:t>核心策略包括行为支持、沟通辅助和环境</w:t>
      </w:r>
      <w:r>
        <w:rPr/>
        <w:t xml:space="preserve"> </w:t>
      </w:r>
      <w:r>
        <w:rPr>
          <w:spacing w:val="-1"/>
        </w:rPr>
        <w:t>调整，这些可能通过教师培训和家长参与来强化。</w:t>
      </w:r>
    </w:p>
    <w:p>
      <w:pPr>
        <w:pStyle w:val="BodyText"/>
        <w:ind w:left="3"/>
        <w:spacing w:before="210" w:line="222" w:lineRule="auto"/>
        <w:rPr/>
      </w:pPr>
      <w:r>
        <w:rPr>
          <w:b/>
          <w:bCs/>
          <w:spacing w:val="-6"/>
        </w:rPr>
        <w:t>实施考虑</w:t>
      </w:r>
    </w:p>
    <w:p>
      <w:pPr>
        <w:pStyle w:val="BodyText"/>
        <w:ind w:right="78"/>
        <w:spacing w:before="214" w:line="317" w:lineRule="auto"/>
        <w:rPr>
          <w:rFonts w:ascii="Arial" w:hAnsi="Arial" w:eastAsia="Arial" w:cs="Arial"/>
        </w:rPr>
      </w:pPr>
      <w:r>
        <w:rPr>
          <w:spacing w:val="4"/>
        </w:rPr>
        <w:t>在实际应用中，建议优先评估学生的具体需求，如中央统合不足(指大脑整合感官信息的困难),</w:t>
      </w:r>
      <w:r>
        <w:rPr>
          <w:spacing w:val="15"/>
        </w:rPr>
        <w:t xml:space="preserve"> </w:t>
      </w:r>
      <w:r>
        <w:rPr>
          <w:spacing w:val="1"/>
        </w:rPr>
        <w:t>并整合多学科团队。世界卫生组织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WHO</w:t>
      </w:r>
      <w:r>
        <w:rPr>
          <w:rFonts w:ascii="Times New Roman" w:hAnsi="Times New Roman" w:eastAsia="Times New Roman" w:cs="Times New Roman"/>
          <w:spacing w:val="1"/>
        </w:rPr>
        <w:t>)    </w:t>
      </w:r>
      <w:r>
        <w:rPr/>
        <w:t>建议，在全纳教育框架下，这些策略可支持可持续发</w:t>
      </w:r>
      <w:r>
        <w:rPr/>
        <w:t xml:space="preserve"> </w:t>
      </w:r>
      <w:r>
        <w:rPr/>
        <w:t>展目标</w:t>
      </w:r>
      <w:r>
        <w:rPr>
          <w:rFonts w:ascii="Arial" w:hAnsi="Arial" w:eastAsia="Arial" w:cs="Arial"/>
        </w:rPr>
        <w:t>SDG4</w:t>
      </w:r>
      <w:r>
        <w:rPr/>
        <w:t>的教育包容性</w:t>
      </w:r>
      <w:r>
        <w:rPr/>
        <w:t xml:space="preserve"> </w:t>
      </w:r>
      <w:r>
        <w:rPr>
          <w:rFonts w:ascii="Arial" w:hAnsi="Arial" w:eastAsia="Arial" w:cs="Arial"/>
        </w:rPr>
        <w:t>(</w:t>
      </w:r>
      <w:hyperlink w:history="true" r:id="rId2">
        <w:r>
          <w:rPr>
            <w:rFonts w:ascii="Arial" w:hAnsi="Arial" w:eastAsia="Arial" w:cs="Arial"/>
          </w:rPr>
          <w:t>https://www.who.int/news-room/fact-sheets/detail/aut</w:t>
        </w:r>
        <w:r>
          <w:rPr>
            <w:rFonts w:ascii="Arial" w:hAnsi="Arial" w:eastAsia="Arial" w:cs="Arial"/>
            <w:spacing w:val="-1"/>
          </w:rPr>
          <w:t>ism</w:t>
        </w:r>
      </w:hyperlink>
      <w:r>
        <w:rPr>
          <w:rFonts w:ascii="Arial" w:hAnsi="Arial" w:eastAsia="Arial" w:cs="Arial"/>
          <w:spacing w:val="-1"/>
        </w:rPr>
        <w:t>-</w:t>
      </w:r>
    </w:p>
    <w:p>
      <w:pPr>
        <w:pStyle w:val="BodyText"/>
        <w:spacing w:before="23" w:line="213" w:lineRule="auto"/>
        <w:rPr/>
      </w:pPr>
      <w:r>
        <w:rPr>
          <w:rFonts w:ascii="SimSun" w:hAnsi="SimSun" w:eastAsia="SimSun" w:cs="SimSun"/>
          <w:spacing w:val="-1"/>
        </w:rPr>
        <w:t>spectrum-disorders)。 </w:t>
      </w:r>
      <w:r>
        <w:rPr>
          <w:spacing w:val="-1"/>
        </w:rPr>
        <w:t>潜在挑战包括资源限制，因此实施应分阶段推进，并监测成效。</w:t>
      </w:r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155862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outlineLvl w:val="3"/>
        <w:rPr/>
      </w:pPr>
      <w:r>
        <w:rPr>
          <w:b/>
          <w:bCs/>
          <w:spacing w:val="-2"/>
        </w:rPr>
        <w:t>一、背景与必要性</w:t>
      </w:r>
    </w:p>
    <w:p>
      <w:pPr>
        <w:pStyle w:val="BodyText"/>
        <w:spacing w:before="201" w:line="327" w:lineRule="auto"/>
        <w:tabs>
          <w:tab w:val="left" w:pos="10314"/>
        </w:tabs>
        <w:jc w:val="both"/>
        <w:rPr/>
      </w:pPr>
      <w:r>
        <w:rPr>
          <w:spacing w:val="1"/>
        </w:rPr>
        <w:t>自闭症谱系障碍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ASD</w:t>
      </w:r>
      <w:r>
        <w:rPr>
          <w:rFonts w:ascii="Times New Roman" w:hAnsi="Times New Roman" w:eastAsia="Times New Roman" w:cs="Times New Roman"/>
          <w:spacing w:val="1"/>
        </w:rPr>
        <w:t>)   </w:t>
      </w:r>
      <w:r>
        <w:rPr>
          <w:spacing w:val="1"/>
        </w:rPr>
        <w:t>是一种神经发育障碍，通常表现为社交沟通困难、重复行为和感知觉异</w:t>
      </w:r>
      <w:r>
        <w:rPr/>
        <w:t xml:space="preserve">  </w:t>
      </w:r>
      <w:r>
        <w:rPr>
          <w:spacing w:val="4"/>
        </w:rPr>
        <w:t>常(指对感官刺激的异常反应，如噪音敏感)。据世界卫生组织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WHO</w:t>
      </w:r>
      <w:r>
        <w:rPr>
          <w:rFonts w:ascii="Arial" w:hAnsi="Arial" w:eastAsia="Arial" w:cs="Arial"/>
          <w:spacing w:val="4"/>
        </w:rPr>
        <w:t>)   </w:t>
      </w:r>
      <w:r>
        <w:rPr>
          <w:spacing w:val="4"/>
        </w:rPr>
        <w:t>报告指出，</w:t>
      </w:r>
      <w:r>
        <w:rPr>
          <w:rFonts w:ascii="Arial" w:hAnsi="Arial" w:eastAsia="Arial" w:cs="Arial"/>
        </w:rPr>
        <w:t>ASD</w:t>
      </w:r>
      <w:r>
        <w:rPr>
          <w:spacing w:val="4"/>
        </w:rPr>
        <w:t>影响全</w:t>
      </w:r>
      <w:r>
        <w:rPr/>
        <w:t xml:space="preserve">  </w:t>
      </w:r>
      <w:r>
        <w:rPr>
          <w:spacing w:val="-1"/>
        </w:rPr>
        <w:t>球约1/59儿童的教育机会，强调提升课堂参与度的必要性，以促进教育公平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(WHO,2023)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。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spacing w:val="-1"/>
        </w:rPr>
        <w:t>本</w:t>
      </w:r>
      <w:r>
        <w:rPr/>
        <w:tab/>
      </w:r>
      <w:r>
        <w:rPr/>
        <w:t xml:space="preserve"> </w:t>
      </w:r>
      <w:r>
        <w:rPr>
          <w:spacing w:val="-5"/>
        </w:rPr>
        <w:t>报告评估系统性策略，并提出实施方案，旨在回应“如</w:t>
      </w:r>
      <w:r>
        <w:rPr>
          <w:spacing w:val="-6"/>
        </w:rPr>
        <w:t>何增强</w:t>
      </w:r>
      <w:r>
        <w:rPr>
          <w:rFonts w:ascii="Times New Roman" w:hAnsi="Times New Roman" w:eastAsia="Times New Roman" w:cs="Times New Roman"/>
          <w:spacing w:val="-6"/>
        </w:rPr>
        <w:t>ASD</w:t>
      </w:r>
      <w:r>
        <w:rPr>
          <w:spacing w:val="-6"/>
        </w:rPr>
        <w:t>学生课堂参与度”和“有效策略”</w:t>
      </w:r>
      <w:r>
        <w:rPr/>
        <w:t xml:space="preserve"> </w:t>
      </w:r>
      <w:r>
        <w:rPr>
          <w:spacing w:val="-3"/>
        </w:rPr>
        <w:t>的核心问题。</w:t>
      </w:r>
    </w:p>
    <w:p>
      <w:pPr>
        <w:spacing w:line="327" w:lineRule="auto"/>
        <w:sectPr>
          <w:pgSz w:w="12240" w:h="15840"/>
          <w:pgMar w:top="1047" w:right="944" w:bottom="0" w:left="980" w:header="0" w:footer="0" w:gutter="0"/>
        </w:sectPr>
        <w:rPr/>
      </w:pPr>
    </w:p>
    <w:p>
      <w:pPr>
        <w:pStyle w:val="BodyText"/>
        <w:spacing w:before="48" w:line="221" w:lineRule="auto"/>
        <w:rPr/>
      </w:pPr>
      <w:r>
        <w:rPr/>
        <w:t>(一)</w:t>
      </w:r>
      <w:r>
        <w:rPr>
          <w:rFonts w:ascii="Times New Roman" w:hAnsi="Times New Roman" w:eastAsia="Times New Roman" w:cs="Times New Roman"/>
        </w:rPr>
        <w:t>ASD</w:t>
      </w:r>
      <w:r>
        <w:rPr/>
        <w:t>学生课堂参与的核心挑战</w:t>
      </w:r>
    </w:p>
    <w:p>
      <w:pPr>
        <w:pStyle w:val="BodyText"/>
        <w:ind w:right="187"/>
        <w:spacing w:before="213" w:line="33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ASD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学生的课堂参与度通常较低，可能源于执行功能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executive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rFonts w:ascii="SimSun" w:hAnsi="SimSun" w:eastAsia="SimSun" w:cs="SimSun"/>
        </w:rPr>
        <w:t>function</w:t>
      </w:r>
      <w:r>
        <w:rPr>
          <w:rFonts w:ascii="SimSun" w:hAnsi="SimSun" w:eastAsia="SimSun" w:cs="SimSun"/>
          <w:spacing w:val="1"/>
        </w:rPr>
        <w:t>,</w:t>
      </w:r>
      <w:r>
        <w:rPr>
          <w:spacing w:val="1"/>
        </w:rPr>
        <w:t>指规划、注意力和</w:t>
      </w:r>
      <w:r>
        <w:rPr/>
        <w:t xml:space="preserve"> </w:t>
      </w:r>
      <w:r>
        <w:rPr>
          <w:spacing w:val="2"/>
        </w:rPr>
        <w:t>自我控制的能力)缺陷。据美国国家卫生研究院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NIH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spacing w:val="2"/>
        </w:rPr>
        <w:t>研究指出，这些挑战可能导致注意力分</w:t>
      </w:r>
      <w:r>
        <w:rPr/>
        <w:t xml:space="preserve"> </w:t>
      </w:r>
      <w:r>
        <w:rPr>
          <w:spacing w:val="-4"/>
        </w:rPr>
        <w:t>散和社交退缩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(NIH,2022)。</w:t>
      </w:r>
    </w:p>
    <w:p>
      <w:pPr>
        <w:pStyle w:val="BodyText"/>
        <w:spacing w:before="217" w:line="222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社交沟通障碍的具体表现</w:t>
      </w:r>
    </w:p>
    <w:p>
      <w:pPr>
        <w:pStyle w:val="BodyText"/>
        <w:ind w:right="145"/>
        <w:spacing w:before="231" w:line="317" w:lineRule="auto"/>
        <w:rPr>
          <w:rFonts w:ascii="SimSun" w:hAnsi="SimSun" w:eastAsia="SimSun" w:cs="SimSun"/>
        </w:rPr>
      </w:pPr>
      <w:r>
        <w:rPr/>
        <w:t>社交沟通障碍可能包括非语言线索解读困难和表达延迟。据哈佛大学医学</w:t>
      </w:r>
      <w:r>
        <w:rPr>
          <w:spacing w:val="-1"/>
        </w:rPr>
        <w:t>院报告指出，这通常表</w:t>
      </w:r>
      <w:r>
        <w:rPr/>
        <w:t xml:space="preserve"> </w:t>
      </w:r>
      <w:r>
        <w:rPr/>
        <w:t>现为眼神接触避免和对话维持问题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(Harvard     Medical      School,2021)</w:t>
      </w:r>
      <w:r>
        <w:rPr>
          <w:rFonts w:ascii="SimSun" w:hAnsi="SimSun" w:eastAsia="SimSun" w:cs="SimSun"/>
        </w:rPr>
        <w:t>。</w:t>
      </w:r>
    </w:p>
    <w:p>
      <w:pPr>
        <w:pStyle w:val="BodyText"/>
        <w:spacing w:before="167" w:line="222" w:lineRule="auto"/>
        <w:rPr/>
      </w:pPr>
      <w:r>
        <w:rPr>
          <w:spacing w:val="19"/>
        </w:rPr>
        <w:t>#######(1)感知觉异常的影响</w:t>
      </w:r>
    </w:p>
    <w:p>
      <w:pPr>
        <w:pStyle w:val="BodyText"/>
        <w:spacing w:before="99" w:line="213" w:lineRule="auto"/>
        <w:rPr/>
      </w:pPr>
      <w:r>
        <w:rPr>
          <w:spacing w:val="-2"/>
        </w:rPr>
        <w:t>感知觉异常可能放大课堂噪音或光线，导致学生退缩行为。</w:t>
      </w:r>
    </w:p>
    <w:p>
      <w:pPr>
        <w:pStyle w:val="BodyText"/>
        <w:spacing w:before="212" w:line="219" w:lineRule="auto"/>
        <w:rPr/>
      </w:pPr>
      <w:r>
        <w:rPr>
          <w:spacing w:val="18"/>
        </w:rPr>
        <w:t>#######(2)执行功能缺陷的课堂体现</w:t>
      </w:r>
    </w:p>
    <w:p>
      <w:pPr>
        <w:pStyle w:val="BodyText"/>
        <w:spacing w:before="186" w:line="213" w:lineRule="auto"/>
        <w:rPr/>
      </w:pPr>
      <w:r>
        <w:rPr>
          <w:spacing w:val="-1"/>
        </w:rPr>
        <w:t>执行功能缺陷通常而言可能导致任务转换困难</w:t>
      </w:r>
      <w:r>
        <w:rPr>
          <w:spacing w:val="-2"/>
        </w:rPr>
        <w:t>，影响小组活动参与。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rFonts w:ascii="SimSun" w:hAnsi="SimSun" w:eastAsia="SimSun" w:cs="SimSun"/>
          <w:spacing w:val="3"/>
        </w:rPr>
        <w:t>2.</w:t>
      </w:r>
      <w:r>
        <w:rPr>
          <w:spacing w:val="3"/>
        </w:rPr>
        <w:t>行为与情感调节问题</w:t>
      </w:r>
    </w:p>
    <w:p>
      <w:pPr>
        <w:pStyle w:val="BodyText"/>
        <w:spacing w:before="257" w:line="217" w:lineRule="auto"/>
        <w:rPr/>
      </w:pPr>
      <w:r>
        <w:rPr>
          <w:spacing w:val="3"/>
        </w:rPr>
        <w:t>行为问题如刻板行为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stereotypy</w:t>
      </w:r>
      <w:r>
        <w:rPr>
          <w:rFonts w:ascii="SimSun" w:hAnsi="SimSun" w:eastAsia="SimSun" w:cs="SimSun"/>
          <w:spacing w:val="3"/>
        </w:rPr>
        <w:t>,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spacing w:val="3"/>
        </w:rPr>
        <w:t>指重复动作)可能干扰课堂互动。据英国国家自</w:t>
      </w:r>
      <w:r>
        <w:rPr>
          <w:spacing w:val="2"/>
        </w:rPr>
        <w:t>闭症协会</w:t>
      </w:r>
    </w:p>
    <w:p>
      <w:pPr>
        <w:pStyle w:val="BodyText"/>
        <w:ind w:firstLine="149"/>
        <w:spacing w:before="132" w:line="30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(National Autistic Society)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3"/>
        </w:rPr>
        <w:t>指出，这些问题需通过正向行为支持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4"/>
        </w:rPr>
        <w:t>PBS,  </w:t>
      </w:r>
      <w:r>
        <w:rPr>
          <w:spacing w:val="-4"/>
        </w:rPr>
        <w:t>指强化积极行为而非</w:t>
      </w:r>
      <w:r>
        <w:rPr/>
        <w:t xml:space="preserve"> </w:t>
      </w:r>
      <w:r>
        <w:rPr>
          <w:spacing w:val="6"/>
        </w:rPr>
        <w:t>惩罚的框架)来缓解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NAS</w:t>
      </w:r>
      <w:r>
        <w:rPr>
          <w:rFonts w:ascii="Times New Roman" w:hAnsi="Times New Roman" w:eastAsia="Times New Roman" w:cs="Times New Roman"/>
          <w:spacing w:val="6"/>
        </w:rPr>
        <w:t>,2024)</w:t>
      </w:r>
      <w:r>
        <w:rPr>
          <w:rFonts w:ascii="SimSun" w:hAnsi="SimSun" w:eastAsia="SimSun" w:cs="SimSun"/>
          <w:spacing w:val="6"/>
        </w:rPr>
        <w:t>。</w:t>
      </w:r>
    </w:p>
    <w:p>
      <w:pPr>
        <w:pStyle w:val="BodyText"/>
        <w:spacing w:before="296" w:line="221" w:lineRule="auto"/>
        <w:rPr/>
      </w:pPr>
      <w:r>
        <w:rPr>
          <w:spacing w:val="-2"/>
        </w:rPr>
        <w:t>(二)提升参与度的政策与研究基础</w:t>
      </w:r>
    </w:p>
    <w:p>
      <w:pPr>
        <w:pStyle w:val="BodyText"/>
        <w:ind w:right="55"/>
        <w:spacing w:before="231" w:line="318" w:lineRule="auto"/>
        <w:rPr/>
      </w:pPr>
      <w:r>
        <w:rPr/>
        <w:t>据联合国教科文组织</w:t>
      </w:r>
      <w:r>
        <w:rPr/>
        <w:t xml:space="preserve"> </w:t>
      </w:r>
      <w:r>
        <w:rPr>
          <w:rFonts w:ascii="SimSun" w:hAnsi="SimSun" w:eastAsia="SimSun" w:cs="SimSun"/>
        </w:rPr>
        <w:t>(UNESCO)</w:t>
      </w:r>
      <w:r>
        <w:rPr>
          <w:rFonts w:ascii="SimSun" w:hAnsi="SimSun" w:eastAsia="SimSun" w:cs="SimSun"/>
          <w:spacing w:val="30"/>
        </w:rPr>
        <w:t xml:space="preserve">   </w:t>
      </w:r>
      <w:r>
        <w:rPr/>
        <w:t>报告指出，全纳教育</w:t>
      </w:r>
      <w:r>
        <w:rPr/>
        <w:t xml:space="preserve"> </w:t>
      </w:r>
      <w:r>
        <w:rPr>
          <w:rFonts w:ascii="SimSun" w:hAnsi="SimSun" w:eastAsia="SimSun" w:cs="SimSun"/>
        </w:rPr>
        <w:t>(inclusive educa</w:t>
      </w:r>
      <w:r>
        <w:rPr>
          <w:rFonts w:ascii="SimSun" w:hAnsi="SimSun" w:eastAsia="SimSun" w:cs="SimSun"/>
          <w:spacing w:val="-1"/>
        </w:rPr>
        <w:t>tion,</w:t>
      </w:r>
      <w:r>
        <w:rPr>
          <w:spacing w:val="-1"/>
        </w:rPr>
        <w:t>指所有学生共同</w:t>
      </w:r>
      <w:r>
        <w:rPr>
          <w:spacing w:val="2"/>
        </w:rPr>
        <w:t xml:space="preserve"> </w:t>
      </w:r>
      <w:r>
        <w:rPr>
          <w:spacing w:val="4"/>
        </w:rPr>
        <w:t>学习的模式)是提升</w:t>
      </w:r>
      <w:r>
        <w:rPr>
          <w:rFonts w:ascii="SimSun" w:hAnsi="SimSun" w:eastAsia="SimSun" w:cs="SimSun"/>
        </w:rPr>
        <w:t>ASD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学生参与度的战略基础，与可持续发展目标</w:t>
      </w:r>
      <w:r>
        <w:rPr>
          <w:rFonts w:ascii="SimSun" w:hAnsi="SimSun" w:eastAsia="SimSun" w:cs="SimSun"/>
        </w:rPr>
        <w:t>SDG</w:t>
      </w:r>
      <w:r>
        <w:rPr>
          <w:rFonts w:ascii="SimSun" w:hAnsi="SimSun" w:eastAsia="SimSun" w:cs="SimSun"/>
          <w:spacing w:val="4"/>
        </w:rPr>
        <w:t>4</w:t>
      </w:r>
      <w:r>
        <w:rPr>
          <w:rFonts w:ascii="SimSun" w:hAnsi="SimSun" w:eastAsia="SimSun" w:cs="SimSun"/>
          <w:spacing w:val="35"/>
        </w:rPr>
        <w:t xml:space="preserve">  </w:t>
      </w:r>
      <w:r>
        <w:rPr>
          <w:spacing w:val="4"/>
        </w:rPr>
        <w:t>(确</w:t>
      </w:r>
      <w:r>
        <w:rPr>
          <w:spacing w:val="3"/>
        </w:rPr>
        <w:t>保包容和公平的</w:t>
      </w:r>
      <w:r>
        <w:rPr/>
        <w:t xml:space="preserve">  </w:t>
      </w:r>
      <w:r>
        <w:rPr>
          <w:spacing w:val="14"/>
        </w:rPr>
        <w:t>优质教育)相联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14"/>
        </w:rPr>
        <w:t>(</w:t>
      </w:r>
      <w:r>
        <w:rPr>
          <w:rFonts w:ascii="Arial" w:hAnsi="Arial" w:eastAsia="Arial" w:cs="Arial"/>
        </w:rPr>
        <w:t>UNESCO</w:t>
      </w:r>
      <w:r>
        <w:rPr>
          <w:rFonts w:ascii="Arial" w:hAnsi="Arial" w:eastAsia="Arial" w:cs="Arial"/>
          <w:spacing w:val="14"/>
        </w:rPr>
        <w:t>,2020)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SimSun" w:hAnsi="SimSun" w:eastAsia="SimSun" w:cs="SimSun"/>
          <w:spacing w:val="14"/>
        </w:rPr>
        <w:t>。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14"/>
        </w:rPr>
        <w:t>研究显示，</w:t>
      </w:r>
      <w:r>
        <w:rPr>
          <w:spacing w:val="13"/>
        </w:rPr>
        <w:t>系统性策略可能改善参与度达30%-50%,但</w:t>
      </w:r>
      <w:r>
        <w:rPr/>
        <w:t xml:space="preserve">  </w:t>
      </w:r>
      <w:r>
        <w:rPr>
          <w:spacing w:val="-5"/>
        </w:rPr>
        <w:t>需考虑个体变异性。</w:t>
      </w:r>
    </w:p>
    <w:p>
      <w:pPr>
        <w:pStyle w:val="BodyText"/>
        <w:ind w:left="3"/>
        <w:spacing w:before="246" w:line="222" w:lineRule="auto"/>
        <w:outlineLvl w:val="3"/>
        <w:rPr/>
      </w:pPr>
      <w:r>
        <w:rPr>
          <w:b/>
          <w:bCs/>
          <w:spacing w:val="-2"/>
        </w:rPr>
        <w:t>二、策略评估</w:t>
      </w:r>
    </w:p>
    <w:p>
      <w:pPr>
        <w:pStyle w:val="BodyText"/>
        <w:ind w:right="121"/>
        <w:spacing w:before="223" w:line="320" w:lineRule="auto"/>
        <w:rPr/>
      </w:pPr>
      <w:r>
        <w:rPr/>
        <w:t>本节评估主要策略类别，包括行为干预、沟通支持和环境调整。每个类别论述优势后，分析潜在</w:t>
      </w:r>
      <w:r>
        <w:rPr>
          <w:spacing w:val="14"/>
        </w:rPr>
        <w:t xml:space="preserve"> </w:t>
      </w:r>
      <w:r>
        <w:rPr>
          <w:spacing w:val="-1"/>
        </w:rPr>
        <w:t>局限与适用条件。</w:t>
      </w:r>
    </w:p>
    <w:p>
      <w:pPr>
        <w:pStyle w:val="BodyText"/>
        <w:spacing w:before="249" w:line="222" w:lineRule="auto"/>
        <w:rPr/>
      </w:pPr>
      <w:r>
        <w:rPr>
          <w:spacing w:val="-1"/>
        </w:rPr>
        <w:t>(一)行为干预策略</w:t>
      </w:r>
    </w:p>
    <w:p>
      <w:pPr>
        <w:pStyle w:val="BodyText"/>
        <w:spacing w:before="241" w:line="221" w:lineRule="auto"/>
        <w:rPr/>
      </w:pPr>
      <w:r>
        <w:rPr>
          <w:spacing w:val="-2"/>
        </w:rPr>
        <w:t>行为干预旨在通过强化学习提升参与度。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79" w:line="21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4"/>
        </w:rPr>
        <w:t>1. </w:t>
      </w:r>
      <w:r>
        <w:rPr>
          <w:spacing w:val="-4"/>
        </w:rPr>
        <w:t>应用行为分析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4"/>
        </w:rPr>
        <w:t>(ABA)</w:t>
      </w:r>
    </w:p>
    <w:p>
      <w:pPr>
        <w:spacing w:line="212" w:lineRule="auto"/>
        <w:sectPr>
          <w:pgSz w:w="12240" w:h="15840"/>
          <w:pgMar w:top="1279" w:right="1043" w:bottom="0" w:left="980" w:header="0" w:footer="0" w:gutter="0"/>
        </w:sectPr>
        <w:rPr>
          <w:rFonts w:ascii="Arial" w:hAnsi="Arial" w:eastAsia="Arial" w:cs="Arial"/>
        </w:rPr>
      </w:pPr>
    </w:p>
    <w:p>
      <w:pPr>
        <w:pStyle w:val="BodyText"/>
        <w:spacing w:before="47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ABA</w:t>
      </w:r>
      <w:r>
        <w:rPr>
          <w:rFonts w:ascii="SimSun" w:hAnsi="SimSun" w:eastAsia="SimSun" w:cs="SimSun"/>
          <w:sz w:val="23"/>
          <w:szCs w:val="23"/>
          <w:spacing w:val="68"/>
        </w:rPr>
        <w:t xml:space="preserve"> </w:t>
      </w:r>
      <w:r>
        <w:rPr>
          <w:sz w:val="23"/>
          <w:szCs w:val="23"/>
          <w:spacing w:val="10"/>
        </w:rPr>
        <w:t>是一种基于操作性条件反射的干预，通常涉及分解任务和奖励系统。据美国行为分析认证委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员会</w:t>
      </w:r>
      <w:r>
        <w:rPr>
          <w:sz w:val="23"/>
          <w:szCs w:val="23"/>
          <w:spacing w:val="6"/>
        </w:rPr>
        <w:t xml:space="preserve"> </w:t>
      </w:r>
      <w:r>
        <w:rPr>
          <w:rFonts w:ascii="Arial" w:hAnsi="Arial" w:eastAsia="Arial" w:cs="Arial"/>
          <w:sz w:val="23"/>
          <w:szCs w:val="23"/>
          <w:spacing w:val="6"/>
        </w:rPr>
        <w:t>(</w:t>
      </w:r>
      <w:r>
        <w:rPr>
          <w:rFonts w:ascii="Arial" w:hAnsi="Arial" w:eastAsia="Arial" w:cs="Arial"/>
          <w:sz w:val="23"/>
          <w:szCs w:val="23"/>
        </w:rPr>
        <w:t>BACB</w:t>
      </w:r>
      <w:r>
        <w:rPr>
          <w:rFonts w:ascii="Arial" w:hAnsi="Arial" w:eastAsia="Arial" w:cs="Arial"/>
          <w:sz w:val="23"/>
          <w:szCs w:val="23"/>
          <w:spacing w:val="6"/>
        </w:rPr>
        <w:t>)   </w:t>
      </w:r>
      <w:r>
        <w:rPr>
          <w:sz w:val="23"/>
          <w:szCs w:val="23"/>
          <w:spacing w:val="6"/>
        </w:rPr>
        <w:t>报告指出，</w:t>
      </w:r>
      <w:r>
        <w:rPr>
          <w:sz w:val="23"/>
          <w:szCs w:val="23"/>
          <w:spacing w:val="-65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ABA</w:t>
      </w:r>
      <w:r>
        <w:rPr>
          <w:rFonts w:ascii="Arial" w:hAnsi="Arial" w:eastAsia="Arial" w:cs="Arial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可能提升</w:t>
      </w:r>
      <w:r>
        <w:rPr>
          <w:rFonts w:ascii="Arial" w:hAnsi="Arial" w:eastAsia="Arial" w:cs="Arial"/>
          <w:sz w:val="23"/>
          <w:szCs w:val="23"/>
        </w:rPr>
        <w:t>ASD</w:t>
      </w:r>
      <w:r>
        <w:rPr>
          <w:sz w:val="23"/>
          <w:szCs w:val="23"/>
          <w:spacing w:val="6"/>
        </w:rPr>
        <w:t>学生</w:t>
      </w:r>
      <w:r>
        <w:rPr>
          <w:sz w:val="23"/>
          <w:szCs w:val="23"/>
          <w:spacing w:val="5"/>
        </w:rPr>
        <w:t>的任务完成率</w:t>
      </w:r>
      <w:r>
        <w:rPr>
          <w:sz w:val="23"/>
          <w:szCs w:val="23"/>
          <w:spacing w:val="5"/>
        </w:rPr>
        <w:t xml:space="preserve"> </w:t>
      </w:r>
      <w:r>
        <w:rPr>
          <w:rFonts w:ascii="Arial" w:hAnsi="Arial" w:eastAsia="Arial" w:cs="Arial"/>
          <w:sz w:val="23"/>
          <w:szCs w:val="23"/>
          <w:spacing w:val="5"/>
        </w:rPr>
        <w:t>(</w:t>
      </w:r>
      <w:r>
        <w:rPr>
          <w:rFonts w:ascii="Arial" w:hAnsi="Arial" w:eastAsia="Arial" w:cs="Arial"/>
          <w:sz w:val="23"/>
          <w:szCs w:val="23"/>
        </w:rPr>
        <w:t>BACB</w:t>
      </w:r>
      <w:r>
        <w:rPr>
          <w:rFonts w:ascii="Arial" w:hAnsi="Arial" w:eastAsia="Arial" w:cs="Arial"/>
          <w:sz w:val="23"/>
          <w:szCs w:val="23"/>
          <w:spacing w:val="5"/>
        </w:rPr>
        <w:t>,2023)</w:t>
      </w:r>
      <w:r>
        <w:rPr>
          <w:rFonts w:ascii="SimSun" w:hAnsi="SimSun" w:eastAsia="SimSun" w:cs="SimSun"/>
          <w:sz w:val="23"/>
          <w:szCs w:val="23"/>
          <w:spacing w:val="5"/>
        </w:rPr>
        <w:t>。</w:t>
      </w:r>
    </w:p>
    <w:p>
      <w:pPr>
        <w:pStyle w:val="BodyText"/>
        <w:spacing w:before="154" w:line="224" w:lineRule="auto"/>
        <w:rPr>
          <w:sz w:val="23"/>
          <w:szCs w:val="23"/>
        </w:rPr>
      </w:pPr>
      <w:r>
        <w:rPr>
          <w:sz w:val="23"/>
          <w:szCs w:val="23"/>
          <w:spacing w:val="33"/>
        </w:rPr>
        <w:t>#######(1)优势</w:t>
      </w:r>
    </w:p>
    <w:p>
      <w:pPr>
        <w:pStyle w:val="BodyText"/>
        <w:spacing w:before="117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通常而言，</w:t>
      </w:r>
      <w:r>
        <w:rPr>
          <w:rFonts w:ascii="Arial" w:hAnsi="Arial" w:eastAsia="Arial" w:cs="Arial"/>
          <w:sz w:val="23"/>
          <w:szCs w:val="23"/>
        </w:rPr>
        <w:t>ABA</w:t>
      </w:r>
      <w:r>
        <w:rPr>
          <w:rFonts w:ascii="Arial" w:hAnsi="Arial" w:eastAsia="Arial" w:cs="Arial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7"/>
        </w:rPr>
        <w:t>提供结构化指导，可能改善执行功能。</w:t>
      </w:r>
    </w:p>
    <w:p>
      <w:pPr>
        <w:pStyle w:val="BodyText"/>
        <w:spacing w:before="296" w:line="222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#######(2)潜在局限与适用条件</w:t>
      </w:r>
    </w:p>
    <w:p>
      <w:pPr>
        <w:pStyle w:val="BodyText"/>
        <w:ind w:right="31"/>
        <w:spacing w:before="112" w:line="354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潜在局限包括过度依赖外部奖励，可能导致内在动机缺失。适用条件：在早期干预阶段，结合家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4"/>
        </w:rPr>
        <w:t>长培训时效果较佳。</w:t>
      </w:r>
    </w:p>
    <w:p>
      <w:pPr>
        <w:pStyle w:val="BodyText"/>
        <w:spacing w:before="218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2.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sz w:val="23"/>
          <w:szCs w:val="23"/>
          <w:spacing w:val="3"/>
        </w:rPr>
        <w:t>正向行为支持</w:t>
      </w:r>
      <w:r>
        <w:rPr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(</w:t>
      </w:r>
      <w:r>
        <w:rPr>
          <w:rFonts w:ascii="SimSun" w:hAnsi="SimSun" w:eastAsia="SimSun" w:cs="SimSun"/>
          <w:sz w:val="23"/>
          <w:szCs w:val="23"/>
        </w:rPr>
        <w:t>PBS</w:t>
      </w:r>
      <w:r>
        <w:rPr>
          <w:rFonts w:ascii="SimSun" w:hAnsi="SimSun" w:eastAsia="SimSun" w:cs="SimSun"/>
          <w:sz w:val="23"/>
          <w:szCs w:val="23"/>
          <w:spacing w:val="3"/>
        </w:rPr>
        <w:t>)</w:t>
      </w:r>
    </w:p>
    <w:p>
      <w:pPr>
        <w:pStyle w:val="BodyText"/>
        <w:ind w:right="135"/>
        <w:spacing w:before="248" w:line="356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PBS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7"/>
        </w:rPr>
        <w:t>强调环境调整以预防问题行为。据加州大学洛杉矶分校</w:t>
      </w:r>
      <w:r>
        <w:rPr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UCLA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</w:t>
      </w:r>
      <w:r>
        <w:rPr>
          <w:sz w:val="23"/>
          <w:szCs w:val="23"/>
          <w:spacing w:val="7"/>
        </w:rPr>
        <w:t>研究指出，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PBS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7"/>
        </w:rPr>
        <w:t>可能减少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课堂中断</w:t>
      </w:r>
      <w:r>
        <w:rPr>
          <w:sz w:val="23"/>
          <w:szCs w:val="23"/>
          <w:spacing w:val="-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(UCLA,2022)。</w:t>
      </w:r>
    </w:p>
    <w:p>
      <w:pPr>
        <w:pStyle w:val="BodyText"/>
        <w:spacing w:before="81" w:line="224" w:lineRule="auto"/>
        <w:rPr>
          <w:sz w:val="23"/>
          <w:szCs w:val="23"/>
        </w:rPr>
      </w:pPr>
      <w:r>
        <w:rPr>
          <w:sz w:val="23"/>
          <w:szCs w:val="23"/>
          <w:spacing w:val="33"/>
        </w:rPr>
        <w:t>#######(1)优势</w:t>
      </w:r>
    </w:p>
    <w:p>
      <w:pPr>
        <w:pStyle w:val="BodyText"/>
        <w:spacing w:before="148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它促进情感调节，可能增强学生自信。</w:t>
      </w:r>
    </w:p>
    <w:p>
      <w:pPr>
        <w:pStyle w:val="BodyText"/>
        <w:spacing w:before="297" w:line="222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#######(2)潜在局限与适用条件</w:t>
      </w:r>
    </w:p>
    <w:p>
      <w:pPr>
        <w:pStyle w:val="BodyText"/>
        <w:spacing w:before="111" w:line="21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局限在于实施需多方协作，可能资源密集。适用条</w:t>
      </w:r>
      <w:r>
        <w:rPr>
          <w:sz w:val="23"/>
          <w:szCs w:val="23"/>
          <w:spacing w:val="9"/>
        </w:rPr>
        <w:t>件：在学校有行为专家支持的环境下。</w:t>
      </w:r>
    </w:p>
    <w:p>
      <w:pPr>
        <w:pStyle w:val="BodyText"/>
        <w:spacing w:before="295" w:line="22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以下表格比较行为干预策略：</w:t>
      </w:r>
    </w:p>
    <w:p>
      <w:pPr>
        <w:pStyle w:val="BodyText"/>
        <w:ind w:left="3"/>
        <w:spacing w:before="312" w:line="22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5"/>
        </w:rPr>
        <w:t>策略类型</w:t>
      </w:r>
      <w:r>
        <w:rPr>
          <w:sz w:val="23"/>
          <w:szCs w:val="23"/>
          <w:spacing w:val="-15"/>
        </w:rPr>
        <w:t xml:space="preserve">  </w:t>
      </w:r>
      <w:r>
        <w:rPr>
          <w:sz w:val="23"/>
          <w:szCs w:val="23"/>
          <w:b/>
          <w:bCs/>
          <w:spacing w:val="-15"/>
        </w:rPr>
        <w:t>核心机制</w:t>
      </w:r>
      <w:r>
        <w:rPr>
          <w:sz w:val="23"/>
          <w:szCs w:val="23"/>
          <w:spacing w:val="13"/>
        </w:rPr>
        <w:t xml:space="preserve">       </w:t>
      </w:r>
      <w:r>
        <w:rPr>
          <w:sz w:val="23"/>
          <w:szCs w:val="23"/>
          <w:b/>
          <w:bCs/>
          <w:spacing w:val="-15"/>
        </w:rPr>
        <w:t>优势</w:t>
      </w:r>
      <w:r>
        <w:rPr>
          <w:sz w:val="23"/>
          <w:szCs w:val="23"/>
          <w:spacing w:val="-15"/>
        </w:rPr>
        <w:t xml:space="preserve">          </w:t>
      </w:r>
      <w:r>
        <w:rPr>
          <w:sz w:val="23"/>
          <w:szCs w:val="23"/>
          <w:b/>
          <w:bCs/>
          <w:spacing w:val="-15"/>
          <w:position w:val="1"/>
        </w:rPr>
        <w:t>潜在局限</w:t>
      </w:r>
      <w:r>
        <w:rPr>
          <w:sz w:val="23"/>
          <w:szCs w:val="23"/>
          <w:spacing w:val="31"/>
          <w:position w:val="1"/>
        </w:rPr>
        <w:t xml:space="preserve">   </w:t>
      </w:r>
      <w:r>
        <w:rPr>
          <w:sz w:val="23"/>
          <w:szCs w:val="23"/>
          <w:b/>
          <w:bCs/>
          <w:spacing w:val="-15"/>
          <w:position w:val="1"/>
        </w:rPr>
        <w:t>适用条件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2869"/>
        <w:spacing w:before="75" w:line="491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u w:val="single" w:color="auto"/>
          <w:spacing w:val="-13"/>
        </w:rPr>
        <w:t>ABA           </w:t>
      </w:r>
      <w:r>
        <w:rPr>
          <w:sz w:val="23"/>
          <w:szCs w:val="23"/>
          <w:u w:val="single" w:color="auto"/>
          <w:spacing w:val="-13"/>
        </w:rPr>
        <w:t>任务分解与奖励</w:t>
      </w:r>
      <w:r>
        <w:rPr>
          <w:sz w:val="23"/>
          <w:szCs w:val="23"/>
          <w:u w:val="single" w:color="auto"/>
          <w:spacing w:val="-13"/>
        </w:rPr>
        <w:t xml:space="preserve">  </w:t>
      </w:r>
      <w:r>
        <w:rPr>
          <w:sz w:val="23"/>
          <w:szCs w:val="23"/>
          <w:u w:val="single" w:color="auto"/>
          <w:spacing w:val="-13"/>
        </w:rPr>
        <w:t>提升任务专注</w:t>
      </w:r>
      <w:r>
        <w:rPr>
          <w:sz w:val="23"/>
          <w:szCs w:val="23"/>
          <w:u w:val="single" w:color="auto"/>
          <w:spacing w:val="-14"/>
        </w:rPr>
        <w:t xml:space="preserve">  </w:t>
      </w:r>
      <w:r>
        <w:rPr>
          <w:sz w:val="23"/>
          <w:szCs w:val="23"/>
          <w:u w:val="single" w:color="auto"/>
          <w:spacing w:val="-14"/>
        </w:rPr>
        <w:t>动机外部化</w:t>
      </w:r>
      <w:r>
        <w:rPr>
          <w:sz w:val="23"/>
          <w:szCs w:val="23"/>
          <w:u w:val="single" w:color="auto"/>
          <w:spacing w:val="6"/>
        </w:rPr>
        <w:t xml:space="preserve">  </w:t>
      </w:r>
      <w:r>
        <w:rPr>
          <w:sz w:val="23"/>
          <w:szCs w:val="23"/>
          <w:u w:val="single" w:color="auto"/>
          <w:spacing w:val="-14"/>
        </w:rPr>
        <w:t>早期、结构化课堂</w:t>
      </w:r>
      <w:r>
        <w:rPr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2"/>
        </w:rPr>
        <w:t>PBS           </w:t>
      </w:r>
      <w:r>
        <w:rPr>
          <w:sz w:val="23"/>
          <w:szCs w:val="23"/>
          <w:spacing w:val="-12"/>
        </w:rPr>
        <w:t>环境预防</w:t>
      </w:r>
      <w:r>
        <w:rPr>
          <w:sz w:val="23"/>
          <w:szCs w:val="23"/>
          <w:spacing w:val="8"/>
        </w:rPr>
        <w:t xml:space="preserve">       </w:t>
      </w:r>
      <w:r>
        <w:rPr>
          <w:sz w:val="23"/>
          <w:szCs w:val="23"/>
          <w:spacing w:val="-12"/>
        </w:rPr>
        <w:t>减少中断</w:t>
      </w:r>
      <w:r>
        <w:rPr>
          <w:sz w:val="23"/>
          <w:szCs w:val="23"/>
          <w:spacing w:val="15"/>
        </w:rPr>
        <w:t xml:space="preserve">     </w:t>
      </w:r>
      <w:r>
        <w:rPr>
          <w:sz w:val="23"/>
          <w:szCs w:val="23"/>
          <w:spacing w:val="-12"/>
        </w:rPr>
        <w:t>协作需求高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12"/>
        </w:rPr>
        <w:t>多学科团队支持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5" w:line="222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(二)沟通支持策略</w:t>
      </w:r>
    </w:p>
    <w:p>
      <w:pPr>
        <w:pStyle w:val="BodyText"/>
        <w:spacing w:before="233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沟通策略针对社交障碍，提供替代表达方式。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spacing w:before="76" w:line="221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2"/>
        </w:rPr>
        <w:t>1.图片交换沟通系统</w:t>
      </w:r>
      <w:r>
        <w:rPr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(</w:t>
      </w:r>
      <w:r>
        <w:rPr>
          <w:rFonts w:ascii="SimSun" w:hAnsi="SimSun" w:eastAsia="SimSun" w:cs="SimSun"/>
          <w:sz w:val="23"/>
          <w:szCs w:val="23"/>
        </w:rPr>
        <w:t>PECS</w:t>
      </w:r>
      <w:r>
        <w:rPr>
          <w:rFonts w:ascii="SimSun" w:hAnsi="SimSun" w:eastAsia="SimSun" w:cs="SimSun"/>
          <w:sz w:val="23"/>
          <w:szCs w:val="23"/>
          <w:spacing w:val="2"/>
        </w:rPr>
        <w:t>)</w:t>
      </w:r>
    </w:p>
    <w:p>
      <w:pPr>
        <w:pStyle w:val="BodyText"/>
        <w:ind w:right="344"/>
        <w:spacing w:before="214" w:line="38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PECS</w:t>
      </w:r>
      <w:r>
        <w:rPr>
          <w:rFonts w:ascii="SimSun" w:hAnsi="SimSun" w:eastAsia="SimSun" w:cs="SimSun"/>
          <w:sz w:val="23"/>
          <w:szCs w:val="23"/>
          <w:spacing w:val="77"/>
        </w:rPr>
        <w:t xml:space="preserve"> </w:t>
      </w:r>
      <w:r>
        <w:rPr>
          <w:sz w:val="23"/>
          <w:szCs w:val="23"/>
          <w:spacing w:val="7"/>
        </w:rPr>
        <w:t>使用视觉卡片交换以表达需求。据佩珀代因大学</w:t>
      </w:r>
      <w:r>
        <w:rPr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(</w:t>
      </w:r>
      <w:r>
        <w:rPr>
          <w:rFonts w:ascii="SimSun" w:hAnsi="SimSun" w:eastAsia="SimSun" w:cs="SimSun"/>
          <w:sz w:val="23"/>
          <w:szCs w:val="23"/>
        </w:rPr>
        <w:t>Pepperdine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University</w:t>
      </w:r>
      <w:r>
        <w:rPr>
          <w:rFonts w:ascii="SimSun" w:hAnsi="SimSun" w:eastAsia="SimSun" w:cs="SimSun"/>
          <w:sz w:val="23"/>
          <w:szCs w:val="23"/>
          <w:spacing w:val="7"/>
        </w:rPr>
        <w:t>)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7"/>
        </w:rPr>
        <w:t>报告指出，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PECS</w:t>
      </w:r>
      <w:r>
        <w:rPr>
          <w:rFonts w:ascii="SimSun" w:hAnsi="SimSun" w:eastAsia="SimSun" w:cs="SimSun"/>
          <w:sz w:val="23"/>
          <w:szCs w:val="23"/>
          <w:spacing w:val="62"/>
        </w:rPr>
        <w:t xml:space="preserve"> </w:t>
      </w:r>
      <w:r>
        <w:rPr>
          <w:sz w:val="23"/>
          <w:szCs w:val="23"/>
          <w:spacing w:val="1"/>
        </w:rPr>
        <w:t>可能改善非语言</w:t>
      </w:r>
      <w:r>
        <w:rPr>
          <w:rFonts w:ascii="SimSun" w:hAnsi="SimSun" w:eastAsia="SimSun" w:cs="SimSun"/>
          <w:sz w:val="23"/>
          <w:szCs w:val="23"/>
        </w:rPr>
        <w:t>ASD</w:t>
      </w:r>
      <w:r>
        <w:rPr>
          <w:rFonts w:ascii="SimSun" w:hAnsi="SimSun" w:eastAsia="SimSun" w:cs="SimSun"/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1"/>
        </w:rPr>
        <w:t>学生的互动</w:t>
      </w:r>
      <w:r>
        <w:rPr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(</w:t>
      </w:r>
      <w:r>
        <w:rPr>
          <w:rFonts w:ascii="SimSun" w:hAnsi="SimSun" w:eastAsia="SimSun" w:cs="SimSun"/>
          <w:sz w:val="23"/>
          <w:szCs w:val="23"/>
        </w:rPr>
        <w:t>Pepperdine</w:t>
      </w:r>
      <w:r>
        <w:rPr>
          <w:rFonts w:ascii="SimSun" w:hAnsi="SimSun" w:eastAsia="SimSun" w:cs="SimSun"/>
          <w:sz w:val="23"/>
          <w:szCs w:val="23"/>
          <w:spacing w:val="1"/>
        </w:rPr>
        <w:t>,2021)。</w:t>
      </w:r>
    </w:p>
    <w:p>
      <w:pPr>
        <w:pStyle w:val="BodyText"/>
        <w:spacing w:before="4" w:line="224" w:lineRule="auto"/>
        <w:rPr>
          <w:sz w:val="23"/>
          <w:szCs w:val="23"/>
        </w:rPr>
      </w:pPr>
      <w:r>
        <w:rPr>
          <w:sz w:val="23"/>
          <w:szCs w:val="23"/>
          <w:spacing w:val="33"/>
        </w:rPr>
        <w:t>#######(1)优势</w:t>
      </w:r>
    </w:p>
    <w:p>
      <w:pPr>
        <w:pStyle w:val="BodyText"/>
        <w:spacing w:before="178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它降低沟通挫败，可能提升参与意愿。</w:t>
      </w:r>
    </w:p>
    <w:p>
      <w:pPr>
        <w:spacing w:line="213" w:lineRule="auto"/>
        <w:sectPr>
          <w:pgSz w:w="12240" w:h="15840"/>
          <w:pgMar w:top="1231" w:right="1130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before="47" w:line="222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#######(2)潜在局限与适用条件</w:t>
      </w:r>
    </w:p>
    <w:p>
      <w:pPr>
        <w:pStyle w:val="BodyText"/>
        <w:ind w:right="345"/>
        <w:spacing w:before="102" w:line="364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局限包括对视觉依赖，可能不适于感知觉异常严</w:t>
      </w:r>
      <w:r>
        <w:rPr>
          <w:sz w:val="23"/>
          <w:szCs w:val="23"/>
          <w:spacing w:val="10"/>
        </w:rPr>
        <w:t>重者。适用条件：在低龄学生中，结合教师指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导。</w:t>
      </w:r>
    </w:p>
    <w:p>
      <w:pPr>
        <w:pStyle w:val="BodyText"/>
        <w:spacing w:before="158" w:line="21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3"/>
        </w:rPr>
        <w:t>2.</w:t>
      </w:r>
      <w:r>
        <w:rPr>
          <w:rFonts w:ascii="Arial" w:hAnsi="Arial" w:eastAsia="Arial" w:cs="Arial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3"/>
        </w:rPr>
        <w:t>社交故事</w:t>
      </w:r>
      <w:r>
        <w:rPr>
          <w:sz w:val="23"/>
          <w:szCs w:val="23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3"/>
        </w:rPr>
        <w:t>(</w:t>
      </w:r>
      <w:r>
        <w:rPr>
          <w:rFonts w:ascii="Arial" w:hAnsi="Arial" w:eastAsia="Arial" w:cs="Arial"/>
          <w:sz w:val="23"/>
          <w:szCs w:val="23"/>
        </w:rPr>
        <w:t>Social</w:t>
      </w:r>
      <w:r>
        <w:rPr>
          <w:rFonts w:ascii="Arial" w:hAnsi="Arial" w:eastAsia="Arial" w:cs="Arial"/>
          <w:sz w:val="23"/>
          <w:szCs w:val="23"/>
          <w:spacing w:val="3"/>
        </w:rPr>
        <w:t xml:space="preserve">    </w:t>
      </w:r>
      <w:r>
        <w:rPr>
          <w:rFonts w:ascii="Arial" w:hAnsi="Arial" w:eastAsia="Arial" w:cs="Arial"/>
          <w:sz w:val="23"/>
          <w:szCs w:val="23"/>
        </w:rPr>
        <w:t>Stories</w:t>
      </w:r>
      <w:r>
        <w:rPr>
          <w:rFonts w:ascii="Arial" w:hAnsi="Arial" w:eastAsia="Arial" w:cs="Arial"/>
          <w:sz w:val="23"/>
          <w:szCs w:val="23"/>
          <w:spacing w:val="3"/>
        </w:rPr>
        <w:t>)</w:t>
      </w:r>
    </w:p>
    <w:p>
      <w:pPr>
        <w:pStyle w:val="BodyText"/>
        <w:ind w:right="203"/>
        <w:spacing w:before="275" w:line="363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9"/>
        </w:rPr>
        <w:t>社交故事通过叙述脚本教授社交规范。据范德比尔特大学</w:t>
      </w:r>
      <w:r>
        <w:rPr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Vanderbilt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     </w:t>
      </w:r>
      <w:r>
        <w:rPr>
          <w:rFonts w:ascii="Times New Roman" w:hAnsi="Times New Roman" w:eastAsia="Times New Roman" w:cs="Times New Roman"/>
          <w:sz w:val="23"/>
          <w:szCs w:val="2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  </w:t>
      </w:r>
      <w:r>
        <w:rPr>
          <w:sz w:val="23"/>
          <w:szCs w:val="23"/>
          <w:spacing w:val="8"/>
        </w:rPr>
        <w:t>研究指出，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这通常而言可能改善课堂礼仪理解</w:t>
      </w:r>
      <w:r>
        <w:rPr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(</w:t>
      </w:r>
      <w:r>
        <w:rPr>
          <w:rFonts w:ascii="SimSun" w:hAnsi="SimSun" w:eastAsia="SimSun" w:cs="SimSun"/>
          <w:sz w:val="23"/>
          <w:szCs w:val="23"/>
        </w:rPr>
        <w:t>Vanderbilt</w:t>
      </w:r>
      <w:r>
        <w:rPr>
          <w:rFonts w:ascii="SimSun" w:hAnsi="SimSun" w:eastAsia="SimSun" w:cs="SimSun"/>
          <w:sz w:val="23"/>
          <w:szCs w:val="23"/>
          <w:spacing w:val="3"/>
        </w:rPr>
        <w:t>,2023)。</w:t>
      </w:r>
    </w:p>
    <w:p>
      <w:pPr>
        <w:pStyle w:val="BodyText"/>
        <w:spacing w:before="92" w:line="224" w:lineRule="auto"/>
        <w:rPr>
          <w:sz w:val="23"/>
          <w:szCs w:val="23"/>
        </w:rPr>
      </w:pPr>
      <w:r>
        <w:rPr>
          <w:sz w:val="23"/>
          <w:szCs w:val="23"/>
          <w:spacing w:val="14"/>
          <w:w w:val="115"/>
        </w:rPr>
        <w:t>#######(1)优势</w:t>
      </w:r>
    </w:p>
    <w:p>
      <w:pPr>
        <w:pStyle w:val="BodyText"/>
        <w:spacing w:before="137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它提供预测性指导，可能减少焦虑。</w:t>
      </w:r>
    </w:p>
    <w:p>
      <w:pPr>
        <w:pStyle w:val="BodyText"/>
        <w:spacing w:before="287" w:line="222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#######(2)潜在局限与适用条件</w:t>
      </w:r>
    </w:p>
    <w:p>
      <w:pPr>
        <w:pStyle w:val="BodyText"/>
        <w:spacing w:before="121" w:line="21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局限在于个性化需求高，可能效果因文化差异而异</w:t>
      </w:r>
      <w:r>
        <w:rPr>
          <w:sz w:val="23"/>
          <w:szCs w:val="23"/>
          <w:spacing w:val="9"/>
        </w:rPr>
        <w:t>。适用条件：在熟悉环境中反复练习。</w:t>
      </w:r>
    </w:p>
    <w:p>
      <w:pPr>
        <w:pStyle w:val="BodyText"/>
        <w:spacing w:before="285" w:line="22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以下表格分解沟通支持策略实施步骤：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步骤</w:t>
      </w:r>
      <w:r>
        <w:rPr>
          <w:sz w:val="23"/>
          <w:szCs w:val="23"/>
          <w:spacing w:val="-9"/>
        </w:rPr>
        <w:t xml:space="preserve">        </w:t>
      </w:r>
      <w:r>
        <w:rPr>
          <w:sz w:val="23"/>
          <w:szCs w:val="23"/>
          <w:spacing w:val="-9"/>
        </w:rPr>
        <w:t>描述</w:t>
      </w:r>
      <w:r>
        <w:rPr>
          <w:sz w:val="23"/>
          <w:szCs w:val="23"/>
          <w:spacing w:val="5"/>
        </w:rPr>
        <w:t xml:space="preserve">         </w:t>
      </w:r>
      <w:r>
        <w:rPr>
          <w:sz w:val="23"/>
          <w:szCs w:val="23"/>
          <w:spacing w:val="-9"/>
        </w:rPr>
        <w:t>涉及角色</w:t>
      </w:r>
      <w:r>
        <w:rPr>
          <w:sz w:val="23"/>
          <w:szCs w:val="23"/>
          <w:spacing w:val="3"/>
        </w:rPr>
        <w:t xml:space="preserve">       </w:t>
      </w:r>
      <w:r>
        <w:rPr>
          <w:sz w:val="23"/>
          <w:szCs w:val="23"/>
          <w:spacing w:val="-9"/>
        </w:rPr>
        <w:t>时间框架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6"/>
        </w:rPr>
        <w:t>1.</w:t>
      </w:r>
      <w:r>
        <w:rPr>
          <w:sz w:val="23"/>
          <w:szCs w:val="23"/>
          <w:spacing w:val="-16"/>
        </w:rPr>
        <w:t>评估需求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6"/>
        </w:rPr>
        <w:t>识别沟通障碍</w:t>
      </w:r>
      <w:r>
        <w:rPr>
          <w:sz w:val="23"/>
          <w:szCs w:val="23"/>
          <w:spacing w:val="-16"/>
        </w:rPr>
        <w:t xml:space="preserve">  </w:t>
      </w:r>
      <w:r>
        <w:rPr>
          <w:sz w:val="23"/>
          <w:szCs w:val="23"/>
          <w:spacing w:val="-16"/>
        </w:rPr>
        <w:t>教师、心理学家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6"/>
        </w:rPr>
        <w:t>1-2周</w:t>
      </w:r>
    </w:p>
    <w:p>
      <w:pPr>
        <w:spacing w:line="37" w:lineRule="exact"/>
        <w:rPr/>
      </w:pPr>
      <w:r/>
    </w:p>
    <w:tbl>
      <w:tblPr>
        <w:tblStyle w:val="TableNormal"/>
        <w:tblW w:w="59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9"/>
        <w:gridCol w:w="1485"/>
        <w:gridCol w:w="1655"/>
        <w:gridCol w:w="1600"/>
      </w:tblGrid>
      <w:tr>
        <w:trPr>
          <w:trHeight w:val="607" w:hRule="atLeast"/>
        </w:trPr>
        <w:tc>
          <w:tcPr>
            <w:tcW w:w="11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72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2.</w:t>
            </w:r>
            <w:r>
              <w:rPr>
                <w:rFonts w:ascii="SimHei" w:hAnsi="SimHei" w:eastAsia="SimHei" w:cs="SimHei"/>
                <w:sz w:val="23"/>
                <w:szCs w:val="23"/>
                <w:spacing w:val="-12"/>
              </w:rPr>
              <w:t>选择工具</w:t>
            </w:r>
          </w:p>
        </w:tc>
        <w:tc>
          <w:tcPr>
            <w:tcW w:w="14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73" w:line="224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4"/>
              </w:rPr>
              <w:t>如</w:t>
            </w: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PECS</w:t>
            </w:r>
            <w:r>
              <w:rPr>
                <w:rFonts w:ascii="SimSun" w:hAnsi="SimSun" w:eastAsia="SimSun" w:cs="SimSun"/>
                <w:sz w:val="23"/>
                <w:szCs w:val="23"/>
                <w:spacing w:val="-29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-4"/>
              </w:rPr>
              <w:t>卡片</w:t>
            </w:r>
          </w:p>
        </w:tc>
        <w:tc>
          <w:tcPr>
            <w:tcW w:w="1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5"/>
              <w:spacing w:before="272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20"/>
              </w:rPr>
              <w:t>特殊教育专家</w:t>
            </w:r>
          </w:p>
        </w:tc>
        <w:tc>
          <w:tcPr>
            <w:tcW w:w="1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0"/>
              <w:spacing w:before="273" w:line="223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4"/>
              </w:rPr>
              <w:t>立即</w:t>
            </w:r>
          </w:p>
        </w:tc>
      </w:tr>
      <w:tr>
        <w:trPr>
          <w:trHeight w:val="607" w:hRule="atLeast"/>
        </w:trPr>
        <w:tc>
          <w:tcPr>
            <w:tcW w:w="11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79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3.</w:t>
            </w:r>
            <w:r>
              <w:rPr>
                <w:rFonts w:ascii="SimHei" w:hAnsi="SimHei" w:eastAsia="SimHei" w:cs="SimHei"/>
                <w:sz w:val="23"/>
                <w:szCs w:val="23"/>
                <w:spacing w:val="-12"/>
              </w:rPr>
              <w:t>训练实施</w:t>
            </w:r>
          </w:p>
        </w:tc>
        <w:tc>
          <w:tcPr>
            <w:tcW w:w="14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0"/>
              <w:spacing w:before="279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2"/>
              </w:rPr>
              <w:t>示范与练习</w:t>
            </w:r>
          </w:p>
        </w:tc>
        <w:tc>
          <w:tcPr>
            <w:tcW w:w="1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5"/>
              <w:spacing w:before="280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5"/>
              </w:rPr>
              <w:t>家长、学生</w:t>
            </w:r>
          </w:p>
        </w:tc>
        <w:tc>
          <w:tcPr>
            <w:tcW w:w="1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0"/>
              <w:spacing w:before="280" w:line="223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"/>
              </w:rPr>
              <w:t>4-6周</w:t>
            </w:r>
          </w:p>
        </w:tc>
      </w:tr>
    </w:tbl>
    <w:p>
      <w:pPr>
        <w:spacing w:line="231" w:lineRule="exact"/>
        <w:rPr>
          <w:rFonts w:ascii="Arial"/>
          <w:sz w:val="20"/>
        </w:rPr>
      </w:pPr>
      <w:r/>
    </w:p>
    <w:p>
      <w:pPr>
        <w:spacing w:line="231" w:lineRule="exact"/>
        <w:sectPr>
          <w:pgSz w:w="12240" w:h="15840"/>
          <w:pgMar w:top="1252" w:right="1051" w:bottom="0" w:left="980" w:header="0" w:footer="0" w:gutter="0"/>
          <w:cols w:equalWidth="0" w:num="1">
            <w:col w:w="1020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spacing w:before="47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4.</w:t>
      </w:r>
      <w:r>
        <w:rPr>
          <w:sz w:val="23"/>
          <w:szCs w:val="23"/>
          <w:spacing w:val="-8"/>
        </w:rPr>
        <w:t>监测调整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5" w:line="221" w:lineRule="auto"/>
        <w:rPr>
          <w:sz w:val="23"/>
          <w:szCs w:val="23"/>
        </w:rPr>
      </w:pPr>
      <w:r>
        <w:rPr>
          <w:sz w:val="23"/>
          <w:szCs w:val="23"/>
          <w:spacing w:val="-14"/>
        </w:rPr>
        <w:t>反馈循环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3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团队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持续</w:t>
      </w:r>
    </w:p>
    <w:p>
      <w:pPr>
        <w:spacing w:line="222" w:lineRule="auto"/>
        <w:sectPr>
          <w:type w:val="continuous"/>
          <w:pgSz w:w="12240" w:h="15840"/>
          <w:pgMar w:top="1252" w:right="1051" w:bottom="0" w:left="980" w:header="0" w:footer="0" w:gutter="0"/>
          <w:cols w:equalWidth="0" w:num="4">
            <w:col w:w="1220" w:space="100"/>
            <w:col w:w="1431" w:space="100"/>
            <w:col w:w="1590" w:space="100"/>
            <w:col w:w="5669" w:space="0"/>
          </w:cols>
        </w:sectPr>
        <w:rPr>
          <w:sz w:val="23"/>
          <w:szCs w:val="23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(三)环境与教学调整策略</w:t>
      </w:r>
    </w:p>
    <w:p>
      <w:pPr>
        <w:pStyle w:val="BodyText"/>
        <w:spacing w:before="275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这些策略优化课堂设置以匹配</w:t>
      </w:r>
      <w:r>
        <w:rPr>
          <w:rFonts w:ascii="SimSun" w:hAnsi="SimSun" w:eastAsia="SimSun" w:cs="SimSun"/>
          <w:sz w:val="23"/>
          <w:szCs w:val="23"/>
        </w:rPr>
        <w:t>ASD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8"/>
        </w:rPr>
        <w:t>需求。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1.</w:t>
      </w:r>
      <w:r>
        <w:rPr>
          <w:sz w:val="23"/>
          <w:szCs w:val="23"/>
        </w:rPr>
        <w:t>结构化教学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(TEACCH)</w:t>
      </w:r>
    </w:p>
    <w:p>
      <w:pPr>
        <w:pStyle w:val="BodyText"/>
        <w:spacing w:before="254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TEACCH</w:t>
      </w:r>
      <w:r>
        <w:rPr>
          <w:rFonts w:ascii="SimSun" w:hAnsi="SimSun" w:eastAsia="SimSun" w:cs="SimSun"/>
          <w:sz w:val="23"/>
          <w:szCs w:val="23"/>
          <w:spacing w:val="38"/>
        </w:rPr>
        <w:t xml:space="preserve">  </w:t>
      </w:r>
      <w:r>
        <w:rPr>
          <w:sz w:val="23"/>
          <w:szCs w:val="23"/>
          <w:spacing w:val="7"/>
        </w:rPr>
        <w:t>使用视觉结构和独立工作站。据北卡罗来纳大学</w:t>
      </w:r>
      <w:r>
        <w:rPr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(</w:t>
      </w:r>
      <w:r>
        <w:rPr>
          <w:rFonts w:ascii="SimSun" w:hAnsi="SimSun" w:eastAsia="SimSun" w:cs="SimSun"/>
          <w:sz w:val="23"/>
          <w:szCs w:val="23"/>
        </w:rPr>
        <w:t>UNC</w:t>
      </w:r>
      <w:r>
        <w:rPr>
          <w:rFonts w:ascii="SimSun" w:hAnsi="SimSun" w:eastAsia="SimSun" w:cs="SimSun"/>
          <w:sz w:val="23"/>
          <w:szCs w:val="23"/>
          <w:spacing w:val="7"/>
        </w:rPr>
        <w:t>)   </w:t>
      </w:r>
      <w:r>
        <w:rPr>
          <w:sz w:val="23"/>
          <w:szCs w:val="23"/>
          <w:spacing w:val="7"/>
        </w:rPr>
        <w:t>报告指出，</w:t>
      </w:r>
      <w:r>
        <w:rPr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TEACCH</w:t>
      </w:r>
      <w:r>
        <w:rPr>
          <w:rFonts w:ascii="SimSun" w:hAnsi="SimSun" w:eastAsia="SimSun" w:cs="SimSun"/>
          <w:sz w:val="23"/>
          <w:szCs w:val="23"/>
          <w:spacing w:val="48"/>
        </w:rPr>
        <w:t xml:space="preserve">  </w:t>
      </w:r>
      <w:r>
        <w:rPr>
          <w:sz w:val="23"/>
          <w:szCs w:val="23"/>
          <w:spacing w:val="6"/>
        </w:rPr>
        <w:t>可能提升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独立参与度</w:t>
      </w:r>
      <w:r>
        <w:rPr>
          <w:sz w:val="23"/>
          <w:szCs w:val="23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3"/>
        </w:rPr>
        <w:t>(</w:t>
      </w:r>
      <w:r>
        <w:rPr>
          <w:rFonts w:ascii="Arial" w:hAnsi="Arial" w:eastAsia="Arial" w:cs="Arial"/>
          <w:sz w:val="23"/>
          <w:szCs w:val="23"/>
        </w:rPr>
        <w:t>UNC</w:t>
      </w:r>
      <w:r>
        <w:rPr>
          <w:rFonts w:ascii="Arial" w:hAnsi="Arial" w:eastAsia="Arial" w:cs="Arial"/>
          <w:sz w:val="23"/>
          <w:szCs w:val="23"/>
          <w:spacing w:val="3"/>
        </w:rPr>
        <w:t>,2024)</w:t>
      </w:r>
      <w:r>
        <w:rPr>
          <w:rFonts w:ascii="SimSun" w:hAnsi="SimSun" w:eastAsia="SimSun" w:cs="SimSun"/>
          <w:sz w:val="23"/>
          <w:szCs w:val="23"/>
          <w:spacing w:val="3"/>
        </w:rPr>
        <w:t>。</w:t>
      </w:r>
    </w:p>
    <w:p>
      <w:pPr>
        <w:pStyle w:val="BodyText"/>
        <w:spacing w:before="154" w:line="224" w:lineRule="auto"/>
        <w:rPr>
          <w:sz w:val="23"/>
          <w:szCs w:val="23"/>
        </w:rPr>
      </w:pPr>
      <w:r>
        <w:rPr>
          <w:sz w:val="23"/>
          <w:szCs w:val="23"/>
          <w:spacing w:val="14"/>
          <w:w w:val="115"/>
        </w:rPr>
        <w:t>#######(1)优势</w:t>
      </w:r>
    </w:p>
    <w:p>
      <w:pPr>
        <w:pStyle w:val="BodyText"/>
        <w:spacing w:before="98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它减少感知觉过载，可能改善专注。</w:t>
      </w:r>
    </w:p>
    <w:p>
      <w:pPr>
        <w:pStyle w:val="BodyText"/>
        <w:spacing w:before="227" w:line="222" w:lineRule="auto"/>
        <w:rPr>
          <w:sz w:val="23"/>
          <w:szCs w:val="23"/>
        </w:rPr>
      </w:pPr>
      <w:r>
        <w:rPr>
          <w:sz w:val="23"/>
          <w:szCs w:val="23"/>
          <w:spacing w:val="27"/>
        </w:rPr>
        <w:t>#######(2)潜在局限与适用条件</w:t>
      </w:r>
    </w:p>
    <w:p>
      <w:pPr>
        <w:pStyle w:val="BodyText"/>
        <w:spacing w:before="192" w:line="187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局限包括空间需求，可能不适于大型课堂。适用条件：在资源充足的学校。</w:t>
      </w:r>
    </w:p>
    <w:p>
      <w:pPr>
        <w:spacing w:line="187" w:lineRule="auto"/>
        <w:sectPr>
          <w:type w:val="continuous"/>
          <w:pgSz w:w="12240" w:h="15840"/>
          <w:pgMar w:top="1252" w:right="1051" w:bottom="0" w:left="980" w:header="0" w:footer="0" w:gutter="0"/>
          <w:cols w:equalWidth="0" w:num="1">
            <w:col w:w="10208" w:space="0"/>
          </w:cols>
        </w:sectPr>
        <w:rPr>
          <w:sz w:val="23"/>
          <w:szCs w:val="23"/>
        </w:rPr>
      </w:pPr>
    </w:p>
    <w:p>
      <w:pPr>
        <w:pStyle w:val="BodyText"/>
        <w:spacing w:before="48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2.</w:t>
      </w:r>
      <w:r>
        <w:rPr>
          <w:spacing w:val="1"/>
        </w:rPr>
        <w:t>通用学习设计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UDL</w:t>
      </w:r>
      <w:r>
        <w:rPr>
          <w:rFonts w:ascii="SimSun" w:hAnsi="SimSun" w:eastAsia="SimSun" w:cs="SimSun"/>
          <w:spacing w:val="1"/>
        </w:rPr>
        <w:t>)  </w:t>
      </w:r>
      <w:r>
        <w:rPr>
          <w:spacing w:val="1"/>
        </w:rPr>
        <w:t>与辅助技术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AT</w:t>
      </w:r>
      <w:r>
        <w:rPr>
          <w:rFonts w:ascii="SimSun" w:hAnsi="SimSun" w:eastAsia="SimSun" w:cs="SimSun"/>
          <w:spacing w:val="1"/>
        </w:rPr>
        <w:t>)</w:t>
      </w:r>
    </w:p>
    <w:p>
      <w:pPr>
        <w:pStyle w:val="BodyText"/>
        <w:ind w:right="842"/>
        <w:spacing w:before="228" w:line="314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</w:rPr>
        <w:t>UDL</w:t>
      </w:r>
      <w:r>
        <w:rPr/>
        <w:t>提供多重表达方式，</w:t>
      </w:r>
      <w:r>
        <w:rPr>
          <w:rFonts w:ascii="Times New Roman" w:hAnsi="Times New Roman" w:eastAsia="Times New Roman" w:cs="Times New Roman"/>
        </w:rPr>
        <w:t>AT</w:t>
      </w:r>
      <w:r>
        <w:rPr/>
        <w:t>如平板应用辅助互动。据美国教育部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(U.S.Department       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Arial" w:hAnsi="Arial" w:eastAsia="Arial" w:cs="Arial"/>
        </w:rPr>
        <w:t>Education)   </w:t>
      </w:r>
      <w:r>
        <w:rPr/>
        <w:t>报告指出，</w:t>
      </w:r>
      <w:r>
        <w:rPr>
          <w:rFonts w:ascii="Arial" w:hAnsi="Arial" w:eastAsia="Arial" w:cs="Arial"/>
        </w:rPr>
        <w:t>UDL</w:t>
      </w:r>
      <w:r>
        <w:rPr/>
        <w:t>可能促进包容</w:t>
      </w:r>
      <w:r>
        <w:rPr/>
        <w:t xml:space="preserve"> </w:t>
      </w:r>
      <w:r>
        <w:rPr>
          <w:rFonts w:ascii="Arial" w:hAnsi="Arial" w:eastAsia="Arial" w:cs="Arial"/>
        </w:rPr>
        <w:t>(ED,2022)</w:t>
      </w:r>
      <w:r>
        <w:rPr>
          <w:rFonts w:ascii="SimSun" w:hAnsi="SimSun" w:eastAsia="SimSun" w:cs="SimSun"/>
        </w:rPr>
        <w:t>。</w:t>
      </w:r>
    </w:p>
    <w:p>
      <w:pPr>
        <w:pStyle w:val="BodyText"/>
        <w:spacing w:before="171" w:line="224" w:lineRule="auto"/>
        <w:rPr/>
      </w:pPr>
      <w:r>
        <w:rPr>
          <w:spacing w:val="27"/>
        </w:rPr>
        <w:t>#######(1)优势</w:t>
      </w:r>
    </w:p>
    <w:p>
      <w:pPr>
        <w:pStyle w:val="BodyText"/>
        <w:spacing w:before="115" w:line="213" w:lineRule="auto"/>
        <w:rPr/>
      </w:pPr>
      <w:r>
        <w:rPr>
          <w:spacing w:val="-1"/>
        </w:rPr>
        <w:t>它适应多样需求，可能提升整体课堂动态。</w:t>
      </w:r>
    </w:p>
    <w:p>
      <w:pPr>
        <w:pStyle w:val="BodyText"/>
        <w:spacing w:before="275" w:line="222" w:lineRule="auto"/>
        <w:rPr/>
      </w:pPr>
      <w:r>
        <w:rPr>
          <w:spacing w:val="20"/>
        </w:rPr>
        <w:t>#######(2)潜在局限与适用条件</w:t>
      </w:r>
    </w:p>
    <w:p>
      <w:pPr>
        <w:pStyle w:val="BodyText"/>
        <w:spacing w:before="118" w:line="213" w:lineRule="auto"/>
        <w:rPr/>
      </w:pPr>
      <w:r>
        <w:rPr/>
        <w:t>局限在于技术培训需求，可能成本较高。适用条件：在数字资源丰富的环境</w:t>
      </w:r>
      <w:r>
        <w:rPr>
          <w:spacing w:val="-1"/>
        </w:rPr>
        <w:t>中。</w:t>
      </w:r>
    </w:p>
    <w:p>
      <w:pPr>
        <w:pStyle w:val="BodyText"/>
        <w:spacing w:before="273" w:line="332" w:lineRule="auto"/>
        <w:jc w:val="both"/>
        <w:rPr/>
      </w:pPr>
      <w:r>
        <w:rPr>
          <w:spacing w:val="-4"/>
        </w:rPr>
        <w:t>以下图表描述支持团队角色构成(文字描述：圆形图表，中心为“学生</w:t>
      </w:r>
      <w:r>
        <w:rPr>
          <w:spacing w:val="-5"/>
        </w:rPr>
        <w:t>”,辐射出“教师”核心协</w:t>
      </w:r>
      <w:r>
        <w:rPr/>
        <w:t xml:space="preserve">  </w:t>
      </w:r>
      <w:r>
        <w:rPr>
          <w:spacing w:val="-12"/>
        </w:rPr>
        <w:t>调)、“家长”家庭支持)、“心理学家”评估)、“特殊教育专家”策略设计)、“同行学生”社交促</w:t>
      </w:r>
      <w:r>
        <w:rPr>
          <w:spacing w:val="3"/>
        </w:rPr>
        <w:t xml:space="preserve"> </w:t>
      </w:r>
      <w:r>
        <w:rPr>
          <w:spacing w:val="-7"/>
        </w:rPr>
        <w:t>进))。</w:t>
      </w:r>
    </w:p>
    <w:p>
      <w:pPr>
        <w:pStyle w:val="BodyText"/>
        <w:ind w:left="3"/>
        <w:spacing w:before="172" w:line="221" w:lineRule="auto"/>
        <w:outlineLvl w:val="3"/>
        <w:rPr/>
      </w:pPr>
      <w:r>
        <w:rPr>
          <w:b/>
          <w:bCs/>
          <w:spacing w:val="-5"/>
        </w:rPr>
        <w:t>三、实施方案</w:t>
      </w:r>
    </w:p>
    <w:p>
      <w:pPr>
        <w:pStyle w:val="BodyText"/>
        <w:spacing w:before="216" w:line="213" w:lineRule="auto"/>
        <w:rPr/>
      </w:pPr>
      <w:r>
        <w:rPr/>
        <w:t>建议考虑分阶段实施，提升</w:t>
      </w:r>
      <w:r>
        <w:rPr>
          <w:rFonts w:ascii="SimSun" w:hAnsi="SimSun" w:eastAsia="SimSun" w:cs="SimSun"/>
        </w:rPr>
        <w:t>ASD </w:t>
      </w:r>
      <w:r>
        <w:rPr/>
        <w:t>学生参与度。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-2"/>
        </w:rPr>
        <w:t>(一)准备阶段</w:t>
      </w:r>
    </w:p>
    <w:p>
      <w:pPr>
        <w:pStyle w:val="BodyText"/>
        <w:spacing w:before="204" w:line="212" w:lineRule="auto"/>
        <w:rPr>
          <w:rFonts w:ascii="SimSun" w:hAnsi="SimSun" w:eastAsia="SimSun" w:cs="SimSun"/>
        </w:rPr>
      </w:pPr>
      <w:r>
        <w:rPr/>
        <w:t>评估学校资源和学生需求。据</w:t>
      </w:r>
      <w:r>
        <w:rPr>
          <w:rFonts w:ascii="Times New Roman" w:hAnsi="Times New Roman" w:eastAsia="Times New Roman" w:cs="Times New Roman"/>
        </w:rPr>
        <w:t>CDC </w:t>
      </w:r>
      <w:r>
        <w:rPr/>
        <w:t>指南指出</w:t>
      </w:r>
      <w:r>
        <w:rPr>
          <w:spacing w:val="-1"/>
        </w:rPr>
        <w:t>，初始筛查可能识别关键障碍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(CDC,2023)</w:t>
      </w:r>
      <w:r>
        <w:rPr>
          <w:rFonts w:ascii="SimSun" w:hAnsi="SimSun" w:eastAsia="SimSun" w:cs="SimSun"/>
          <w:spacing w:val="-1"/>
        </w:rPr>
        <w:t>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79" w:line="223" w:lineRule="auto"/>
        <w:rPr/>
      </w:pPr>
      <w:r>
        <w:rPr>
          <w:rFonts w:ascii="SimSun" w:hAnsi="SimSun" w:eastAsia="SimSun" w:cs="SimSun"/>
          <w:spacing w:val="-2"/>
        </w:rPr>
        <w:t>1.</w:t>
      </w:r>
      <w:r>
        <w:rPr>
          <w:spacing w:val="-2"/>
        </w:rPr>
        <w:t>团队组建</w:t>
      </w:r>
    </w:p>
    <w:p>
      <w:pPr>
        <w:pStyle w:val="BodyText"/>
        <w:spacing w:before="227" w:line="213" w:lineRule="auto"/>
        <w:rPr/>
      </w:pPr>
      <w:r>
        <w:rPr>
          <w:spacing w:val="-3"/>
        </w:rPr>
        <w:t>组建多学科团队，包括教师和专家。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78" w:line="223" w:lineRule="auto"/>
        <w:rPr/>
      </w:pPr>
      <w:r>
        <w:rPr>
          <w:rFonts w:ascii="SimSun" w:hAnsi="SimSun" w:eastAsia="SimSun" w:cs="SimSun"/>
          <w:spacing w:val="8"/>
        </w:rPr>
        <w:t>2.</w:t>
      </w:r>
      <w:r>
        <w:rPr>
          <w:spacing w:val="8"/>
        </w:rPr>
        <w:t>培训计划</w:t>
      </w:r>
    </w:p>
    <w:p>
      <w:pPr>
        <w:pStyle w:val="BodyText"/>
        <w:spacing w:before="240" w:line="222" w:lineRule="auto"/>
        <w:rPr/>
      </w:pPr>
      <w:r>
        <w:rPr>
          <w:spacing w:val="-1"/>
        </w:rPr>
        <w:t>提供</w:t>
      </w:r>
      <w:r>
        <w:rPr>
          <w:rFonts w:ascii="SimSun" w:hAnsi="SimSun" w:eastAsia="SimSun" w:cs="SimSun"/>
          <w:spacing w:val="-1"/>
        </w:rPr>
        <w:t>ABA </w:t>
      </w:r>
      <w:r>
        <w:rPr>
          <w:spacing w:val="-1"/>
        </w:rPr>
        <w:t>和</w:t>
      </w:r>
      <w:r>
        <w:rPr>
          <w:rFonts w:ascii="SimSun" w:hAnsi="SimSun" w:eastAsia="SimSun" w:cs="SimSun"/>
          <w:spacing w:val="-1"/>
        </w:rPr>
        <w:t>PECS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-1"/>
        </w:rPr>
        <w:t>培训。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/>
      </w:pPr>
      <w:r>
        <w:rPr>
          <w:spacing w:val="-2"/>
        </w:rPr>
        <w:t>(二)执行阶段</w:t>
      </w:r>
    </w:p>
    <w:p>
      <w:pPr>
        <w:pStyle w:val="BodyText"/>
        <w:spacing w:before="246" w:line="213" w:lineRule="auto"/>
        <w:rPr/>
      </w:pPr>
      <w:r>
        <w:rPr>
          <w:spacing w:val="1"/>
        </w:rPr>
        <w:t>整合策略，如结合</w:t>
      </w:r>
      <w:r>
        <w:rPr>
          <w:rFonts w:ascii="Times New Roman" w:hAnsi="Times New Roman" w:eastAsia="Times New Roman" w:cs="Times New Roman"/>
        </w:rPr>
        <w:t>TEACCH</w:t>
      </w:r>
      <w:r>
        <w:rPr>
          <w:spacing w:val="1"/>
        </w:rPr>
        <w:t>的课堂布局。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78" w:line="223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监控机制</w:t>
      </w:r>
    </w:p>
    <w:p>
      <w:pPr>
        <w:pStyle w:val="BodyText"/>
        <w:spacing w:before="248" w:line="222" w:lineRule="auto"/>
        <w:rPr/>
      </w:pPr>
      <w:r>
        <w:rPr>
          <w:spacing w:val="-4"/>
        </w:rPr>
        <w:t>使用数据追踪参与度变化。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rFonts w:ascii="SimSun" w:hAnsi="SimSun" w:eastAsia="SimSun" w:cs="SimSun"/>
          <w:spacing w:val="7"/>
        </w:rPr>
        <w:t>2.</w:t>
      </w:r>
      <w:r>
        <w:rPr>
          <w:spacing w:val="7"/>
        </w:rPr>
        <w:t>调整迭代</w:t>
      </w:r>
    </w:p>
    <w:p>
      <w:pPr>
        <w:pStyle w:val="BodyText"/>
        <w:spacing w:before="259" w:line="221" w:lineRule="auto"/>
        <w:rPr/>
      </w:pPr>
      <w:r>
        <w:rPr>
          <w:spacing w:val="-6"/>
        </w:rPr>
        <w:t>基于反馈优化。</w:t>
      </w:r>
    </w:p>
    <w:p>
      <w:pPr>
        <w:pStyle w:val="BodyText"/>
        <w:spacing w:before="242" w:line="221" w:lineRule="auto"/>
        <w:rPr/>
      </w:pPr>
      <w:r>
        <w:rPr>
          <w:spacing w:val="-5"/>
        </w:rPr>
        <w:t>以下表格概述实施方案流程：</w:t>
      </w:r>
    </w:p>
    <w:p>
      <w:pPr>
        <w:spacing w:line="221" w:lineRule="auto"/>
        <w:sectPr>
          <w:pgSz w:w="12240" w:h="15840"/>
          <w:pgMar w:top="1209" w:right="1247" w:bottom="0" w:left="980" w:header="0" w:footer="0" w:gutter="0"/>
        </w:sectPr>
        <w:rPr/>
      </w:pPr>
    </w:p>
    <w:p>
      <w:pPr>
        <w:pStyle w:val="BodyText"/>
        <w:ind w:left="711"/>
        <w:spacing w:before="47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4"/>
        </w:rPr>
        <w:t>阶段</w:t>
      </w:r>
      <w:r>
        <w:rPr>
          <w:sz w:val="23"/>
          <w:szCs w:val="23"/>
          <w:spacing w:val="7"/>
        </w:rPr>
        <w:t xml:space="preserve">              </w:t>
      </w:r>
      <w:r>
        <w:rPr>
          <w:sz w:val="23"/>
          <w:szCs w:val="23"/>
          <w:b/>
          <w:bCs/>
          <w:spacing w:val="-14"/>
        </w:rPr>
        <w:t>关键活动</w:t>
      </w:r>
      <w:r>
        <w:rPr>
          <w:sz w:val="23"/>
          <w:szCs w:val="23"/>
          <w:spacing w:val="-14"/>
        </w:rPr>
        <w:t xml:space="preserve">   </w:t>
      </w:r>
      <w:r>
        <w:rPr>
          <w:sz w:val="23"/>
          <w:szCs w:val="23"/>
          <w:b/>
          <w:bCs/>
          <w:spacing w:val="-14"/>
        </w:rPr>
        <w:t>责任方</w:t>
      </w:r>
      <w:r>
        <w:rPr>
          <w:sz w:val="23"/>
          <w:szCs w:val="23"/>
          <w:spacing w:val="-14"/>
        </w:rPr>
        <w:t xml:space="preserve">  </w:t>
      </w:r>
      <w:r>
        <w:rPr>
          <w:sz w:val="23"/>
          <w:szCs w:val="23"/>
          <w:b/>
          <w:bCs/>
          <w:spacing w:val="-14"/>
        </w:rPr>
        <w:t>预期输出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4" w:line="221" w:lineRule="auto"/>
        <w:rPr>
          <w:sz w:val="23"/>
          <w:szCs w:val="23"/>
        </w:rPr>
      </w:pPr>
      <w:r>
        <w:rPr>
          <w:sz w:val="23"/>
          <w:szCs w:val="23"/>
          <w:spacing w:val="-17"/>
        </w:rPr>
        <w:t>准备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7"/>
        </w:rPr>
        <w:t>需求评估</w:t>
      </w:r>
      <w:r>
        <w:rPr>
          <w:sz w:val="23"/>
          <w:szCs w:val="23"/>
          <w:spacing w:val="-17"/>
        </w:rPr>
        <w:t xml:space="preserve">  </w:t>
      </w:r>
      <w:r>
        <w:rPr>
          <w:sz w:val="23"/>
          <w:szCs w:val="23"/>
          <w:spacing w:val="-17"/>
        </w:rPr>
        <w:t>学校行政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7"/>
        </w:rPr>
        <w:t>个性化计划</w:t>
      </w: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24154</wp:posOffset>
            </wp:positionH>
            <wp:positionV relativeFrom="paragraph">
              <wp:posOffset>30299</wp:posOffset>
            </wp:positionV>
            <wp:extent cx="39497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74" w:line="219" w:lineRule="auto"/>
        <w:rPr>
          <w:sz w:val="23"/>
          <w:szCs w:val="23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186187</wp:posOffset>
            </wp:positionV>
            <wp:extent cx="3942064" cy="730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2064" cy="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20"/>
        </w:rPr>
        <w:t>执行</w:t>
      </w:r>
      <w:r>
        <w:rPr>
          <w:sz w:val="23"/>
          <w:szCs w:val="23"/>
          <w:spacing w:val="51"/>
        </w:rPr>
        <w:t xml:space="preserve">  </w:t>
      </w:r>
      <w:r>
        <w:rPr>
          <w:sz w:val="23"/>
          <w:szCs w:val="23"/>
          <w:spacing w:val="20"/>
        </w:rPr>
        <w:t>策略应用</w:t>
      </w:r>
      <w:r>
        <w:rPr>
          <w:sz w:val="23"/>
          <w:szCs w:val="23"/>
          <w:spacing w:val="50"/>
        </w:rPr>
        <w:t xml:space="preserve">  </w:t>
      </w:r>
      <w:r>
        <w:rPr>
          <w:sz w:val="23"/>
          <w:szCs w:val="23"/>
          <w:spacing w:val="20"/>
        </w:rPr>
        <w:t>教师团队</w:t>
      </w:r>
      <w:r>
        <w:rPr>
          <w:sz w:val="23"/>
          <w:szCs w:val="23"/>
          <w:spacing w:val="50"/>
        </w:rPr>
        <w:t xml:space="preserve">  </w:t>
      </w:r>
      <w:r>
        <w:rPr>
          <w:sz w:val="23"/>
          <w:szCs w:val="23"/>
          <w:spacing w:val="20"/>
        </w:rPr>
        <w:t>参与度提升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-13"/>
        </w:rPr>
        <w:t>评估</w:t>
      </w:r>
      <w:r>
        <w:rPr>
          <w:sz w:val="23"/>
          <w:szCs w:val="23"/>
          <w:spacing w:val="93"/>
        </w:rPr>
        <w:t xml:space="preserve"> </w:t>
      </w:r>
      <w:r>
        <w:rPr>
          <w:sz w:val="23"/>
          <w:szCs w:val="23"/>
          <w:spacing w:val="-13"/>
        </w:rPr>
        <w:t>成效测量</w:t>
      </w:r>
      <w:r>
        <w:rPr>
          <w:sz w:val="23"/>
          <w:szCs w:val="23"/>
          <w:spacing w:val="-13"/>
        </w:rPr>
        <w:t xml:space="preserve">  </w:t>
      </w:r>
      <w:r>
        <w:rPr>
          <w:sz w:val="23"/>
          <w:szCs w:val="23"/>
          <w:spacing w:val="-13"/>
        </w:rPr>
        <w:t>外部顾问</w:t>
      </w:r>
      <w:r>
        <w:rPr>
          <w:sz w:val="23"/>
          <w:szCs w:val="23"/>
          <w:spacing w:val="114"/>
        </w:rPr>
        <w:t xml:space="preserve"> </w:t>
      </w:r>
      <w:r>
        <w:rPr>
          <w:sz w:val="23"/>
          <w:szCs w:val="23"/>
          <w:spacing w:val="-13"/>
        </w:rPr>
        <w:t>报告与调整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6" w:line="222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(三)评估与持续改进</w:t>
      </w:r>
    </w:p>
    <w:p>
      <w:pPr>
        <w:pStyle w:val="BodyText"/>
        <w:ind w:left="8" w:right="589"/>
        <w:spacing w:before="199" w:line="299" w:lineRule="auto"/>
        <w:rPr>
          <w:rFonts w:ascii="SimSun" w:hAnsi="SimSun" w:eastAsia="SimSun" w:cs="SimSun"/>
          <w:sz w:val="30"/>
          <w:szCs w:val="30"/>
        </w:rPr>
      </w:pPr>
      <w:r>
        <w:rPr>
          <w:sz w:val="23"/>
          <w:szCs w:val="23"/>
          <w:spacing w:val="9"/>
        </w:rPr>
        <w:t>定期评估，可能使用标准化工具。据</w:t>
      </w:r>
      <w:r>
        <w:rPr>
          <w:rFonts w:ascii="Times New Roman" w:hAnsi="Times New Roman" w:eastAsia="Times New Roman" w:cs="Times New Roman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9"/>
        </w:rPr>
        <w:t>建议，在一定条件下，这可确保长期效果</w:t>
      </w:r>
      <w:r>
        <w:rPr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2023)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pStyle w:val="BodyText"/>
        <w:ind w:left="11"/>
        <w:spacing w:before="243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四</w:t>
      </w:r>
      <w:r>
        <w:rPr>
          <w:sz w:val="23"/>
          <w:szCs w:val="23"/>
          <w:spacing w:val="-53"/>
        </w:rPr>
        <w:t xml:space="preserve"> </w:t>
      </w:r>
      <w:r>
        <w:rPr>
          <w:sz w:val="23"/>
          <w:szCs w:val="23"/>
          <w:b/>
          <w:bCs/>
          <w:spacing w:val="1"/>
        </w:rPr>
        <w:t>、结论与政策建议</w:t>
      </w:r>
    </w:p>
    <w:p>
      <w:pPr>
        <w:pStyle w:val="BodyText"/>
        <w:ind w:left="8"/>
        <w:spacing w:before="185" w:line="34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本报告评估显示，结合</w:t>
      </w:r>
      <w:r>
        <w:rPr>
          <w:rFonts w:ascii="Times New Roman" w:hAnsi="Times New Roman" w:eastAsia="Times New Roman" w:cs="Times New Roman"/>
          <w:sz w:val="23"/>
          <w:szCs w:val="23"/>
        </w:rPr>
        <w:t>ABA</w:t>
      </w:r>
      <w:r>
        <w:rPr>
          <w:rFonts w:ascii="Times New Roman" w:hAnsi="Times New Roman" w:eastAsia="Times New Roman" w:cs="Times New Roman"/>
          <w:sz w:val="23"/>
          <w:szCs w:val="23"/>
          <w:spacing w:val="-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TEACCH</w:t>
      </w:r>
      <w:r>
        <w:rPr>
          <w:rFonts w:ascii="Times New Roman" w:hAnsi="Times New Roman" w:eastAsia="Times New Roman" w:cs="Times New Roman"/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10"/>
        </w:rPr>
        <w:t>等策略，可能有效提升</w:t>
      </w:r>
      <w:r>
        <w:rPr>
          <w:rFonts w:ascii="Times New Roman" w:hAnsi="Times New Roman" w:eastAsia="Times New Roman" w:cs="Times New Roman"/>
          <w:sz w:val="23"/>
          <w:szCs w:val="23"/>
        </w:rPr>
        <w:t>ASD</w:t>
      </w:r>
      <w:r>
        <w:rPr>
          <w:sz w:val="23"/>
          <w:szCs w:val="23"/>
          <w:spacing w:val="10"/>
        </w:rPr>
        <w:t>学生课堂参与度，但需辩证考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虑局限。建议将这些措施升维至全纳教育框架，与教育公平和</w:t>
      </w:r>
      <w:r>
        <w:rPr>
          <w:rFonts w:ascii="SimSun" w:hAnsi="SimSun" w:eastAsia="SimSun" w:cs="SimSun"/>
          <w:sz w:val="23"/>
          <w:szCs w:val="23"/>
        </w:rPr>
        <w:t>SDG</w:t>
      </w:r>
      <w:r>
        <w:rPr>
          <w:rFonts w:ascii="SimSun" w:hAnsi="SimSun" w:eastAsia="SimSun" w:cs="SimSun"/>
          <w:sz w:val="23"/>
          <w:szCs w:val="23"/>
          <w:spacing w:val="10"/>
        </w:rPr>
        <w:t>4</w:t>
      </w:r>
      <w:r>
        <w:rPr>
          <w:rFonts w:ascii="SimSun" w:hAnsi="SimSun" w:eastAsia="SimSun" w:cs="SimSun"/>
          <w:sz w:val="23"/>
          <w:szCs w:val="23"/>
          <w:spacing w:val="94"/>
        </w:rPr>
        <w:t xml:space="preserve"> </w:t>
      </w:r>
      <w:r>
        <w:rPr>
          <w:sz w:val="23"/>
          <w:szCs w:val="23"/>
          <w:spacing w:val="9"/>
        </w:rPr>
        <w:t>关联，促进可持续发展。通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0"/>
        </w:rPr>
        <w:t>常而言，通过政策支持如政府资助培训，可实现更广覆盖。未来研究应聚焦跨文化适用性，以增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5"/>
        </w:rPr>
        <w:t>强策略的普适性。</w:t>
      </w:r>
    </w:p>
    <w:p>
      <w:pPr>
        <w:ind w:left="8"/>
        <w:spacing w:before="13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Citations:</w:t>
      </w:r>
    </w:p>
    <w:p>
      <w:pPr>
        <w:spacing w:line="198" w:lineRule="auto"/>
        <w:sectPr>
          <w:pgSz w:w="12240" w:h="15840"/>
          <w:pgMar w:top="1147" w:right="1106" w:bottom="0" w:left="961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ind w:left="148" w:right="409" w:hanging="149"/>
        <w:spacing w:before="68" w:line="324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·World</w:t>
      </w:r>
      <w:r>
        <w:rPr>
          <w:rFonts w:ascii="Arial" w:hAnsi="Arial" w:eastAsia="Arial" w:cs="Arial"/>
          <w:sz w:val="25"/>
          <w:szCs w:val="25"/>
          <w:spacing w:val="6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Health</w:t>
      </w:r>
      <w:r>
        <w:rPr>
          <w:rFonts w:ascii="Arial" w:hAnsi="Arial" w:eastAsia="Arial" w:cs="Arial"/>
          <w:sz w:val="25"/>
          <w:szCs w:val="25"/>
          <w:spacing w:val="5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Organization</w:t>
      </w:r>
      <w:r>
        <w:rPr>
          <w:rFonts w:ascii="Arial" w:hAnsi="Arial" w:eastAsia="Arial" w:cs="Arial"/>
          <w:sz w:val="25"/>
          <w:szCs w:val="25"/>
          <w:spacing w:val="6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(WHO).(2023).Autism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Spectrum</w:t>
      </w:r>
      <w:r>
        <w:rPr>
          <w:rFonts w:ascii="Arial" w:hAnsi="Arial" w:eastAsia="Arial" w:cs="Arial"/>
          <w:sz w:val="25"/>
          <w:szCs w:val="25"/>
          <w:spacing w:val="6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Disorders</w:t>
      </w:r>
      <w:r>
        <w:rPr>
          <w:rFonts w:ascii="Arial" w:hAnsi="Arial" w:eastAsia="Arial" w:cs="Arial"/>
          <w:sz w:val="25"/>
          <w:szCs w:val="25"/>
          <w:spacing w:val="6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Fact</w:t>
      </w:r>
      <w:r>
        <w:rPr>
          <w:rFonts w:ascii="Arial" w:hAnsi="Arial" w:eastAsia="Arial" w:cs="Arial"/>
          <w:sz w:val="25"/>
          <w:szCs w:val="25"/>
          <w:spacing w:val="57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</w:t>
      </w:r>
      <w:r>
        <w:rPr>
          <w:rFonts w:ascii="Arial" w:hAnsi="Arial" w:eastAsia="Arial" w:cs="Arial"/>
          <w:sz w:val="25"/>
          <w:szCs w:val="25"/>
          <w:spacing w:val="-3"/>
        </w:rPr>
        <w:t>heet.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6">
        <w:r>
          <w:rPr>
            <w:rFonts w:ascii="Arial" w:hAnsi="Arial" w:eastAsia="Arial" w:cs="Arial"/>
            <w:sz w:val="25"/>
            <w:szCs w:val="25"/>
          </w:rPr>
          <w:t>https://www.who.int/news-room/fact-sheets/detail/au</w:t>
        </w:r>
        <w:r>
          <w:rPr>
            <w:rFonts w:ascii="Arial" w:hAnsi="Arial" w:eastAsia="Arial" w:cs="Arial"/>
            <w:sz w:val="25"/>
            <w:szCs w:val="25"/>
            <w:spacing w:val="-1"/>
          </w:rPr>
          <w:t>tism-spectrum-disorders</w:t>
        </w:r>
      </w:hyperlink>
    </w:p>
    <w:p>
      <w:pPr>
        <w:ind w:left="148" w:hanging="149"/>
        <w:spacing w:before="192" w:line="32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·Centers</w:t>
      </w:r>
      <w:r>
        <w:rPr>
          <w:rFonts w:ascii="Arial" w:hAnsi="Arial" w:eastAsia="Arial" w:cs="Arial"/>
          <w:sz w:val="25"/>
          <w:szCs w:val="25"/>
          <w:spacing w:val="6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6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Disease</w:t>
      </w:r>
      <w:r>
        <w:rPr>
          <w:rFonts w:ascii="Arial" w:hAnsi="Arial" w:eastAsia="Arial" w:cs="Arial"/>
          <w:sz w:val="25"/>
          <w:szCs w:val="25"/>
          <w:spacing w:val="5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Control</w:t>
      </w:r>
      <w:r>
        <w:rPr>
          <w:rFonts w:ascii="Arial" w:hAnsi="Arial" w:eastAsia="Arial" w:cs="Arial"/>
          <w:sz w:val="25"/>
          <w:szCs w:val="25"/>
          <w:spacing w:val="5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  <w:spacing w:val="6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Prevention(CDC).(2023).Autism</w:t>
      </w:r>
      <w:r>
        <w:rPr>
          <w:rFonts w:ascii="Arial" w:hAnsi="Arial" w:eastAsia="Arial" w:cs="Arial"/>
          <w:sz w:val="25"/>
          <w:szCs w:val="25"/>
          <w:spacing w:val="6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Data</w:t>
      </w:r>
      <w:r>
        <w:rPr>
          <w:rFonts w:ascii="Arial" w:hAnsi="Arial" w:eastAsia="Arial" w:cs="Arial"/>
          <w:sz w:val="25"/>
          <w:szCs w:val="25"/>
          <w:spacing w:val="5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Statistics.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1">
        <w:r>
          <w:rPr>
            <w:rFonts w:ascii="Arial" w:hAnsi="Arial" w:eastAsia="Arial" w:cs="Arial"/>
            <w:sz w:val="25"/>
            <w:szCs w:val="25"/>
          </w:rPr>
          <w:t>https://www.cdc.gov/n</w:t>
        </w:r>
        <w:r>
          <w:rPr>
            <w:rFonts w:ascii="Arial" w:hAnsi="Arial" w:eastAsia="Arial" w:cs="Arial"/>
            <w:sz w:val="25"/>
            <w:szCs w:val="25"/>
            <w:spacing w:val="-1"/>
          </w:rPr>
          <w:t>cbddd/autism/data.html</w:t>
        </w:r>
      </w:hyperlink>
    </w:p>
    <w:p>
      <w:pPr>
        <w:ind w:left="148" w:right="159" w:hanging="149"/>
        <w:spacing w:before="188" w:line="32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·U.S.Department  of  Education(ED).(2022).Universal  Design  for  Learning  Guideli</w:t>
      </w:r>
      <w:r>
        <w:rPr>
          <w:rFonts w:ascii="Arial" w:hAnsi="Arial" w:eastAsia="Arial" w:cs="Arial"/>
          <w:sz w:val="25"/>
          <w:szCs w:val="25"/>
          <w:spacing w:val="-2"/>
        </w:rPr>
        <w:t>nes.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7">
        <w:r>
          <w:rPr>
            <w:rFonts w:ascii="Arial" w:hAnsi="Arial" w:eastAsia="Arial" w:cs="Arial"/>
            <w:sz w:val="25"/>
            <w:szCs w:val="25"/>
            <w:spacing w:val="-1"/>
          </w:rPr>
          <w:t>https://www.ed.gov/</w:t>
        </w:r>
      </w:hyperlink>
    </w:p>
    <w:p>
      <w:pPr>
        <w:ind w:left="148" w:right="719" w:hanging="149"/>
        <w:spacing w:before="18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·National  Institutes  of  Health(NIH).(2022).Autism  Spectrum</w:t>
      </w:r>
      <w:r>
        <w:rPr>
          <w:rFonts w:ascii="Arial" w:hAnsi="Arial" w:eastAsia="Arial" w:cs="Arial"/>
          <w:sz w:val="25"/>
          <w:szCs w:val="25"/>
          <w:spacing w:val="1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Disorder  Research.</w:t>
      </w:r>
      <w:r>
        <w:rPr>
          <w:rFonts w:ascii="Arial" w:hAnsi="Arial" w:eastAsia="Arial" w:cs="Arial"/>
          <w:sz w:val="25"/>
          <w:szCs w:val="25"/>
          <w:spacing w:val="1"/>
        </w:rPr>
        <w:t xml:space="preserve"> </w:t>
      </w:r>
      <w:hyperlink w:history="true" r:id="rId8">
        <w:r>
          <w:rPr>
            <w:rFonts w:ascii="Arial" w:hAnsi="Arial" w:eastAsia="Arial" w:cs="Arial"/>
            <w:sz w:val="25"/>
            <w:szCs w:val="25"/>
          </w:rPr>
          <w:t>https://www.nimh.nih.gov/health/topics/autism-</w:t>
        </w:r>
        <w:r>
          <w:rPr>
            <w:rFonts w:ascii="Arial" w:hAnsi="Arial" w:eastAsia="Arial" w:cs="Arial"/>
            <w:sz w:val="25"/>
            <w:szCs w:val="25"/>
            <w:spacing w:val="-1"/>
          </w:rPr>
          <w:t>spectrum-disorders-asd</w:t>
        </w:r>
      </w:hyperlink>
    </w:p>
    <w:p>
      <w:pPr>
        <w:ind w:left="148" w:right="134" w:hanging="149"/>
        <w:spacing w:before="19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·United  Nations  Educational,Sci</w:t>
      </w:r>
      <w:r>
        <w:rPr>
          <w:rFonts w:ascii="Arial" w:hAnsi="Arial" w:eastAsia="Arial" w:cs="Arial"/>
          <w:sz w:val="25"/>
          <w:szCs w:val="25"/>
          <w:spacing w:val="-2"/>
        </w:rPr>
        <w:t>entific</w:t>
      </w:r>
      <w:r>
        <w:rPr>
          <w:rFonts w:ascii="Arial" w:hAnsi="Arial" w:eastAsia="Arial" w:cs="Arial"/>
          <w:sz w:val="25"/>
          <w:szCs w:val="25"/>
          <w:spacing w:val="5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  <w:spacing w:val="6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Cultural</w:t>
      </w:r>
      <w:r>
        <w:rPr>
          <w:rFonts w:ascii="Arial" w:hAnsi="Arial" w:eastAsia="Arial" w:cs="Arial"/>
          <w:sz w:val="25"/>
          <w:szCs w:val="25"/>
          <w:spacing w:val="6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Organization</w:t>
      </w:r>
      <w:r>
        <w:rPr>
          <w:rFonts w:ascii="Arial" w:hAnsi="Arial" w:eastAsia="Arial" w:cs="Arial"/>
          <w:sz w:val="25"/>
          <w:szCs w:val="25"/>
          <w:spacing w:val="6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(UNESCO).(2020).</w:t>
      </w:r>
      <w:r>
        <w:rPr>
          <w:rFonts w:ascii="Arial" w:hAnsi="Arial" w:eastAsia="Arial" w:cs="Arial"/>
          <w:sz w:val="25"/>
          <w:szCs w:val="25"/>
        </w:rPr>
        <w:t xml:space="preserve">   </w:t>
      </w:r>
      <w:r>
        <w:rPr>
          <w:rFonts w:ascii="Arial" w:hAnsi="Arial" w:eastAsia="Arial" w:cs="Arial"/>
          <w:sz w:val="25"/>
          <w:szCs w:val="25"/>
        </w:rPr>
        <w:t>Inclusive   Education  </w:t>
      </w:r>
      <w:r>
        <w:rPr>
          <w:rFonts w:ascii="Arial" w:hAnsi="Arial" w:eastAsia="Arial" w:cs="Arial"/>
          <w:sz w:val="25"/>
          <w:szCs w:val="25"/>
          <w:spacing w:val="-1"/>
        </w:rPr>
        <w:t xml:space="preserve"> and   SDG4.</w:t>
      </w:r>
      <w:hyperlink w:history="true" r:id="rId9">
        <w:r>
          <w:rPr>
            <w:rFonts w:ascii="Arial" w:hAnsi="Arial" w:eastAsia="Arial" w:cs="Arial"/>
            <w:sz w:val="25"/>
            <w:szCs w:val="25"/>
            <w:spacing w:val="-1"/>
          </w:rPr>
          <w:t>https://en.unesco.org/themes/inclusion-in-education</w:t>
        </w:r>
      </w:hyperlink>
    </w:p>
    <w:p>
      <w:pPr>
        <w:ind w:left="148" w:right="1900" w:hanging="149"/>
        <w:spacing w:before="199" w:line="320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·Behavior  Analyst</w:t>
      </w:r>
      <w:r>
        <w:rPr>
          <w:rFonts w:ascii="Arial" w:hAnsi="Arial" w:eastAsia="Arial" w:cs="Arial"/>
          <w:sz w:val="25"/>
          <w:szCs w:val="25"/>
          <w:spacing w:val="23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Certification</w:t>
      </w:r>
      <w:r>
        <w:rPr>
          <w:rFonts w:ascii="Arial" w:hAnsi="Arial" w:eastAsia="Arial" w:cs="Arial"/>
          <w:sz w:val="25"/>
          <w:szCs w:val="25"/>
          <w:spacing w:val="21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Board(BACB).(2023).ABA</w:t>
      </w:r>
      <w:r>
        <w:rPr>
          <w:rFonts w:ascii="Arial" w:hAnsi="Arial" w:eastAsia="Arial" w:cs="Arial"/>
          <w:sz w:val="25"/>
          <w:szCs w:val="25"/>
          <w:spacing w:val="17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Standards.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10">
        <w:r>
          <w:rPr>
            <w:rFonts w:ascii="Arial" w:hAnsi="Arial" w:eastAsia="Arial" w:cs="Arial"/>
            <w:sz w:val="25"/>
            <w:szCs w:val="25"/>
            <w:spacing w:val="-1"/>
          </w:rPr>
          <w:t>https://www.bacb.com/</w:t>
        </w:r>
      </w:hyperlink>
    </w:p>
    <w:p>
      <w:pPr>
        <w:ind w:left="149" w:right="1839" w:hanging="100"/>
        <w:spacing w:before="173" w:line="333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·University</w:t>
      </w:r>
      <w:r>
        <w:rPr>
          <w:rFonts w:ascii="Arial" w:hAnsi="Arial" w:eastAsia="Arial" w:cs="Arial"/>
          <w:sz w:val="25"/>
          <w:szCs w:val="25"/>
          <w:spacing w:val="6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of</w:t>
      </w:r>
      <w:r>
        <w:rPr>
          <w:rFonts w:ascii="Arial" w:hAnsi="Arial" w:eastAsia="Arial" w:cs="Arial"/>
          <w:sz w:val="25"/>
          <w:szCs w:val="25"/>
          <w:spacing w:val="6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North  Carolina(UNC).(2024).TEACCH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Au</w:t>
      </w:r>
      <w:r>
        <w:rPr>
          <w:rFonts w:ascii="Arial" w:hAnsi="Arial" w:eastAsia="Arial" w:cs="Arial"/>
          <w:sz w:val="25"/>
          <w:szCs w:val="25"/>
          <w:spacing w:val="-2"/>
        </w:rPr>
        <w:t>tism  Program.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11">
        <w:r>
          <w:rPr>
            <w:rFonts w:ascii="Arial" w:hAnsi="Arial" w:eastAsia="Arial" w:cs="Arial"/>
            <w:sz w:val="25"/>
            <w:szCs w:val="25"/>
            <w:spacing w:val="-1"/>
          </w:rPr>
          <w:t>https://teacch.com/</w:t>
        </w:r>
      </w:hyperlink>
    </w:p>
    <w:p>
      <w:pPr>
        <w:ind w:left="148" w:right="2049" w:hanging="149"/>
        <w:spacing w:before="192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·National  Autistic   Society(NAS).(2024).Positive</w:t>
      </w:r>
      <w:r>
        <w:rPr>
          <w:rFonts w:ascii="Arial" w:hAnsi="Arial" w:eastAsia="Arial" w:cs="Arial"/>
          <w:sz w:val="25"/>
          <w:szCs w:val="25"/>
          <w:spacing w:val="24"/>
          <w:w w:val="101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Behaviour</w:t>
      </w:r>
      <w:r>
        <w:rPr>
          <w:rFonts w:ascii="Arial" w:hAnsi="Arial" w:eastAsia="Arial" w:cs="Arial"/>
          <w:sz w:val="25"/>
          <w:szCs w:val="25"/>
          <w:spacing w:val="19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Support.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12">
        <w:r>
          <w:rPr>
            <w:rFonts w:ascii="Arial" w:hAnsi="Arial" w:eastAsia="Arial" w:cs="Arial"/>
            <w:sz w:val="25"/>
            <w:szCs w:val="25"/>
            <w:spacing w:val="-1"/>
          </w:rPr>
          <w:t>https://www.autism.org.uk/</w:t>
        </w:r>
      </w:hyperlink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·Harvard   Medical   School.(2021).Autism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 xml:space="preserve">  Challenges.</w:t>
      </w:r>
      <w:hyperlink w:history="true" r:id="rId13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https://hms.harvard.edu/</w:t>
        </w:r>
      </w:hyperlink>
    </w:p>
    <w:p>
      <w:pPr>
        <w:spacing w:before="20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·Vanderbilt   University.(2023).Social   Stories    Research.</w:t>
      </w:r>
      <w:hyperlink w:history="true" r:id="rId14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https://vkc.vumc.org/</w:t>
        </w:r>
      </w:hyperlink>
    </w:p>
    <w:sectPr>
      <w:pgSz w:w="12240" w:h="15840"/>
      <w:pgMar w:top="1089" w:right="1088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en.unesco.org/themes/inclusion-in-education" TargetMode="External"/><Relationship Id="rId8" Type="http://schemas.openxmlformats.org/officeDocument/2006/relationships/hyperlink" Target="https://www.nimh.nih.gov/health/topics/autism-spectrum-disorders-asd" TargetMode="External"/><Relationship Id="rId7" Type="http://schemas.openxmlformats.org/officeDocument/2006/relationships/hyperlink" Target="https://www.ed.gov/" TargetMode="External"/><Relationship Id="rId6" Type="http://schemas.openxmlformats.org/officeDocument/2006/relationships/hyperlink" Target="https://www.who.int/news-room/fact-sheets/detail/autism-spectrum-disorders" TargetMode="External"/><Relationship Id="rId5" Type="http://schemas.openxmlformats.org/officeDocument/2006/relationships/image" Target="media/image3.jpeg"/><Relationship Id="rId4" Type="http://schemas.openxmlformats.org/officeDocument/2006/relationships/image" Target="media/image2.png"/><Relationship Id="rId3" Type="http://schemas.openxmlformats.org/officeDocument/2006/relationships/image" Target="media/image1.jpeg"/><Relationship Id="rId2" Type="http://schemas.openxmlformats.org/officeDocument/2006/relationships/hyperlink" Target="https://www.who.int/news-room/fact-sheets/detail/autism" TargetMode="Externa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yperlink" Target="https://vkc.vumc.org/" TargetMode="External"/><Relationship Id="rId13" Type="http://schemas.openxmlformats.org/officeDocument/2006/relationships/hyperlink" Target="https://hms.harvard.edu/" TargetMode="External"/><Relationship Id="rId12" Type="http://schemas.openxmlformats.org/officeDocument/2006/relationships/hyperlink" Target="https://www.autism.org.uk/" TargetMode="External"/><Relationship Id="rId11" Type="http://schemas.openxmlformats.org/officeDocument/2006/relationships/hyperlink" Target="https://teacch.com/" TargetMode="External"/><Relationship Id="rId10" Type="http://schemas.openxmlformats.org/officeDocument/2006/relationships/hyperlink" Target="https://www.bacb.com/" TargetMode="External"/><Relationship Id="rId1" Type="http://schemas.openxmlformats.org/officeDocument/2006/relationships/hyperlink" Target="https://www.cdc.gov/ncbddd/autism/data.html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2026-03-16T00:00:04</vt:filetime>
  </property>
  <property fmtid="{D5CDD505-2E9C-101B-9397-08002B2CF9AE}" pid="4" name="UsrData">
    <vt:lpwstr>69b6d78243cd31001f1dcfbawl</vt:lpwstr>
  </property>
</Properties>
</file>