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60" w:line="221" w:lineRule="auto"/>
        <w:outlineLvl w:val="0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关键策略概述</w:t>
      </w:r>
    </w:p>
    <w:p>
      <w:pPr>
        <w:pStyle w:val="BodyText"/>
        <w:spacing w:before="228" w:line="217" w:lineRule="auto"/>
        <w:rPr/>
      </w:pPr>
      <w:r>
        <w:rPr>
          <w:spacing w:val="8"/>
        </w:rPr>
        <w:t>增强自闭症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8"/>
        </w:rPr>
        <w:t>(</w:t>
      </w:r>
      <w:r>
        <w:rPr>
          <w:rFonts w:ascii="SimSun" w:hAnsi="SimSun" w:eastAsia="SimSun" w:cs="SimSun"/>
        </w:rPr>
        <w:t>autism</w:t>
      </w:r>
      <w:r>
        <w:rPr>
          <w:rFonts w:ascii="SimSun" w:hAnsi="SimSun" w:eastAsia="SimSun" w:cs="SimSun"/>
          <w:spacing w:val="8"/>
        </w:rPr>
        <w:t xml:space="preserve">   </w:t>
      </w:r>
      <w:r>
        <w:rPr>
          <w:rFonts w:ascii="SimSun" w:hAnsi="SimSun" w:eastAsia="SimSun" w:cs="SimSun"/>
        </w:rPr>
        <w:t>spectrum</w:t>
      </w:r>
      <w:r>
        <w:rPr>
          <w:rFonts w:ascii="SimSun" w:hAnsi="SimSun" w:eastAsia="SimSun" w:cs="SimSun"/>
          <w:spacing w:val="8"/>
        </w:rPr>
        <w:t xml:space="preserve">   </w:t>
      </w:r>
      <w:r>
        <w:rPr>
          <w:rFonts w:ascii="SimSun" w:hAnsi="SimSun" w:eastAsia="SimSun" w:cs="SimSun"/>
        </w:rPr>
        <w:t>disorder</w:t>
      </w:r>
      <w:r>
        <w:rPr>
          <w:rFonts w:ascii="SimSun" w:hAnsi="SimSun" w:eastAsia="SimSun" w:cs="SimSun"/>
          <w:spacing w:val="8"/>
        </w:rPr>
        <w:t>,</w:t>
      </w:r>
      <w:r>
        <w:rPr>
          <w:rFonts w:ascii="SimSun" w:hAnsi="SimSun" w:eastAsia="SimSun" w:cs="SimSun"/>
        </w:rPr>
        <w:t>ASD</w:t>
      </w:r>
      <w:r>
        <w:rPr>
          <w:rFonts w:ascii="SimSun" w:hAnsi="SimSun" w:eastAsia="SimSun" w:cs="SimSun"/>
          <w:spacing w:val="8"/>
        </w:rPr>
        <w:t>)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8"/>
        </w:rPr>
        <w:t>学生课堂参与</w:t>
      </w:r>
      <w:r>
        <w:rPr>
          <w:spacing w:val="7"/>
        </w:rPr>
        <w:t>度的有效方法主要基于证据实</w:t>
      </w:r>
    </w:p>
    <w:p>
      <w:pPr>
        <w:pStyle w:val="BodyText"/>
        <w:ind w:right="144"/>
        <w:spacing w:before="134" w:line="326" w:lineRule="auto"/>
        <w:rPr/>
      </w:pPr>
      <w:r>
        <w:rPr>
          <w:spacing w:val="10"/>
        </w:rPr>
        <w:t>践，这些策略能利用他们的视觉优势、减少焦虑，并提升动机。研究显示，视觉支持、结构化教</w:t>
      </w:r>
      <w:r>
        <w:rPr>
          <w:spacing w:val="7"/>
        </w:rPr>
        <w:t xml:space="preserve"> </w:t>
      </w:r>
      <w:r>
        <w:rPr>
          <w:spacing w:val="9"/>
        </w:rPr>
        <w:t>学和积极强化是最常用且有效的干预方式，能显著提高参与度和独立性。</w:t>
      </w:r>
    </w:p>
    <w:p>
      <w:pPr>
        <w:pStyle w:val="BodyText"/>
        <w:ind w:left="369"/>
        <w:spacing w:before="157" w:line="213" w:lineRule="auto"/>
        <w:rPr/>
      </w:pPr>
      <w:r>
        <w:rPr>
          <w:spacing w:val="5"/>
        </w:rPr>
        <w:t>·</w:t>
      </w:r>
      <w:r>
        <w:rPr>
          <w:spacing w:val="-81"/>
        </w:rPr>
        <w:t xml:space="preserve"> </w:t>
      </w:r>
      <w:r>
        <w:rPr>
          <w:spacing w:val="5"/>
        </w:rPr>
        <w:t>视觉支持：使用图片、时间表和视觉提示，帮助学生理解期望和流程。</w:t>
      </w:r>
    </w:p>
    <w:p>
      <w:pPr>
        <w:pStyle w:val="BodyText"/>
        <w:ind w:left="369"/>
        <w:spacing w:before="264" w:line="213" w:lineRule="auto"/>
        <w:rPr/>
      </w:pPr>
      <w:r>
        <w:rPr>
          <w:spacing w:val="6"/>
        </w:rPr>
        <w:t>·</w:t>
      </w:r>
      <w:r>
        <w:rPr>
          <w:spacing w:val="-91"/>
        </w:rPr>
        <w:t xml:space="preserve"> </w:t>
      </w:r>
      <w:r>
        <w:rPr>
          <w:spacing w:val="6"/>
        </w:rPr>
        <w:t>结构化环境与例行程序：提供可预测的日常安排，减少不确定性带来的焦虑。</w:t>
      </w:r>
    </w:p>
    <w:p>
      <w:pPr>
        <w:pStyle w:val="BodyText"/>
        <w:ind w:left="369"/>
        <w:spacing w:before="285" w:line="213" w:lineRule="auto"/>
        <w:rPr/>
      </w:pPr>
      <w:r>
        <w:rPr>
          <w:spacing w:val="7"/>
        </w:rPr>
        <w:t>·</w:t>
      </w:r>
      <w:r>
        <w:rPr>
          <w:spacing w:val="-97"/>
        </w:rPr>
        <w:t xml:space="preserve"> </w:t>
      </w:r>
      <w:r>
        <w:rPr>
          <w:spacing w:val="7"/>
        </w:rPr>
        <w:t>积极强化与基于兴趣的教学：通过奖励和</w:t>
      </w:r>
      <w:r>
        <w:rPr>
          <w:spacing w:val="6"/>
        </w:rPr>
        <w:t>融入个人兴趣，提升动机和主动参与。</w:t>
      </w:r>
    </w:p>
    <w:p>
      <w:pPr>
        <w:pStyle w:val="BodyText"/>
        <w:ind w:left="369"/>
        <w:spacing w:before="265" w:line="213" w:lineRule="auto"/>
        <w:rPr/>
      </w:pPr>
      <w:r>
        <w:rPr>
          <w:spacing w:val="5"/>
        </w:rPr>
        <w:t>·</w:t>
      </w:r>
      <w:r>
        <w:rPr>
          <w:spacing w:val="-81"/>
        </w:rPr>
        <w:t xml:space="preserve"> </w:t>
      </w:r>
      <w:r>
        <w:rPr>
          <w:spacing w:val="5"/>
        </w:rPr>
        <w:t>感官调整：优化教室环境，减少感官过载，如提供安静区或灵活座位。</w:t>
      </w:r>
    </w:p>
    <w:p>
      <w:pPr>
        <w:pStyle w:val="BodyText"/>
        <w:ind w:left="369"/>
        <w:spacing w:before="290" w:line="212" w:lineRule="auto"/>
        <w:rPr>
          <w:rFonts w:ascii="SimSun" w:hAnsi="SimSun" w:eastAsia="SimSun" w:cs="SimSun"/>
        </w:rPr>
      </w:pPr>
      <w:r>
        <w:rPr>
          <w:spacing w:val="7"/>
        </w:rPr>
        <w:t>·</w:t>
      </w:r>
      <w:r>
        <w:rPr>
          <w:spacing w:val="-87"/>
        </w:rPr>
        <w:t xml:space="preserve"> </w:t>
      </w:r>
      <w:r>
        <w:rPr>
          <w:spacing w:val="7"/>
        </w:rPr>
        <w:t>先行干预与提示：提前修改环境或提供辅助提示，预防问题行为并促进</w:t>
      </w:r>
      <w:r>
        <w:rPr>
          <w:rFonts w:ascii="Times New Roman" w:hAnsi="Times New Roman" w:eastAsia="Times New Roman" w:cs="Times New Roman"/>
        </w:rPr>
        <w:t>engagement</w:t>
      </w:r>
      <w:r>
        <w:rPr>
          <w:rFonts w:ascii="SimSun" w:hAnsi="SimSun" w:eastAsia="SimSun" w:cs="SimSun"/>
          <w:spacing w:val="7"/>
        </w:rPr>
        <w:t>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75" w:line="346" w:lineRule="auto"/>
        <w:rPr/>
      </w:pPr>
      <w:r>
        <w:rPr>
          <w:spacing w:val="10"/>
        </w:rPr>
        <w:t>这些策略并非一刀切，需要根据学生个体化</w:t>
      </w:r>
      <w:r>
        <w:rPr>
          <w:spacing w:val="9"/>
        </w:rPr>
        <w:t>教育计划</w:t>
      </w:r>
      <w:r>
        <w:rPr>
          <w:spacing w:val="9"/>
        </w:rPr>
        <w:t xml:space="preserve"> </w:t>
      </w:r>
      <w:r>
        <w:rPr>
          <w:rFonts w:ascii="SimSun" w:hAnsi="SimSun" w:eastAsia="SimSun" w:cs="SimSun"/>
          <w:spacing w:val="9"/>
        </w:rPr>
        <w:t>(</w:t>
      </w:r>
      <w:r>
        <w:rPr>
          <w:rFonts w:ascii="SimSun" w:hAnsi="SimSun" w:eastAsia="SimSun" w:cs="SimSun"/>
        </w:rPr>
        <w:t>IEP</w:t>
      </w:r>
      <w:r>
        <w:rPr>
          <w:rFonts w:ascii="SimSun" w:hAnsi="SimSun" w:eastAsia="SimSun" w:cs="SimSun"/>
          <w:spacing w:val="9"/>
        </w:rPr>
        <w:t>)</w:t>
      </w:r>
      <w:r>
        <w:rPr>
          <w:rFonts w:ascii="SimSun" w:hAnsi="SimSun" w:eastAsia="SimSun" w:cs="SimSun"/>
          <w:spacing w:val="59"/>
        </w:rPr>
        <w:t xml:space="preserve"> </w:t>
      </w:r>
      <w:r>
        <w:rPr>
          <w:spacing w:val="9"/>
        </w:rPr>
        <w:t>调整，结合教师培训和家庭合作才能</w:t>
      </w:r>
      <w:r>
        <w:rPr/>
        <w:t xml:space="preserve"> </w:t>
      </w:r>
      <w:r>
        <w:rPr>
          <w:spacing w:val="5"/>
        </w:rPr>
        <w:t>发挥最佳效果。</w:t>
      </w:r>
    </w:p>
    <w:p>
      <w:pPr>
        <w:pStyle w:val="BodyText"/>
        <w:ind w:left="4"/>
        <w:spacing w:before="325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主要策略分类</w:t>
      </w:r>
    </w:p>
    <w:p>
      <w:pPr>
        <w:pStyle w:val="BodyText"/>
        <w:ind w:left="3"/>
        <w:spacing w:before="202" w:line="222" w:lineRule="auto"/>
        <w:outlineLvl w:val="4"/>
        <w:rPr/>
      </w:pPr>
      <w:r>
        <w:rPr>
          <w:rFonts w:ascii="SimSun" w:hAnsi="SimSun" w:eastAsia="SimSun" w:cs="SimSun"/>
          <w:b/>
          <w:bCs/>
          <w:spacing w:val="4"/>
        </w:rPr>
        <w:t>1.</w:t>
      </w:r>
      <w:r>
        <w:rPr>
          <w:b/>
          <w:bCs/>
          <w:spacing w:val="4"/>
        </w:rPr>
        <w:t>视觉与结构化支持</w:t>
      </w:r>
    </w:p>
    <w:p>
      <w:pPr>
        <w:pStyle w:val="BodyText"/>
        <w:spacing w:before="226" w:line="335" w:lineRule="auto"/>
        <w:rPr/>
      </w:pPr>
      <w:r>
        <w:rPr>
          <w:spacing w:val="10"/>
        </w:rPr>
        <w:t>自闭症学生常在视觉处理上更强，视觉工具能清晰传达信息，减少对口头</w:t>
      </w:r>
      <w:r>
        <w:rPr>
          <w:spacing w:val="9"/>
        </w:rPr>
        <w:t>指令的依赖。常见做法</w:t>
      </w:r>
      <w:r>
        <w:rPr/>
        <w:t xml:space="preserve">  </w:t>
      </w:r>
      <w:r>
        <w:rPr>
          <w:spacing w:val="19"/>
        </w:rPr>
        <w:t>包括每日视觉时间表、工作系统(明确任务顺序)和任务视觉</w:t>
      </w:r>
      <w:r>
        <w:rPr>
          <w:spacing w:val="18"/>
        </w:rPr>
        <w:t>结构(显示如何完成活动)。这些能</w:t>
      </w:r>
      <w:r>
        <w:rPr/>
        <w:t xml:space="preserve"> </w:t>
      </w:r>
      <w:r>
        <w:rPr>
          <w:spacing w:val="9"/>
        </w:rPr>
        <w:t>提升独立性和参与度，避免学生因困惑而退缩。</w:t>
      </w:r>
    </w:p>
    <w:p>
      <w:pPr>
        <w:pStyle w:val="BodyText"/>
        <w:ind w:left="3"/>
        <w:spacing w:before="234" w:line="222" w:lineRule="auto"/>
        <w:outlineLvl w:val="4"/>
        <w:rPr/>
      </w:pPr>
      <w:r>
        <w:rPr>
          <w:rFonts w:ascii="SimSun" w:hAnsi="SimSun" w:eastAsia="SimSun" w:cs="SimSun"/>
          <w:b/>
          <w:bCs/>
          <w:spacing w:val="10"/>
        </w:rPr>
        <w:t>2.</w:t>
      </w:r>
      <w:r>
        <w:rPr>
          <w:b/>
          <w:bCs/>
          <w:spacing w:val="10"/>
        </w:rPr>
        <w:t>行为与动机干预</w:t>
      </w:r>
    </w:p>
    <w:p>
      <w:pPr>
        <w:pStyle w:val="BodyText"/>
        <w:ind w:right="141"/>
        <w:spacing w:before="206" w:line="348" w:lineRule="auto"/>
        <w:rPr>
          <w:rFonts w:ascii="SimSun" w:hAnsi="SimSun" w:eastAsia="SimSun" w:cs="SimSun"/>
        </w:rPr>
      </w:pPr>
      <w:r>
        <w:rPr>
          <w:spacing w:val="21"/>
        </w:rPr>
        <w:t>使用积极强化(如表扬或奖励系统)鼓励期望行为；先行干预则通过调整环境(如座位安排)预</w:t>
      </w:r>
      <w:r>
        <w:rPr>
          <w:spacing w:val="8"/>
        </w:rPr>
        <w:t xml:space="preserve"> </w:t>
      </w:r>
      <w:r>
        <w:rPr>
          <w:spacing w:val="18"/>
        </w:rPr>
        <w:t>防干扰。融入学生特殊兴趣(如用喜欢的主题讲解数学)能自然提高</w:t>
      </w:r>
      <w:r>
        <w:rPr>
          <w:rFonts w:ascii="Times New Roman" w:hAnsi="Times New Roman" w:eastAsia="Times New Roman" w:cs="Times New Roman"/>
        </w:rPr>
        <w:t>engagement</w:t>
      </w:r>
      <w:r>
        <w:rPr>
          <w:rFonts w:ascii="SimSun" w:hAnsi="SimSun" w:eastAsia="SimSun" w:cs="SimSun"/>
          <w:spacing w:val="18"/>
        </w:rPr>
        <w:t>。</w:t>
      </w:r>
    </w:p>
    <w:p>
      <w:pPr>
        <w:pStyle w:val="BodyText"/>
        <w:ind w:left="3"/>
        <w:spacing w:before="212" w:line="222" w:lineRule="auto"/>
        <w:outlineLvl w:val="4"/>
        <w:rPr/>
      </w:pPr>
      <w:r>
        <w:rPr>
          <w:rFonts w:ascii="SimSun" w:hAnsi="SimSun" w:eastAsia="SimSun" w:cs="SimSun"/>
          <w:b/>
          <w:bCs/>
          <w:spacing w:val="4"/>
        </w:rPr>
        <w:t>3.</w:t>
      </w:r>
      <w:r>
        <w:rPr>
          <w:rFonts w:ascii="SimSun" w:hAnsi="SimSun" w:eastAsia="SimSun" w:cs="SimSun"/>
          <w:spacing w:val="-60"/>
        </w:rPr>
        <w:t xml:space="preserve"> </w:t>
      </w:r>
      <w:r>
        <w:rPr>
          <w:b/>
          <w:bCs/>
          <w:spacing w:val="4"/>
        </w:rPr>
        <w:t>感官与沟通调整</w:t>
      </w:r>
    </w:p>
    <w:p>
      <w:pPr>
        <w:pStyle w:val="BodyText"/>
        <w:ind w:right="119"/>
        <w:spacing w:before="195" w:line="350" w:lineRule="auto"/>
        <w:rPr/>
      </w:pPr>
      <w:r>
        <w:rPr>
          <w:spacing w:val="11"/>
        </w:rPr>
        <w:t>许多自闭症学生对噪音、光线敏感，提供降噪耳机、柔和照明或运动间</w:t>
      </w:r>
      <w:r>
        <w:rPr>
          <w:spacing w:val="10"/>
        </w:rPr>
        <w:t>歇能帮助他们专注。使用</w:t>
      </w:r>
      <w:r>
        <w:rPr/>
        <w:t xml:space="preserve"> </w:t>
      </w:r>
      <w:r>
        <w:rPr>
          <w:spacing w:val="9"/>
        </w:rPr>
        <w:t>简单、具体语言，并给予处理时间，也能改善沟通和课堂互动。</w:t>
      </w:r>
    </w:p>
    <w:p>
      <w:pPr>
        <w:pStyle w:val="BodyText"/>
        <w:ind w:left="3"/>
        <w:spacing w:before="196" w:line="222" w:lineRule="auto"/>
        <w:outlineLvl w:val="4"/>
        <w:rPr/>
      </w:pPr>
      <w:r>
        <w:rPr>
          <w:rFonts w:ascii="SimSun" w:hAnsi="SimSun" w:eastAsia="SimSun" w:cs="SimSun"/>
          <w:b/>
          <w:bCs/>
          <w:spacing w:val="10"/>
        </w:rPr>
        <w:t>4.</w:t>
      </w:r>
      <w:r>
        <w:rPr>
          <w:b/>
          <w:bCs/>
          <w:spacing w:val="10"/>
        </w:rPr>
        <w:t>社交与包容支持</w:t>
      </w:r>
    </w:p>
    <w:p>
      <w:pPr>
        <w:pStyle w:val="BodyText"/>
        <w:ind w:right="157"/>
        <w:spacing w:before="255" w:line="324" w:lineRule="auto"/>
        <w:rPr/>
      </w:pPr>
      <w:r>
        <w:rPr>
          <w:spacing w:val="15"/>
        </w:rPr>
        <w:t>通过同伴配对、社会故事(解释社交规则)和小组活动，促进社交参与。教师需营造包容氛围，</w:t>
      </w:r>
      <w:r>
        <w:rPr>
          <w:spacing w:val="14"/>
        </w:rPr>
        <w:t xml:space="preserve"> </w:t>
      </w:r>
      <w:r>
        <w:rPr>
          <w:spacing w:val="4"/>
        </w:rPr>
        <w:t>避免孤立。</w:t>
      </w:r>
    </w:p>
    <w:p>
      <w:pPr>
        <w:spacing w:line="324" w:lineRule="auto"/>
        <w:sectPr>
          <w:pgSz w:w="12240" w:h="15840"/>
          <w:pgMar w:top="1124" w:right="1027" w:bottom="0" w:left="980" w:header="0" w:footer="0" w:gutter="0"/>
        </w:sectPr>
        <w:rPr/>
      </w:pPr>
    </w:p>
    <w:p>
      <w:pPr>
        <w:pStyle w:val="BodyText"/>
        <w:ind w:right="178"/>
        <w:spacing w:before="49" w:line="320" w:lineRule="auto"/>
        <w:rPr>
          <w:sz w:val="24"/>
          <w:szCs w:val="24"/>
        </w:rPr>
      </w:pPr>
      <w:r>
        <w:rPr>
          <w:sz w:val="24"/>
          <w:szCs w:val="24"/>
        </w:rPr>
        <w:t>实施时，建议与特殊教育专业人士合作，并参考证据-</w:t>
      </w:r>
      <w:r>
        <w:rPr>
          <w:rFonts w:ascii="SimSun" w:hAnsi="SimSun" w:eastAsia="SimSun" w:cs="SimSun"/>
          <w:sz w:val="24"/>
          <w:szCs w:val="24"/>
        </w:rPr>
        <w:t>based practices </w:t>
      </w:r>
      <w:r>
        <w:rPr>
          <w:sz w:val="24"/>
          <w:szCs w:val="24"/>
        </w:rPr>
        <w:t>(如美国国家自闭症证据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1"/>
        </w:rPr>
        <w:t>与实践中心列出的28项实践)。</w:t>
      </w:r>
    </w:p>
    <w:p>
      <w:pPr>
        <w:spacing w:line="242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6296</wp:posOffset>
            </wp:positionH>
            <wp:positionV relativeFrom="paragraph">
              <wp:posOffset>57055</wp:posOffset>
            </wp:positionV>
            <wp:extent cx="6515137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3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增强自闭症学生课堂参与度的全面分析</w:t>
      </w:r>
    </w:p>
    <w:p>
      <w:pPr>
        <w:pStyle w:val="BodyText"/>
        <w:spacing w:before="198" w:line="212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自闭症谱系障碍</w:t>
      </w:r>
      <w:r>
        <w:rPr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ASD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)   </w:t>
      </w:r>
      <w:r>
        <w:rPr>
          <w:sz w:val="24"/>
          <w:szCs w:val="24"/>
          <w:spacing w:val="1"/>
        </w:rPr>
        <w:t>学生在主流或包容性课堂中常面临参与度挑战，主要源于社交沟通困</w:t>
      </w:r>
    </w:p>
    <w:p>
      <w:pPr>
        <w:pStyle w:val="BodyText"/>
        <w:ind w:right="50"/>
        <w:spacing w:before="167" w:line="302" w:lineRule="auto"/>
        <w:rPr>
          <w:sz w:val="24"/>
          <w:szCs w:val="24"/>
        </w:rPr>
      </w:pPr>
      <w:r>
        <w:rPr>
          <w:sz w:val="24"/>
          <w:szCs w:val="24"/>
        </w:rPr>
        <w:t>难、感官敏感、执行功能差异以及对变化的焦虑。这些挑战可能表现为退缩、注意力分散或问题</w:t>
      </w:r>
      <w:r>
        <w:rPr>
          <w:sz w:val="24"/>
          <w:szCs w:val="24"/>
          <w:spacing w:val="5"/>
        </w:rPr>
        <w:t xml:space="preserve">  </w:t>
      </w:r>
      <w:r>
        <w:rPr>
          <w:sz w:val="24"/>
          <w:szCs w:val="24"/>
          <w:spacing w:val="1"/>
        </w:rPr>
        <w:t>行为，但通过针对性的证据-</w:t>
      </w:r>
      <w:r>
        <w:rPr>
          <w:rFonts w:ascii="Arial" w:hAnsi="Arial" w:eastAsia="Arial" w:cs="Arial"/>
          <w:sz w:val="24"/>
          <w:szCs w:val="24"/>
        </w:rPr>
        <w:t>based</w:t>
      </w:r>
      <w:r>
        <w:rPr>
          <w:rFonts w:ascii="Arial" w:hAnsi="Arial" w:eastAsia="Arial" w:cs="Arial"/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1"/>
        </w:rPr>
        <w:t>策略，教师能显著提升他们的</w:t>
      </w:r>
      <w:r>
        <w:rPr>
          <w:rFonts w:ascii="Arial" w:hAnsi="Arial" w:eastAsia="Arial" w:cs="Arial"/>
          <w:sz w:val="24"/>
          <w:szCs w:val="24"/>
        </w:rPr>
        <w:t>engagement</w:t>
      </w:r>
      <w:r>
        <w:rPr>
          <w:rFonts w:ascii="SimSun" w:hAnsi="SimSun" w:eastAsia="SimSun" w:cs="SimSun"/>
          <w:sz w:val="24"/>
          <w:szCs w:val="24"/>
          <w:spacing w:val="1"/>
        </w:rPr>
        <w:t>、 </w:t>
      </w:r>
      <w:r>
        <w:rPr>
          <w:sz w:val="24"/>
          <w:szCs w:val="24"/>
        </w:rPr>
        <w:t>独立性和学习成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果。以下分析基于多个权威来源的综合，包括</w:t>
      </w:r>
      <w:r>
        <w:rPr>
          <w:rFonts w:ascii="SimSun" w:hAnsi="SimSun" w:eastAsia="SimSun" w:cs="SimSun"/>
          <w:sz w:val="24"/>
          <w:szCs w:val="24"/>
        </w:rPr>
        <w:t>Autism    Speaks、TEACCH</w:t>
      </w:r>
      <w:r>
        <w:rPr>
          <w:sz w:val="24"/>
          <w:szCs w:val="24"/>
          <w:spacing w:val="-1"/>
        </w:rPr>
        <w:t>结构化教学模型、</w:t>
      </w:r>
    </w:p>
    <w:p>
      <w:pPr>
        <w:pStyle w:val="BodyText"/>
        <w:spacing w:before="74" w:line="21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Vanderbilt  </w:t>
      </w:r>
      <w:r>
        <w:rPr>
          <w:sz w:val="24"/>
          <w:szCs w:val="24"/>
        </w:rPr>
        <w:t>大学证据实践清单以及系统性文献综</w:t>
      </w:r>
      <w:r>
        <w:rPr>
          <w:sz w:val="24"/>
          <w:szCs w:val="24"/>
          <w:spacing w:val="-1"/>
        </w:rPr>
        <w:t>述，旨在提供实用、可操作的指导。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证据基础与总体原则</w:t>
      </w:r>
    </w:p>
    <w:p>
      <w:pPr>
        <w:pStyle w:val="BodyText"/>
        <w:spacing w:before="235" w:line="213" w:lineRule="auto"/>
        <w:rPr>
          <w:sz w:val="24"/>
          <w:szCs w:val="24"/>
        </w:rPr>
      </w:pPr>
      <w:r>
        <w:rPr>
          <w:sz w:val="24"/>
          <w:szCs w:val="24"/>
        </w:rPr>
        <w:t>研究表明，自闭症学生的学习优势往往在于视觉处理和结构化信息，而传统口头教学可能无效。</w:t>
      </w:r>
    </w:p>
    <w:p>
      <w:pPr>
        <w:pStyle w:val="BodyText"/>
        <w:spacing w:before="139" w:line="217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国家自闭症证据与实践中心</w:t>
      </w:r>
      <w:r>
        <w:rPr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(</w:t>
      </w:r>
      <w:r>
        <w:rPr>
          <w:rFonts w:ascii="SimSun" w:hAnsi="SimSun" w:eastAsia="SimSun" w:cs="SimSun"/>
          <w:sz w:val="24"/>
          <w:szCs w:val="24"/>
        </w:rPr>
        <w:t>NCAEP</w:t>
      </w:r>
      <w:r>
        <w:rPr>
          <w:rFonts w:ascii="SimSun" w:hAnsi="SimSun" w:eastAsia="SimSun" w:cs="SimSun"/>
          <w:sz w:val="24"/>
          <w:szCs w:val="24"/>
          <w:spacing w:val="2"/>
        </w:rPr>
        <w:t>)   </w:t>
      </w:r>
      <w:r>
        <w:rPr>
          <w:sz w:val="24"/>
          <w:szCs w:val="24"/>
          <w:spacing w:val="2"/>
        </w:rPr>
        <w:t>识别了28项证据-</w:t>
      </w:r>
      <w:r>
        <w:rPr>
          <w:rFonts w:ascii="SimSun" w:hAnsi="SimSun" w:eastAsia="SimSun" w:cs="SimSun"/>
          <w:sz w:val="24"/>
          <w:szCs w:val="24"/>
        </w:rPr>
        <w:t>based</w:t>
      </w:r>
      <w:r>
        <w:rPr>
          <w:rFonts w:ascii="SimSun" w:hAnsi="SimSun" w:eastAsia="SimSun" w:cs="SimSun"/>
          <w:sz w:val="24"/>
          <w:szCs w:val="24"/>
          <w:spacing w:val="76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practices</w:t>
      </w:r>
      <w:r>
        <w:rPr>
          <w:rFonts w:ascii="SimSun" w:hAnsi="SimSun" w:eastAsia="SimSun" w:cs="SimSun"/>
          <w:sz w:val="24"/>
          <w:szCs w:val="24"/>
          <w:spacing w:val="2"/>
        </w:rPr>
        <w:t>,</w:t>
      </w:r>
      <w:r>
        <w:rPr>
          <w:sz w:val="24"/>
          <w:szCs w:val="24"/>
          <w:spacing w:val="2"/>
        </w:rPr>
        <w:t>其中多项直接针对</w:t>
      </w:r>
    </w:p>
    <w:p>
      <w:pPr>
        <w:pStyle w:val="BodyText"/>
        <w:spacing w:before="107" w:line="212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</w:rPr>
        <w:t>课堂参与，如视觉支持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(Visual       Supports)</w:t>
      </w:r>
      <w:r>
        <w:rPr>
          <w:rFonts w:ascii="SimSun" w:hAnsi="SimSun" w:eastAsia="SimSun" w:cs="SimSun"/>
          <w:sz w:val="24"/>
          <w:szCs w:val="24"/>
        </w:rPr>
        <w:t>、</w:t>
      </w:r>
      <w:r>
        <w:rPr>
          <w:sz w:val="24"/>
          <w:szCs w:val="24"/>
        </w:rPr>
        <w:t>先行干预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(Antecedent-Based  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     Interventions)</w:t>
      </w:r>
      <w:r>
        <w:rPr>
          <w:rFonts w:ascii="SimSun" w:hAnsi="SimSun" w:eastAsia="SimSun" w:cs="SimSun"/>
          <w:sz w:val="24"/>
          <w:szCs w:val="24"/>
          <w:spacing w:val="-1"/>
        </w:rPr>
        <w:t>、</w:t>
      </w:r>
    </w:p>
    <w:p>
      <w:pPr>
        <w:pStyle w:val="BodyText"/>
        <w:ind w:right="61"/>
        <w:spacing w:before="92" w:line="331" w:lineRule="auto"/>
        <w:rPr>
          <w:sz w:val="24"/>
          <w:szCs w:val="24"/>
        </w:rPr>
      </w:pPr>
      <w:r>
        <w:rPr>
          <w:sz w:val="24"/>
          <w:szCs w:val="24"/>
        </w:rPr>
        <w:t>强化</w:t>
      </w:r>
      <w:r>
        <w:rPr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(Reinforcement)    </w:t>
      </w:r>
      <w:r>
        <w:rPr>
          <w:sz w:val="24"/>
          <w:szCs w:val="24"/>
        </w:rPr>
        <w:t>和自然主义干预</w:t>
      </w:r>
      <w:r>
        <w:rPr>
          <w:sz w:val="24"/>
          <w:szCs w:val="24"/>
          <w:spacing w:val="-22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(Natu</w:t>
      </w:r>
      <w:r>
        <w:rPr>
          <w:rFonts w:ascii="Arial" w:hAnsi="Arial" w:eastAsia="Arial" w:cs="Arial"/>
          <w:sz w:val="24"/>
          <w:szCs w:val="24"/>
          <w:spacing w:val="-1"/>
        </w:rPr>
        <w:t>ralistic      Intervention)</w:t>
      </w:r>
      <w:r>
        <w:rPr>
          <w:rFonts w:ascii="SimSun" w:hAnsi="SimSun" w:eastAsia="SimSun" w:cs="SimSun"/>
          <w:sz w:val="24"/>
          <w:szCs w:val="24"/>
          <w:spacing w:val="-1"/>
        </w:rPr>
        <w:t>。</w:t>
      </w:r>
      <w:r>
        <w:rPr>
          <w:sz w:val="24"/>
          <w:szCs w:val="24"/>
          <w:spacing w:val="-1"/>
        </w:rPr>
        <w:t>这些实践已在多个随机对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照试验中证明能提高任务完成率、减少问题行为并提升社交互动。</w:t>
      </w:r>
    </w:p>
    <w:p>
      <w:pPr>
        <w:pStyle w:val="BodyText"/>
        <w:ind w:right="50"/>
        <w:spacing w:before="187" w:line="316" w:lineRule="auto"/>
        <w:rPr>
          <w:sz w:val="24"/>
          <w:szCs w:val="24"/>
        </w:rPr>
      </w:pPr>
      <w:r>
        <w:rPr>
          <w:sz w:val="24"/>
          <w:szCs w:val="24"/>
          <w:spacing w:val="12"/>
        </w:rPr>
        <w:t>包容性教育的关键在于个体化：策略需基于学生优势(如</w:t>
      </w:r>
      <w:r>
        <w:rPr>
          <w:sz w:val="24"/>
          <w:szCs w:val="24"/>
          <w:spacing w:val="11"/>
        </w:rPr>
        <w:t>特殊兴趣)和需求(如感官调节),并融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入个别化教育计划</w:t>
      </w:r>
      <w:r>
        <w:rPr>
          <w:sz w:val="24"/>
          <w:szCs w:val="24"/>
          <w:spacing w:val="-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(</w:t>
      </w:r>
      <w:r>
        <w:rPr>
          <w:rFonts w:ascii="SimSun" w:hAnsi="SimSun" w:eastAsia="SimSun" w:cs="SimSun"/>
          <w:sz w:val="24"/>
          <w:szCs w:val="24"/>
        </w:rPr>
        <w:t>IEP</w:t>
      </w:r>
      <w:r>
        <w:rPr>
          <w:rFonts w:ascii="SimSun" w:hAnsi="SimSun" w:eastAsia="SimSun" w:cs="SimSun"/>
          <w:sz w:val="24"/>
          <w:szCs w:val="24"/>
          <w:spacing w:val="1"/>
        </w:rPr>
        <w:t>)。</w:t>
      </w:r>
      <w:r>
        <w:rPr>
          <w:sz w:val="24"/>
          <w:szCs w:val="24"/>
          <w:spacing w:val="1"/>
        </w:rPr>
        <w:t>教师专业发展至关重要，包括了解自闭症特征和调整教</w:t>
      </w:r>
      <w:r>
        <w:rPr>
          <w:sz w:val="24"/>
          <w:szCs w:val="24"/>
        </w:rPr>
        <w:t>学方法。定性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6"/>
        </w:rPr>
        <w:t>研究显示，教室层面的环境修改(如减少感官刺激)能直接改善参与，但此类研究仍较少，需更</w:t>
      </w:r>
      <w:r>
        <w:rPr>
          <w:sz w:val="24"/>
          <w:szCs w:val="24"/>
          <w:spacing w:val="1"/>
        </w:rPr>
        <w:t xml:space="preserve">  </w:t>
      </w:r>
      <w:r>
        <w:rPr>
          <w:sz w:val="24"/>
          <w:szCs w:val="24"/>
          <w:spacing w:val="-3"/>
        </w:rPr>
        <w:t>多关注学生自身视角。</w:t>
      </w:r>
    </w:p>
    <w:p>
      <w:pPr>
        <w:pStyle w:val="BodyText"/>
        <w:ind w:left="3"/>
        <w:spacing w:before="244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核心策略详解与实施示例</w:t>
      </w:r>
    </w:p>
    <w:p>
      <w:pPr>
        <w:pStyle w:val="BodyText"/>
        <w:spacing w:before="210" w:line="21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以下表格总结了最有效的策略类别、具体实践、预</w:t>
      </w:r>
      <w:r>
        <w:rPr>
          <w:sz w:val="24"/>
          <w:szCs w:val="24"/>
          <w:spacing w:val="-2"/>
        </w:rPr>
        <w:t>期益处及支持证据：</w:t>
      </w:r>
    </w:p>
    <w:p>
      <w:pPr>
        <w:spacing w:line="218" w:lineRule="auto"/>
        <w:sectPr>
          <w:pgSz w:w="12240" w:h="15840"/>
          <w:pgMar w:top="1248" w:right="989" w:bottom="0" w:left="980" w:header="0" w:footer="0" w:gutter="0"/>
        </w:sectPr>
        <w:rPr>
          <w:sz w:val="24"/>
          <w:szCs w:val="24"/>
        </w:rPr>
      </w:pPr>
    </w:p>
    <w:tbl>
      <w:tblPr>
        <w:tblStyle w:val="TableNormal"/>
        <w:tblW w:w="1010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06"/>
        <w:gridCol w:w="3215"/>
        <w:gridCol w:w="3101"/>
        <w:gridCol w:w="2878"/>
      </w:tblGrid>
      <w:tr>
        <w:trPr>
          <w:trHeight w:val="423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3"/>
              <w:spacing w:before="5" w:line="221" w:lineRule="auto"/>
              <w:rPr/>
            </w:pPr>
            <w:r>
              <w:rPr>
                <w:b/>
                <w:bCs/>
                <w:spacing w:val="-4"/>
              </w:rPr>
              <w:t>策略类别</w:t>
            </w:r>
          </w:p>
        </w:tc>
        <w:tc>
          <w:tcPr>
            <w:tcW w:w="3215" w:type="dxa"/>
            <w:vAlign w:val="top"/>
          </w:tcPr>
          <w:p>
            <w:pPr>
              <w:pStyle w:val="TableText"/>
              <w:ind w:left="226"/>
              <w:spacing w:before="5" w:line="218" w:lineRule="auto"/>
              <w:rPr/>
            </w:pPr>
            <w:r>
              <w:rPr>
                <w:b/>
                <w:bCs/>
                <w:spacing w:val="-1"/>
              </w:rPr>
              <w:t>具体实践示例</w:t>
            </w:r>
          </w:p>
        </w:tc>
        <w:tc>
          <w:tcPr>
            <w:tcW w:w="3101" w:type="dxa"/>
            <w:vAlign w:val="top"/>
          </w:tcPr>
          <w:p>
            <w:pPr>
              <w:pStyle w:val="TableText"/>
              <w:ind w:left="222"/>
              <w:spacing w:line="221" w:lineRule="auto"/>
              <w:rPr/>
            </w:pPr>
            <w:r>
              <w:rPr>
                <w:b/>
                <w:bCs/>
              </w:rPr>
              <w:t>预期益处</w:t>
            </w:r>
          </w:p>
        </w:tc>
        <w:tc>
          <w:tcPr>
            <w:tcW w:w="2878" w:type="dxa"/>
            <w:vAlign w:val="top"/>
          </w:tcPr>
          <w:p>
            <w:pPr>
              <w:pStyle w:val="TableText"/>
              <w:ind w:left="160"/>
              <w:spacing w:before="8" w:line="221" w:lineRule="auto"/>
              <w:rPr/>
            </w:pPr>
            <w:r>
              <w:rPr>
                <w:b/>
                <w:bCs/>
                <w:spacing w:val="-5"/>
              </w:rPr>
              <w:t>支持证据来源</w:t>
            </w:r>
          </w:p>
        </w:tc>
      </w:tr>
      <w:tr>
        <w:trPr>
          <w:trHeight w:val="858" w:hRule="atLeast"/>
        </w:trPr>
        <w:tc>
          <w:tcPr>
            <w:tcW w:w="90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"/>
              <w:spacing w:before="197" w:line="222" w:lineRule="auto"/>
              <w:rPr/>
            </w:pPr>
            <w:r>
              <w:rPr>
                <w:b/>
                <w:bCs/>
                <w:spacing w:val="-10"/>
              </w:rPr>
              <w:t>视觉支持</w:t>
            </w:r>
          </w:p>
        </w:tc>
        <w:tc>
          <w:tcPr>
            <w:tcW w:w="321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3" w:right="277" w:hanging="39"/>
              <w:spacing w:before="197" w:line="286" w:lineRule="auto"/>
              <w:rPr/>
            </w:pPr>
            <w:r>
              <w:rPr>
                <w:spacing w:val="-1"/>
              </w:rPr>
              <w:t>视觉时间表、图片提示卡、工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作系统、任务分解图表</w:t>
            </w:r>
          </w:p>
        </w:tc>
        <w:tc>
          <w:tcPr>
            <w:tcW w:w="310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9" w:right="158"/>
              <w:spacing w:before="198" w:line="303" w:lineRule="auto"/>
              <w:rPr>
                <w:rFonts w:ascii="Arial" w:hAnsi="Arial" w:eastAsia="Arial" w:cs="Arial"/>
              </w:rPr>
            </w:pPr>
            <w:r>
              <w:rPr>
                <w:spacing w:val="-1"/>
              </w:rPr>
              <w:t>提升可预测性、独立性和任务</w:t>
            </w:r>
            <w:r>
              <w:rPr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</w:rPr>
              <w:t>engagement</w:t>
            </w:r>
          </w:p>
        </w:tc>
        <w:tc>
          <w:tcPr>
            <w:tcW w:w="287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7" w:right="96"/>
              <w:spacing w:before="211" w:line="280" w:lineRule="auto"/>
              <w:rPr/>
            </w:pPr>
            <w:r>
              <w:rPr>
                <w:rFonts w:ascii="SimSun" w:hAnsi="SimSun" w:eastAsia="SimSun" w:cs="SimSun"/>
                <w:spacing w:val="-2"/>
              </w:rPr>
              <w:t>TEACCH</w:t>
            </w:r>
            <w:r>
              <w:rPr>
                <w:rFonts w:ascii="SimSun" w:hAnsi="SimSun" w:eastAsia="SimSun" w:cs="SimSun"/>
                <w:spacing w:val="16"/>
              </w:rPr>
              <w:t xml:space="preserve">  </w:t>
            </w:r>
            <w:r>
              <w:rPr>
                <w:spacing w:val="-2"/>
              </w:rPr>
              <w:t>模型；</w:t>
            </w:r>
            <w:r>
              <w:rPr>
                <w:rFonts w:ascii="SimSun" w:hAnsi="SimSun" w:eastAsia="SimSun" w:cs="SimSun"/>
                <w:spacing w:val="-2"/>
              </w:rPr>
              <w:t>NCAEP</w:t>
            </w:r>
            <w:r>
              <w:rPr>
                <w:rFonts w:ascii="SimSun" w:hAnsi="SimSun" w:eastAsia="SimSun" w:cs="SimSun"/>
                <w:spacing w:val="102"/>
              </w:rPr>
              <w:t xml:space="preserve"> </w:t>
            </w:r>
            <w:r>
              <w:rPr>
                <w:spacing w:val="-2"/>
              </w:rPr>
              <w:t>视觉</w:t>
            </w:r>
            <w:r>
              <w:rPr/>
              <w:t xml:space="preserve"> </w:t>
            </w:r>
            <w:r>
              <w:rPr>
                <w:spacing w:val="1"/>
              </w:rPr>
              <w:t>支持实践</w:t>
            </w:r>
          </w:p>
        </w:tc>
      </w:tr>
      <w:tr>
        <w:trPr>
          <w:trHeight w:val="861" w:hRule="atLeast"/>
        </w:trPr>
        <w:tc>
          <w:tcPr>
            <w:tcW w:w="10100" w:type="dxa"/>
            <w:vAlign w:val="top"/>
            <w:gridSpan w:val="4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right="6400" w:firstLine="3"/>
              <w:spacing w:before="295" w:line="244" w:lineRule="auto"/>
              <w:rPr/>
            </w:pPr>
            <w:r>
              <w:pict>
                <v:shape id="_x0000_s2" style="position:absolute;margin-left:209.044pt;margin-top:13.2961pt;mso-position-vertical-relative:text;mso-position-horizontal-relative:text;width:145.2pt;height:32.25pt;z-index:251660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139"/>
                          <w:spacing w:before="20" w:line="288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-1"/>
                          </w:rPr>
                          <w:t>减少焦虑、促进主动参与和过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-6"/>
                          </w:rPr>
                          <w:t>渡</w:t>
                        </w:r>
                        <w:r>
                          <w:rPr>
                            <w:sz w:val="19"/>
                            <w:szCs w:val="19"/>
                            <w:spacing w:val="20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-6"/>
                          </w:rPr>
                          <w:t>顺</w:t>
                        </w:r>
                        <w:r>
                          <w:rPr>
                            <w:sz w:val="19"/>
                            <w:szCs w:val="19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-6"/>
                          </w:rPr>
                          <w:t>畅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" style="position:absolute;margin-left:367.999pt;margin-top:16.1162pt;mso-position-vertical-relative:text;mso-position-horizontal-relative:text;width:40.3pt;height:29.5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96" w:right="20" w:hanging="76"/>
                          <w:spacing w:before="19" w:line="290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spacing w:val="-3"/>
                          </w:rPr>
                          <w:t>Reading</w:t>
                        </w: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2"/>
                          </w:rPr>
                          <w:t>Speaks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" style="position:absolute;margin-left:423.11pt;margin-top:16.1162pt;mso-position-vertical-relative:text;mso-position-horizontal-relative:text;width:74.1pt;height:11.9pt;z-index:251659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6" w:lineRule="auto"/>
                          <w:rPr>
                            <w:rFonts w:ascii="Arial" w:hAnsi="Arial" w:eastAsia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spacing w:val="-2"/>
                          </w:rPr>
                          <w:t>Rockets;Autism</w:t>
                        </w:r>
                      </w:p>
                    </w:txbxContent>
                  </v:textbox>
                </v:shape>
              </w:pict>
            </w:r>
            <w:r>
              <w:rPr>
                <w:b/>
                <w:bCs/>
                <w:spacing w:val="6"/>
              </w:rPr>
              <w:t>结构化教</w:t>
            </w:r>
            <w:r>
              <w:rPr>
                <w:spacing w:val="7"/>
              </w:rPr>
              <w:t xml:space="preserve">   </w:t>
            </w:r>
            <w:r>
              <w:rPr>
                <w:spacing w:val="6"/>
              </w:rPr>
              <w:t>物理教室布局(明确区域划</w:t>
            </w:r>
            <w:r>
              <w:rPr/>
              <w:t xml:space="preserve"> </w:t>
            </w:r>
            <w:r>
              <w:rPr>
                <w:spacing w:val="33"/>
              </w:rPr>
              <w:t>学</w:t>
            </w:r>
            <w:r>
              <w:rPr>
                <w:spacing w:val="9"/>
              </w:rPr>
              <w:t xml:space="preserve">     </w:t>
            </w:r>
            <w:r>
              <w:rPr>
                <w:spacing w:val="33"/>
              </w:rPr>
              <w:t>分)、每日固定例行程序</w:t>
            </w:r>
          </w:p>
        </w:tc>
      </w:tr>
      <w:tr>
        <w:trPr>
          <w:trHeight w:val="641" w:hRule="atLeast"/>
        </w:trPr>
        <w:tc>
          <w:tcPr>
            <w:tcW w:w="906" w:type="dxa"/>
            <w:vAlign w:val="top"/>
            <w:tcBorders>
              <w:top w:val="single" w:color="00000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69" w:line="218" w:lineRule="auto"/>
              <w:rPr/>
            </w:pPr>
            <w:r>
              <w:rPr>
                <w:b/>
                <w:bCs/>
                <w:spacing w:val="-4"/>
              </w:rPr>
              <w:t>积极强化</w:t>
            </w:r>
          </w:p>
        </w:tc>
        <w:tc>
          <w:tcPr>
            <w:tcW w:w="3215" w:type="dxa"/>
            <w:vAlign w:val="top"/>
            <w:tcBorders>
              <w:top w:val="single" w:color="00000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4"/>
              <w:spacing w:before="69" w:line="218" w:lineRule="auto"/>
              <w:rPr/>
            </w:pPr>
            <w:r>
              <w:rPr>
                <w:spacing w:val="-2"/>
              </w:rPr>
              <w:t>描述性表扬、代币经济系统、</w:t>
            </w:r>
          </w:p>
        </w:tc>
        <w:tc>
          <w:tcPr>
            <w:tcW w:w="3101" w:type="dxa"/>
            <w:vAlign w:val="top"/>
            <w:tcBorders>
              <w:top w:val="single" w:color="000000" w:sz="4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9"/>
              <w:spacing w:before="68" w:line="215" w:lineRule="auto"/>
              <w:rPr/>
            </w:pPr>
            <w:r>
              <w:rPr>
                <w:spacing w:val="-1"/>
              </w:rPr>
              <w:t>增加动机、强化期望行为</w:t>
            </w:r>
          </w:p>
        </w:tc>
        <w:tc>
          <w:tcPr>
            <w:tcW w:w="2878" w:type="dxa"/>
            <w:vAlign w:val="top"/>
            <w:tcBorders>
              <w:top w:val="single" w:color="000000" w:sz="4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7"/>
              <w:spacing w:before="68" w:line="206" w:lineRule="auto"/>
              <w:rPr/>
            </w:pPr>
            <w:r>
              <w:rPr>
                <w:rFonts w:ascii="Times New Roman" w:hAnsi="Times New Roman" w:eastAsia="Times New Roman" w:cs="Times New Roman"/>
                <w:spacing w:val="-3"/>
              </w:rPr>
              <w:t>Reinforcement    </w:t>
            </w:r>
            <w:r>
              <w:rPr>
                <w:spacing w:val="-3"/>
              </w:rPr>
              <w:t>实践；</w:t>
            </w:r>
          </w:p>
        </w:tc>
      </w:tr>
      <w:tr>
        <w:trPr>
          <w:trHeight w:val="402" w:hRule="atLeast"/>
        </w:trPr>
        <w:tc>
          <w:tcPr>
            <w:tcW w:w="906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1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3"/>
              <w:spacing w:before="115" w:line="222" w:lineRule="auto"/>
              <w:rPr/>
            </w:pPr>
            <w:r>
              <w:rPr>
                <w:spacing w:val="-2"/>
              </w:rPr>
              <w:t>基于兴趣的奖励</w:t>
            </w:r>
          </w:p>
        </w:tc>
        <w:tc>
          <w:tcPr>
            <w:tcW w:w="3101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78" w:type="dxa"/>
            <w:vAlign w:val="top"/>
            <w:tcBorders>
              <w:bottom w:val="single" w:color="000000" w:sz="2" w:space="0"/>
            </w:tcBorders>
          </w:tcPr>
          <w:p>
            <w:pPr>
              <w:ind w:left="157"/>
              <w:spacing w:before="76" w:line="286" w:lineRule="exac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2"/>
                <w:position w:val="1"/>
              </w:rPr>
              <w:t>Incredible</w:t>
            </w:r>
            <w:r>
              <w:rPr>
                <w:rFonts w:ascii="Arial" w:hAnsi="Arial" w:eastAsia="Arial" w:cs="Arial"/>
                <w:sz w:val="21"/>
                <w:szCs w:val="21"/>
                <w:spacing w:val="15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21"/>
                <w:szCs w:val="21"/>
                <w:spacing w:val="-2"/>
                <w:position w:val="1"/>
              </w:rPr>
              <w:t>Years</w:t>
            </w:r>
          </w:p>
        </w:tc>
      </w:tr>
      <w:tr>
        <w:trPr>
          <w:trHeight w:val="562" w:hRule="atLeast"/>
        </w:trPr>
        <w:tc>
          <w:tcPr>
            <w:tcW w:w="906" w:type="dxa"/>
            <w:vAlign w:val="top"/>
            <w:tcBorders>
              <w:top w:val="single" w:color="000000" w:sz="2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"/>
              <w:spacing w:before="68" w:line="208" w:lineRule="auto"/>
              <w:rPr/>
            </w:pPr>
            <w:r>
              <w:rPr>
                <w:b/>
                <w:bCs/>
                <w:spacing w:val="-9"/>
              </w:rPr>
              <w:t>先行干预</w:t>
            </w:r>
          </w:p>
        </w:tc>
        <w:tc>
          <w:tcPr>
            <w:tcW w:w="3215" w:type="dxa"/>
            <w:vAlign w:val="top"/>
            <w:tcBorders>
              <w:top w:val="single" w:color="000000" w:sz="2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3"/>
              <w:spacing w:before="68" w:line="208" w:lineRule="auto"/>
              <w:rPr/>
            </w:pPr>
            <w:r>
              <w:rPr>
                <w:spacing w:val="-1"/>
              </w:rPr>
              <w:t>座位优化、提前预告变化、感</w:t>
            </w:r>
          </w:p>
        </w:tc>
        <w:tc>
          <w:tcPr>
            <w:tcW w:w="3101" w:type="dxa"/>
            <w:vAlign w:val="top"/>
            <w:tcBorders>
              <w:top w:val="single" w:color="000000" w:sz="2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9"/>
              <w:spacing w:before="68" w:line="208" w:lineRule="auto"/>
              <w:rPr/>
            </w:pPr>
            <w:r>
              <w:rPr>
                <w:spacing w:val="-1"/>
              </w:rPr>
              <w:t>预防问题行为、维持专注</w:t>
            </w:r>
          </w:p>
        </w:tc>
        <w:tc>
          <w:tcPr>
            <w:tcW w:w="2878" w:type="dxa"/>
            <w:vAlign w:val="top"/>
            <w:tcBorders>
              <w:top w:val="single" w:color="000000" w:sz="2" w:space="0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left="157"/>
              <w:spacing w:before="61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1"/>
              </w:rPr>
              <w:t>Antecedent-Based</w:t>
            </w:r>
          </w:p>
        </w:tc>
      </w:tr>
      <w:tr>
        <w:trPr>
          <w:trHeight w:val="408" w:hRule="atLeast"/>
        </w:trPr>
        <w:tc>
          <w:tcPr>
            <w:tcW w:w="906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1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3"/>
              <w:spacing w:before="106" w:line="222" w:lineRule="auto"/>
              <w:rPr/>
            </w:pPr>
            <w:r>
              <w:rPr>
                <w:spacing w:val="12"/>
              </w:rPr>
              <w:t>官工具(如耳机)</w:t>
            </w:r>
          </w:p>
        </w:tc>
        <w:tc>
          <w:tcPr>
            <w:tcW w:w="3101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78" w:type="dxa"/>
            <w:vAlign w:val="top"/>
            <w:tcBorders>
              <w:bottom w:val="single" w:color="000000" w:sz="2" w:space="0"/>
            </w:tcBorders>
          </w:tcPr>
          <w:p>
            <w:pPr>
              <w:ind w:left="157"/>
              <w:spacing w:before="68" w:line="287" w:lineRule="exac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2"/>
                <w:position w:val="1"/>
              </w:rPr>
              <w:t>Interventions</w:t>
            </w:r>
          </w:p>
        </w:tc>
      </w:tr>
      <w:tr>
        <w:trPr>
          <w:trHeight w:val="606" w:hRule="atLeast"/>
        </w:trPr>
        <w:tc>
          <w:tcPr>
            <w:tcW w:w="906" w:type="dxa"/>
            <w:vAlign w:val="top"/>
            <w:tcBorders>
              <w:top w:val="single" w:color="000000" w:sz="2" w:space="0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"/>
              <w:spacing w:before="68" w:line="222" w:lineRule="auto"/>
              <w:rPr/>
            </w:pPr>
            <w:r>
              <w:rPr>
                <w:b/>
                <w:bCs/>
                <w:spacing w:val="-10"/>
              </w:rPr>
              <w:t>提示与建</w:t>
            </w:r>
          </w:p>
        </w:tc>
        <w:tc>
          <w:tcPr>
            <w:tcW w:w="3215" w:type="dxa"/>
            <w:vAlign w:val="top"/>
            <w:tcBorders>
              <w:top w:val="single" w:color="000000" w:sz="2" w:space="0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4"/>
              <w:spacing w:before="68" w:line="222" w:lineRule="auto"/>
              <w:rPr/>
            </w:pPr>
            <w:r>
              <w:rPr>
                <w:spacing w:val="5"/>
              </w:rPr>
              <w:t>渐退式提示(手势/视觉)、视</w:t>
            </w:r>
          </w:p>
        </w:tc>
        <w:tc>
          <w:tcPr>
            <w:tcW w:w="3101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9"/>
              <w:spacing w:before="68" w:line="222" w:lineRule="auto"/>
              <w:rPr/>
            </w:pPr>
            <w:r>
              <w:rPr>
                <w:spacing w:val="-2"/>
              </w:rPr>
              <w:t>支持技能习得、提升响应率</w:t>
            </w:r>
          </w:p>
        </w:tc>
        <w:tc>
          <w:tcPr>
            <w:tcW w:w="2878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7"/>
              <w:spacing w:before="68" w:line="212" w:lineRule="auto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</w:rPr>
              <w:t>Prompting;Modeling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"/>
              </w:rPr>
              <w:t xml:space="preserve">     </w:t>
            </w:r>
            <w:r>
              <w:rPr>
                <w:b/>
                <w:bCs/>
                <w:spacing w:val="-1"/>
              </w:rPr>
              <w:t>实践</w:t>
            </w:r>
          </w:p>
        </w:tc>
      </w:tr>
      <w:tr>
        <w:trPr>
          <w:trHeight w:val="271" w:hRule="atLeast"/>
        </w:trPr>
        <w:tc>
          <w:tcPr>
            <w:tcW w:w="90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spacing w:before="76" w:line="162" w:lineRule="auto"/>
              <w:rPr/>
            </w:pPr>
            <w:r>
              <w:rPr/>
              <w:t>模</w:t>
            </w:r>
          </w:p>
        </w:tc>
        <w:tc>
          <w:tcPr>
            <w:tcW w:w="321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3"/>
              <w:spacing w:before="76" w:line="162" w:lineRule="auto"/>
              <w:rPr/>
            </w:pPr>
            <w:r>
              <w:rPr>
                <w:spacing w:val="-7"/>
              </w:rPr>
              <w:t>频</w:t>
            </w:r>
            <w:r>
              <w:rPr>
                <w:spacing w:val="29"/>
              </w:rPr>
              <w:t xml:space="preserve"> </w:t>
            </w:r>
            <w:r>
              <w:rPr>
                <w:spacing w:val="-7"/>
              </w:rPr>
              <w:t>/</w:t>
            </w:r>
            <w:r>
              <w:rPr>
                <w:spacing w:val="34"/>
              </w:rPr>
              <w:t xml:space="preserve"> </w:t>
            </w:r>
            <w:r>
              <w:rPr>
                <w:spacing w:val="-7"/>
              </w:rPr>
              <w:t>现</w:t>
            </w:r>
            <w:r>
              <w:rPr>
                <w:spacing w:val="32"/>
              </w:rPr>
              <w:t xml:space="preserve"> </w:t>
            </w:r>
            <w:r>
              <w:rPr>
                <w:spacing w:val="-7"/>
              </w:rPr>
              <w:t>场</w:t>
            </w:r>
            <w:r>
              <w:rPr>
                <w:spacing w:val="42"/>
              </w:rPr>
              <w:t xml:space="preserve"> </w:t>
            </w:r>
            <w:r>
              <w:rPr>
                <w:spacing w:val="-7"/>
              </w:rPr>
              <w:t>示</w:t>
            </w:r>
            <w:r>
              <w:rPr>
                <w:spacing w:val="37"/>
              </w:rPr>
              <w:t xml:space="preserve"> </w:t>
            </w:r>
            <w:r>
              <w:rPr>
                <w:spacing w:val="-7"/>
              </w:rPr>
              <w:t>范</w:t>
            </w:r>
          </w:p>
        </w:tc>
        <w:tc>
          <w:tcPr>
            <w:tcW w:w="3101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78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4" w:hRule="atLeast"/>
        </w:trPr>
        <w:tc>
          <w:tcPr>
            <w:tcW w:w="906" w:type="dxa"/>
            <w:vAlign w:val="top"/>
            <w:tcBorders>
              <w:top w:val="single" w:color="000000" w:sz="4" w:space="0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8" w:line="222" w:lineRule="auto"/>
              <w:rPr/>
            </w:pPr>
            <w:r>
              <w:rPr>
                <w:spacing w:val="5"/>
              </w:rPr>
              <w:t>社交与自</w:t>
            </w:r>
          </w:p>
        </w:tc>
        <w:tc>
          <w:tcPr>
            <w:tcW w:w="3215" w:type="dxa"/>
            <w:vAlign w:val="top"/>
            <w:tcBorders>
              <w:top w:val="single" w:color="000000" w:sz="4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3"/>
              <w:spacing w:before="68" w:line="222" w:lineRule="auto"/>
              <w:rPr/>
            </w:pPr>
            <w:r>
              <w:rPr>
                <w:spacing w:val="-1"/>
              </w:rPr>
              <w:t>社会故事、同伴配对、自然嵌</w:t>
            </w:r>
          </w:p>
        </w:tc>
        <w:tc>
          <w:tcPr>
            <w:tcW w:w="3101" w:type="dxa"/>
            <w:vAlign w:val="top"/>
            <w:tcBorders>
              <w:top w:val="single" w:color="000000" w:sz="4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9"/>
              <w:spacing w:before="68" w:line="222" w:lineRule="auto"/>
              <w:rPr/>
            </w:pPr>
            <w:r>
              <w:rPr>
                <w:spacing w:val="-2"/>
              </w:rPr>
              <w:t>改善社交参与、减少孤立</w:t>
            </w:r>
          </w:p>
        </w:tc>
        <w:tc>
          <w:tcPr>
            <w:tcW w:w="2878" w:type="dxa"/>
            <w:vAlign w:val="top"/>
            <w:tcBorders>
              <w:top w:val="single" w:color="000000" w:sz="4" w:space="0"/>
            </w:tcBorders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ind w:left="157"/>
              <w:spacing w:before="60" w:line="198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</w:rPr>
              <w:t>Social   Narratives;Pe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"/>
              </w:rPr>
              <w:t>er-</w:t>
            </w:r>
          </w:p>
        </w:tc>
      </w:tr>
      <w:tr>
        <w:trPr>
          <w:trHeight w:val="379" w:hRule="atLeast"/>
        </w:trPr>
        <w:tc>
          <w:tcPr>
            <w:tcW w:w="90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"/>
              <w:spacing w:before="78" w:line="222" w:lineRule="auto"/>
              <w:rPr/>
            </w:pPr>
            <w:r>
              <w:rPr>
                <w:b/>
                <w:bCs/>
                <w:spacing w:val="-4"/>
              </w:rPr>
              <w:t>然干预</w:t>
            </w:r>
          </w:p>
        </w:tc>
        <w:tc>
          <w:tcPr>
            <w:tcW w:w="321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3"/>
              <w:spacing w:before="81" w:line="222" w:lineRule="auto"/>
              <w:rPr/>
            </w:pPr>
            <w:r>
              <w:rPr>
                <w:spacing w:val="-2"/>
              </w:rPr>
              <w:t>入兴趣的活动</w:t>
            </w:r>
          </w:p>
        </w:tc>
        <w:tc>
          <w:tcPr>
            <w:tcW w:w="3101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78" w:type="dxa"/>
            <w:vAlign w:val="top"/>
            <w:tcBorders>
              <w:bottom w:val="single" w:color="000000" w:sz="2" w:space="0"/>
            </w:tcBorders>
          </w:tcPr>
          <w:p>
            <w:pPr>
              <w:ind w:left="157"/>
              <w:spacing w:before="99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3"/>
              </w:rPr>
              <w:t>Based</w:t>
            </w:r>
          </w:p>
        </w:tc>
      </w:tr>
      <w:tr>
        <w:trPr>
          <w:trHeight w:val="890" w:hRule="atLeast"/>
        </w:trPr>
        <w:tc>
          <w:tcPr>
            <w:tcW w:w="4121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spacing w:before="287" w:line="222" w:lineRule="auto"/>
              <w:rPr/>
            </w:pPr>
            <w:r>
              <w:rPr/>
              <w:t>感官调整</w:t>
            </w:r>
            <w:r>
              <w:rPr/>
              <w:t xml:space="preserve">   </w:t>
            </w:r>
            <w:r>
              <w:rPr/>
              <w:t>柔和照明、运动间歇、灵活座</w:t>
            </w:r>
          </w:p>
          <w:p>
            <w:pPr>
              <w:pStyle w:val="TableText"/>
              <w:ind w:left="1159"/>
              <w:spacing w:before="128" w:line="186" w:lineRule="auto"/>
              <w:rPr/>
            </w:pPr>
            <w:r>
              <w:rPr>
                <w:spacing w:val="20"/>
              </w:rPr>
              <w:t>位(如豆袋椅)</w:t>
            </w:r>
          </w:p>
        </w:tc>
        <w:tc>
          <w:tcPr>
            <w:tcW w:w="31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9" w:right="1001"/>
              <w:spacing w:before="288" w:line="276" w:lineRule="auto"/>
              <w:rPr>
                <w:rFonts w:ascii="Arial" w:hAnsi="Arial" w:eastAsia="Arial" w:cs="Arial"/>
              </w:rPr>
            </w:pPr>
            <w:r>
              <w:rPr>
                <w:spacing w:val="-2"/>
              </w:rPr>
              <w:t>管理过载、提高持久</w:t>
            </w:r>
            <w:r>
              <w:rPr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</w:rPr>
              <w:t>engagement</w:t>
            </w:r>
          </w:p>
        </w:tc>
        <w:tc>
          <w:tcPr>
            <w:tcW w:w="287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7" w:right="1140"/>
              <w:spacing w:before="307" w:line="267" w:lineRule="auto"/>
              <w:rPr>
                <w:rFonts w:ascii="Arial" w:hAnsi="Arial" w:eastAsia="Arial" w:cs="Arial"/>
              </w:rPr>
            </w:pPr>
            <w:r>
              <w:rPr>
                <w:spacing w:val="-6"/>
              </w:rPr>
              <w:t>系统综述</w:t>
            </w:r>
            <w:r>
              <w:rPr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</w:rPr>
              <w:t>(PMC);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3"/>
              </w:rPr>
              <w:t>Incredible Years</w:t>
            </w:r>
          </w:p>
        </w:tc>
      </w:tr>
    </w:tbl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8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28"/>
        </w:rPr>
        <w:t>详细实施指导</w:t>
      </w:r>
    </w:p>
    <w:p>
      <w:pPr>
        <w:spacing w:line="222" w:lineRule="auto"/>
        <w:sectPr>
          <w:pgSz w:w="12240" w:h="15840"/>
          <w:pgMar w:top="1244" w:right="1149" w:bottom="0" w:left="989" w:header="0" w:footer="0" w:gutter="0"/>
        </w:sectPr>
        <w:rPr>
          <w:sz w:val="21"/>
          <w:szCs w:val="21"/>
        </w:rPr>
      </w:pPr>
    </w:p>
    <w:p>
      <w:pPr>
        <w:pStyle w:val="BodyText"/>
        <w:ind w:left="379"/>
        <w:spacing w:before="46" w:line="221" w:lineRule="auto"/>
        <w:rPr/>
      </w:pPr>
      <w:r>
        <w:rPr>
          <w:spacing w:val="6"/>
        </w:rPr>
        <w:t>·</w:t>
      </w:r>
      <w:r>
        <w:rPr>
          <w:spacing w:val="-82"/>
        </w:rPr>
        <w:t xml:space="preserve"> </w:t>
      </w:r>
      <w:r>
        <w:rPr>
          <w:spacing w:val="6"/>
        </w:rPr>
        <w:t>视觉支持与结构化：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>TEACCH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6"/>
        </w:rPr>
        <w:t>方法强调四要素——物理结构(清晰区域划分)、视觉时间表</w:t>
      </w:r>
    </w:p>
    <w:p>
      <w:pPr>
        <w:pStyle w:val="BodyText"/>
        <w:ind w:left="519" w:firstLine="159"/>
        <w:spacing w:before="145" w:line="293" w:lineRule="auto"/>
        <w:rPr/>
      </w:pPr>
      <w:r>
        <w:rPr>
          <w:spacing w:val="11"/>
        </w:rPr>
        <w:t>(用图片显示一天流程)、工作系统(告知“做什么、多少、完成标志”)和视觉任务结构(显</w:t>
      </w:r>
      <w:r>
        <w:rPr>
          <w:spacing w:val="14"/>
        </w:rPr>
        <w:t xml:space="preserve"> </w:t>
      </w:r>
      <w:r>
        <w:rPr>
          <w:spacing w:val="3"/>
        </w:rPr>
        <w:t>示步骤)。例如，在数学课上用图片序列显示“拿书→打开第10页→完成3题→放入成品篮”,能</w:t>
      </w:r>
      <w:r>
        <w:rPr>
          <w:spacing w:val="15"/>
        </w:rPr>
        <w:t xml:space="preserve"> </w:t>
      </w:r>
      <w:r>
        <w:rPr>
          <w:spacing w:val="7"/>
        </w:rPr>
        <w:t>让学生独立操作，减少对教师依赖。</w:t>
      </w:r>
    </w:p>
    <w:p>
      <w:pPr>
        <w:pStyle w:val="BodyText"/>
        <w:ind w:left="519" w:hanging="140"/>
        <w:spacing w:before="273" w:line="296" w:lineRule="auto"/>
        <w:rPr/>
      </w:pPr>
      <w:r>
        <w:rPr>
          <w:spacing w:val="2"/>
        </w:rPr>
        <w:t>·</w:t>
      </w:r>
      <w:r>
        <w:rPr>
          <w:spacing w:val="-90"/>
        </w:rPr>
        <w:t xml:space="preserve"> </w:t>
      </w:r>
      <w:r>
        <w:rPr>
          <w:spacing w:val="2"/>
        </w:rPr>
        <w:t>动机与行为管理：</w:t>
      </w:r>
      <w:r>
        <w:rPr>
          <w:spacing w:val="-63"/>
        </w:rPr>
        <w:t xml:space="preserve"> </w:t>
      </w:r>
      <w:r>
        <w:rPr>
          <w:spacing w:val="2"/>
        </w:rPr>
        <w:t>避免负面指令(如“不要跑”),改为正面(如“请走路”)。使用</w:t>
      </w:r>
      <w:r>
        <w:rPr>
          <w:spacing w:val="1"/>
        </w:rPr>
        <w:t>强化时，优</w:t>
      </w:r>
      <w:r>
        <w:rPr/>
        <w:t xml:space="preserve">  </w:t>
      </w:r>
      <w:r>
        <w:rPr>
          <w:spacing w:val="15"/>
        </w:rPr>
        <w:t>先即时、具体表扬(如“你把垃圾扔进桶里，真棒!”)。融入兴趣(如用恐龙主题教计数)能</w:t>
      </w:r>
      <w:r>
        <w:rPr>
          <w:spacing w:val="6"/>
        </w:rPr>
        <w:t xml:space="preserve"> </w:t>
      </w:r>
      <w:r>
        <w:rPr>
          <w:spacing w:val="8"/>
        </w:rPr>
        <w:t>自然提升参与，研究显示这可减少任务延迟并提高完成兴趣。</w:t>
      </w:r>
    </w:p>
    <w:p>
      <w:pPr>
        <w:pStyle w:val="BodyText"/>
        <w:ind w:left="519" w:right="110" w:hanging="140"/>
        <w:spacing w:before="274" w:line="279" w:lineRule="auto"/>
        <w:rPr/>
      </w:pPr>
      <w:r>
        <w:rPr>
          <w:spacing w:val="2"/>
        </w:rPr>
        <w:t>·感官与环境调整：许多学生对噪音或荧光灯敏感，提供“安静角”或降噪工具能防止退缩。定</w:t>
      </w:r>
      <w:r>
        <w:rPr>
          <w:spacing w:val="7"/>
        </w:rPr>
        <w:t xml:space="preserve"> </w:t>
      </w:r>
      <w:r>
        <w:rPr>
          <w:spacing w:val="16"/>
        </w:rPr>
        <w:t>性研究指出，教室设计套件(如标记活动区)有助于组织并提高信任。</w:t>
      </w:r>
    </w:p>
    <w:p>
      <w:pPr>
        <w:pStyle w:val="BodyText"/>
        <w:ind w:left="519" w:right="3" w:hanging="140"/>
        <w:spacing w:before="274" w:line="275" w:lineRule="auto"/>
        <w:rPr/>
      </w:pPr>
      <w:r>
        <w:rPr>
          <w:spacing w:val="7"/>
        </w:rPr>
        <w:t>·</w:t>
      </w:r>
      <w:r>
        <w:rPr>
          <w:spacing w:val="-97"/>
        </w:rPr>
        <w:t xml:space="preserve"> </w:t>
      </w:r>
      <w:r>
        <w:rPr>
          <w:spacing w:val="7"/>
        </w:rPr>
        <w:t>社交包容：用社会故事解释规则(如“老师讲话时要安静，因为这样大家都能听</w:t>
      </w:r>
      <w:r>
        <w:rPr>
          <w:spacing w:val="6"/>
        </w:rPr>
        <w:t>到”),或安排</w:t>
      </w:r>
      <w:r>
        <w:rPr/>
        <w:t xml:space="preserve"> </w:t>
      </w:r>
      <w:r>
        <w:rPr>
          <w:spacing w:val="9"/>
        </w:rPr>
        <w:t>积极同伴角色模型。小组活动需结构化支持，如视觉提示卡指导分享。</w:t>
      </w:r>
    </w:p>
    <w:p>
      <w:pPr>
        <w:pStyle w:val="BodyText"/>
        <w:ind w:left="519" w:right="112" w:hanging="140"/>
        <w:spacing w:before="275" w:line="279" w:lineRule="auto"/>
        <w:rPr/>
      </w:pPr>
      <w:r>
        <w:rPr>
          <w:spacing w:val="7"/>
        </w:rPr>
        <w:t>·</w:t>
      </w:r>
      <w:r>
        <w:rPr>
          <w:spacing w:val="-83"/>
        </w:rPr>
        <w:t xml:space="preserve"> </w:t>
      </w:r>
      <w:r>
        <w:rPr>
          <w:spacing w:val="7"/>
        </w:rPr>
        <w:t>潜在挑战与平衡：并非所有策略对每位学生有效；过度结构化可能限制灵活性，而包容课堂</w:t>
      </w:r>
      <w:r>
        <w:rPr/>
        <w:t xml:space="preserve"> </w:t>
      </w:r>
      <w:r>
        <w:rPr>
          <w:spacing w:val="9"/>
        </w:rPr>
        <w:t>需平衡全体需求。研究缺口包括更多关注感官困难的教室适应和学生</w:t>
      </w:r>
      <w:r>
        <w:rPr>
          <w:spacing w:val="8"/>
        </w:rPr>
        <w:t>视角。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right="50"/>
        <w:spacing w:before="75" w:line="334" w:lineRule="auto"/>
        <w:jc w:val="both"/>
        <w:rPr/>
      </w:pPr>
      <w:r>
        <w:rPr>
          <w:spacing w:val="10"/>
        </w:rPr>
        <w:t>总体而言，这些策略不仅提升自闭症学生的参与，还惠及全班，促进包容文化。教师可从小规模</w:t>
      </w:r>
      <w:r>
        <w:rPr>
          <w:spacing w:val="2"/>
        </w:rPr>
        <w:t xml:space="preserve">  </w:t>
      </w:r>
      <w:r>
        <w:rPr>
          <w:spacing w:val="10"/>
        </w:rPr>
        <w:t>试点开始，监测效果，并与家长/专家协作调整。长期应用能培</w:t>
      </w:r>
      <w:r>
        <w:rPr>
          <w:spacing w:val="9"/>
        </w:rPr>
        <w:t>养独立、减少焦虑，并支持学术与</w:t>
      </w:r>
      <w:r>
        <w:rPr/>
        <w:t xml:space="preserve"> </w:t>
      </w:r>
      <w:r>
        <w:rPr>
          <w:spacing w:val="8"/>
        </w:rPr>
        <w:t>社交发展。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before="95" w:line="198" w:lineRule="auto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sz w:val="33"/>
          <w:szCs w:val="33"/>
          <w:b/>
          <w:bCs/>
          <w:spacing w:val="-14"/>
        </w:rPr>
        <w:t>Key Citations</w:t>
      </w:r>
    </w:p>
    <w:p>
      <w:pPr>
        <w:spacing w:line="198" w:lineRule="auto"/>
        <w:sectPr>
          <w:pgSz w:w="12240" w:h="15840"/>
          <w:pgMar w:top="1230" w:right="1027" w:bottom="0" w:left="970" w:header="0" w:footer="0" w:gutter="0"/>
        </w:sectPr>
        <w:rPr>
          <w:rFonts w:ascii="Arial" w:hAnsi="Arial" w:eastAsia="Arial" w:cs="Arial"/>
          <w:sz w:val="33"/>
          <w:szCs w:val="33"/>
        </w:rPr>
      </w:pPr>
    </w:p>
    <w:p>
      <w:pPr>
        <w:spacing w:before="68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4"/>
        </w:rPr>
        <w:t>·Autism</w:t>
      </w:r>
      <w:r>
        <w:rPr>
          <w:rFonts w:ascii="Arial" w:hAnsi="Arial" w:eastAsia="Arial" w:cs="Arial"/>
          <w:sz w:val="25"/>
          <w:szCs w:val="25"/>
          <w:spacing w:val="49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Speaks:Autism</w:t>
      </w:r>
      <w:r>
        <w:rPr>
          <w:rFonts w:ascii="Arial" w:hAnsi="Arial" w:eastAsia="Arial" w:cs="Arial"/>
          <w:sz w:val="25"/>
          <w:szCs w:val="25"/>
          <w:spacing w:val="53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in</w:t>
      </w:r>
      <w:r>
        <w:rPr>
          <w:rFonts w:ascii="Arial" w:hAnsi="Arial" w:eastAsia="Arial" w:cs="Arial"/>
          <w:sz w:val="25"/>
          <w:szCs w:val="25"/>
          <w:spacing w:val="41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the</w:t>
      </w:r>
      <w:r>
        <w:rPr>
          <w:rFonts w:ascii="Arial" w:hAnsi="Arial" w:eastAsia="Arial" w:cs="Arial"/>
          <w:sz w:val="25"/>
          <w:szCs w:val="25"/>
          <w:spacing w:val="49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Classroom</w:t>
      </w:r>
      <w:r>
        <w:rPr>
          <w:rFonts w:ascii="Arial" w:hAnsi="Arial" w:eastAsia="Arial" w:cs="Arial"/>
          <w:sz w:val="25"/>
          <w:szCs w:val="25"/>
          <w:spacing w:val="48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Strategies</w:t>
      </w:r>
      <w:r>
        <w:rPr>
          <w:rFonts w:ascii="Arial" w:hAnsi="Arial" w:eastAsia="Arial" w:cs="Arial"/>
          <w:sz w:val="25"/>
          <w:szCs w:val="25"/>
          <w:spacing w:val="45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-</w:t>
      </w:r>
    </w:p>
    <w:p>
      <w:pPr>
        <w:ind w:left="140"/>
        <w:spacing w:before="79" w:line="340" w:lineRule="exact"/>
        <w:rPr>
          <w:rFonts w:ascii="Arial" w:hAnsi="Arial" w:eastAsia="Arial" w:cs="Arial"/>
          <w:sz w:val="25"/>
          <w:szCs w:val="25"/>
        </w:rPr>
      </w:pPr>
      <w:hyperlink w:history="true" r:id="rId2">
        <w:r>
          <w:rPr>
            <w:rFonts w:ascii="Arial" w:hAnsi="Arial" w:eastAsia="Arial" w:cs="Arial"/>
            <w:sz w:val="25"/>
            <w:szCs w:val="25"/>
            <w:position w:val="4"/>
          </w:rPr>
          <w:t>https://www.autismspeaks.org/tool-kit-excerpt/auti</w:t>
        </w:r>
        <w:r>
          <w:rPr>
            <w:rFonts w:ascii="Arial" w:hAnsi="Arial" w:eastAsia="Arial" w:cs="Arial"/>
            <w:sz w:val="25"/>
            <w:szCs w:val="25"/>
            <w:spacing w:val="-1"/>
            <w:position w:val="4"/>
          </w:rPr>
          <w:t>sm-classroom-strategies</w:t>
        </w:r>
      </w:hyperlink>
    </w:p>
    <w:p>
      <w:pPr>
        <w:ind w:left="140" w:right="829" w:hanging="140"/>
        <w:spacing w:before="198" w:line="31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</w:rPr>
        <w:t>·Vanderbilt</w:t>
      </w:r>
      <w:r>
        <w:rPr>
          <w:rFonts w:ascii="Arial" w:hAnsi="Arial" w:eastAsia="Arial" w:cs="Arial"/>
          <w:sz w:val="25"/>
          <w:szCs w:val="25"/>
          <w:spacing w:val="65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Kennedy</w:t>
      </w:r>
      <w:r>
        <w:rPr>
          <w:rFonts w:ascii="Arial" w:hAnsi="Arial" w:eastAsia="Arial" w:cs="Arial"/>
          <w:sz w:val="25"/>
          <w:szCs w:val="25"/>
          <w:spacing w:val="6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Center:Evidence</w:t>
      </w:r>
      <w:r>
        <w:rPr>
          <w:rFonts w:ascii="Arial" w:hAnsi="Arial" w:eastAsia="Arial" w:cs="Arial"/>
          <w:sz w:val="25"/>
          <w:szCs w:val="25"/>
          <w:spacing w:val="-2"/>
        </w:rPr>
        <w:t>-Based</w:t>
      </w:r>
      <w:r>
        <w:rPr>
          <w:rFonts w:ascii="Arial" w:hAnsi="Arial" w:eastAsia="Arial" w:cs="Arial"/>
          <w:sz w:val="25"/>
          <w:szCs w:val="25"/>
          <w:spacing w:val="6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Practices</w:t>
      </w:r>
      <w:r>
        <w:rPr>
          <w:rFonts w:ascii="Arial" w:hAnsi="Arial" w:eastAsia="Arial" w:cs="Arial"/>
          <w:sz w:val="25"/>
          <w:szCs w:val="25"/>
          <w:spacing w:val="5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for</w:t>
      </w:r>
      <w:r>
        <w:rPr>
          <w:rFonts w:ascii="Arial" w:hAnsi="Arial" w:eastAsia="Arial" w:cs="Arial"/>
          <w:sz w:val="25"/>
          <w:szCs w:val="25"/>
          <w:spacing w:val="4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Autistic</w:t>
      </w:r>
      <w:r>
        <w:rPr>
          <w:rFonts w:ascii="Arial" w:hAnsi="Arial" w:eastAsia="Arial" w:cs="Arial"/>
          <w:sz w:val="25"/>
          <w:szCs w:val="25"/>
          <w:spacing w:val="59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Students</w:t>
      </w:r>
      <w:r>
        <w:rPr>
          <w:rFonts w:ascii="Arial" w:hAnsi="Arial" w:eastAsia="Arial" w:cs="Arial"/>
          <w:sz w:val="25"/>
          <w:szCs w:val="25"/>
          <w:spacing w:val="55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-</w:t>
      </w:r>
      <w:r>
        <w:rPr>
          <w:rFonts w:ascii="Arial" w:hAnsi="Arial" w:eastAsia="Arial" w:cs="Arial"/>
          <w:sz w:val="25"/>
          <w:szCs w:val="25"/>
        </w:rPr>
        <w:t xml:space="preserve"> </w:t>
      </w:r>
      <w:hyperlink w:history="true" r:id="rId3">
        <w:r>
          <w:rPr>
            <w:rFonts w:ascii="Arial" w:hAnsi="Arial" w:eastAsia="Arial" w:cs="Arial"/>
            <w:sz w:val="25"/>
            <w:szCs w:val="25"/>
          </w:rPr>
          <w:t>https://vkc.vumc.org/assets/files/tipsheets/ebptreatasdtip</w:t>
        </w:r>
        <w:r>
          <w:rPr>
            <w:rFonts w:ascii="Arial" w:hAnsi="Arial" w:eastAsia="Arial" w:cs="Arial"/>
            <w:sz w:val="25"/>
            <w:szCs w:val="25"/>
            <w:spacing w:val="-1"/>
          </w:rPr>
          <w:t>s-educators.pdf</w:t>
        </w:r>
      </w:hyperlink>
    </w:p>
    <w:p>
      <w:pPr>
        <w:ind w:left="140" w:right="931" w:hanging="140"/>
        <w:spacing w:before="198" w:line="31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</w:rPr>
        <w:t>·Reading</w:t>
      </w:r>
      <w:r>
        <w:rPr>
          <w:rFonts w:ascii="Arial" w:hAnsi="Arial" w:eastAsia="Arial" w:cs="Arial"/>
          <w:sz w:val="25"/>
          <w:szCs w:val="25"/>
          <w:spacing w:val="49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Rockets:Structured</w:t>
      </w:r>
      <w:r>
        <w:rPr>
          <w:rFonts w:ascii="Arial" w:hAnsi="Arial" w:eastAsia="Arial" w:cs="Arial"/>
          <w:sz w:val="25"/>
          <w:szCs w:val="25"/>
          <w:spacing w:val="3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Teaching</w:t>
      </w:r>
      <w:r>
        <w:rPr>
          <w:rFonts w:ascii="Arial" w:hAnsi="Arial" w:eastAsia="Arial" w:cs="Arial"/>
          <w:sz w:val="25"/>
          <w:szCs w:val="25"/>
          <w:spacing w:val="4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Str</w:t>
      </w:r>
      <w:r>
        <w:rPr>
          <w:rFonts w:ascii="Arial" w:hAnsi="Arial" w:eastAsia="Arial" w:cs="Arial"/>
          <w:sz w:val="25"/>
          <w:szCs w:val="25"/>
          <w:spacing w:val="-2"/>
        </w:rPr>
        <w:t>ategies</w:t>
      </w:r>
      <w:r>
        <w:rPr>
          <w:rFonts w:ascii="Arial" w:hAnsi="Arial" w:eastAsia="Arial" w:cs="Arial"/>
          <w:sz w:val="25"/>
          <w:szCs w:val="25"/>
          <w:spacing w:val="3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for</w:t>
      </w:r>
      <w:r>
        <w:rPr>
          <w:rFonts w:ascii="Arial" w:hAnsi="Arial" w:eastAsia="Arial" w:cs="Arial"/>
          <w:sz w:val="25"/>
          <w:szCs w:val="25"/>
          <w:spacing w:val="3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Students</w:t>
      </w:r>
      <w:r>
        <w:rPr>
          <w:rFonts w:ascii="Arial" w:hAnsi="Arial" w:eastAsia="Arial" w:cs="Arial"/>
          <w:sz w:val="25"/>
          <w:szCs w:val="25"/>
          <w:spacing w:val="3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on</w:t>
      </w:r>
      <w:r>
        <w:rPr>
          <w:rFonts w:ascii="Arial" w:hAnsi="Arial" w:eastAsia="Arial" w:cs="Arial"/>
          <w:sz w:val="25"/>
          <w:szCs w:val="25"/>
          <w:spacing w:val="33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the</w:t>
      </w:r>
      <w:r>
        <w:rPr>
          <w:rFonts w:ascii="Arial" w:hAnsi="Arial" w:eastAsia="Arial" w:cs="Arial"/>
          <w:sz w:val="25"/>
          <w:szCs w:val="25"/>
          <w:spacing w:val="29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Autism</w:t>
      </w:r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Spectrum        -</w:t>
      </w:r>
      <w:hyperlink w:history="true" r:id="rId4">
        <w:r>
          <w:rPr>
            <w:rFonts w:ascii="Arial" w:hAnsi="Arial" w:eastAsia="Arial" w:cs="Arial"/>
            <w:sz w:val="25"/>
            <w:szCs w:val="25"/>
          </w:rPr>
          <w:t>https://www.readingrockets.org/topics/autism-spectrum</w:t>
        </w:r>
      </w:hyperlink>
      <w:r>
        <w:rPr>
          <w:rFonts w:ascii="Arial" w:hAnsi="Arial" w:eastAsia="Arial" w:cs="Arial"/>
          <w:sz w:val="25"/>
          <w:szCs w:val="25"/>
        </w:rPr>
        <w:t>-</w:t>
      </w:r>
    </w:p>
    <w:p>
      <w:pPr>
        <w:ind w:left="140"/>
        <w:spacing w:before="7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position w:val="4"/>
        </w:rPr>
        <w:t>disorder/articles/structured-teaching-strategies-students-a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utism-spectrum</w:t>
      </w:r>
    </w:p>
    <w:p>
      <w:pPr>
        <w:ind w:left="140" w:right="395" w:hanging="140"/>
        <w:spacing w:before="198" w:line="31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</w:rPr>
        <w:t>·PMC</w:t>
      </w:r>
      <w:r>
        <w:rPr>
          <w:rFonts w:ascii="Arial" w:hAnsi="Arial" w:eastAsia="Arial" w:cs="Arial"/>
          <w:sz w:val="25"/>
          <w:szCs w:val="25"/>
          <w:spacing w:val="5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Systematic</w:t>
      </w:r>
      <w:r>
        <w:rPr>
          <w:rFonts w:ascii="Arial" w:hAnsi="Arial" w:eastAsia="Arial" w:cs="Arial"/>
          <w:sz w:val="25"/>
          <w:szCs w:val="25"/>
          <w:spacing w:val="5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Review:Strategies</w:t>
      </w:r>
      <w:r>
        <w:rPr>
          <w:rFonts w:ascii="Arial" w:hAnsi="Arial" w:eastAsia="Arial" w:cs="Arial"/>
          <w:sz w:val="25"/>
          <w:szCs w:val="25"/>
          <w:spacing w:val="5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in</w:t>
      </w:r>
      <w:r>
        <w:rPr>
          <w:rFonts w:ascii="Arial" w:hAnsi="Arial" w:eastAsia="Arial" w:cs="Arial"/>
          <w:sz w:val="25"/>
          <w:szCs w:val="25"/>
          <w:spacing w:val="4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Supporting</w:t>
      </w:r>
      <w:r>
        <w:rPr>
          <w:rFonts w:ascii="Arial" w:hAnsi="Arial" w:eastAsia="Arial" w:cs="Arial"/>
          <w:sz w:val="25"/>
          <w:szCs w:val="25"/>
          <w:spacing w:val="5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Inclusive</w:t>
      </w:r>
      <w:r>
        <w:rPr>
          <w:rFonts w:ascii="Arial" w:hAnsi="Arial" w:eastAsia="Arial" w:cs="Arial"/>
          <w:sz w:val="25"/>
          <w:szCs w:val="25"/>
          <w:spacing w:val="5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Education</w:t>
      </w:r>
      <w:r>
        <w:rPr>
          <w:rFonts w:ascii="Arial" w:hAnsi="Arial" w:eastAsia="Arial" w:cs="Arial"/>
          <w:sz w:val="25"/>
          <w:szCs w:val="25"/>
          <w:spacing w:val="36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for</w:t>
      </w:r>
      <w:r>
        <w:rPr>
          <w:rFonts w:ascii="Arial" w:hAnsi="Arial" w:eastAsia="Arial" w:cs="Arial"/>
          <w:sz w:val="25"/>
          <w:szCs w:val="25"/>
          <w:spacing w:val="3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Autistic</w:t>
      </w:r>
      <w:r>
        <w:rPr>
          <w:rFonts w:ascii="Arial" w:hAnsi="Arial" w:eastAsia="Arial" w:cs="Arial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Students-</w:t>
      </w:r>
      <w:hyperlink w:history="true" r:id="rId5">
        <w:r>
          <w:rPr>
            <w:rFonts w:ascii="Arial" w:hAnsi="Arial" w:eastAsia="Arial" w:cs="Arial"/>
            <w:sz w:val="25"/>
            <w:szCs w:val="25"/>
          </w:rPr>
          <w:t>https://pmc.ncbi.nlm.nih.gov/art</w:t>
        </w:r>
        <w:r>
          <w:rPr>
            <w:rFonts w:ascii="Arial" w:hAnsi="Arial" w:eastAsia="Arial" w:cs="Arial"/>
            <w:sz w:val="25"/>
            <w:szCs w:val="25"/>
            <w:spacing w:val="-1"/>
          </w:rPr>
          <w:t>icles/PMC9620685/</w:t>
        </w:r>
      </w:hyperlink>
    </w:p>
    <w:p>
      <w:pPr>
        <w:ind w:left="140" w:hanging="140"/>
        <w:spacing w:before="199" w:line="322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</w:rPr>
        <w:t>·Incredible</w:t>
      </w:r>
      <w:r>
        <w:rPr>
          <w:rFonts w:ascii="Arial" w:hAnsi="Arial" w:eastAsia="Arial" w:cs="Arial"/>
          <w:sz w:val="25"/>
          <w:szCs w:val="25"/>
          <w:spacing w:val="46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Years:Effective</w:t>
      </w:r>
      <w:r>
        <w:rPr>
          <w:rFonts w:ascii="Arial" w:hAnsi="Arial" w:eastAsia="Arial" w:cs="Arial"/>
          <w:sz w:val="25"/>
          <w:szCs w:val="25"/>
          <w:spacing w:val="5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Classroom</w:t>
      </w:r>
      <w:r>
        <w:rPr>
          <w:rFonts w:ascii="Arial" w:hAnsi="Arial" w:eastAsia="Arial" w:cs="Arial"/>
          <w:sz w:val="25"/>
          <w:szCs w:val="25"/>
          <w:spacing w:val="56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Strategies</w:t>
      </w:r>
      <w:r>
        <w:rPr>
          <w:rFonts w:ascii="Arial" w:hAnsi="Arial" w:eastAsia="Arial" w:cs="Arial"/>
          <w:sz w:val="25"/>
          <w:szCs w:val="25"/>
          <w:spacing w:val="47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for</w:t>
      </w:r>
      <w:r>
        <w:rPr>
          <w:rFonts w:ascii="Arial" w:hAnsi="Arial" w:eastAsia="Arial" w:cs="Arial"/>
          <w:sz w:val="25"/>
          <w:szCs w:val="25"/>
          <w:spacing w:val="47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Teaching</w:t>
      </w:r>
      <w:r>
        <w:rPr>
          <w:rFonts w:ascii="Arial" w:hAnsi="Arial" w:eastAsia="Arial" w:cs="Arial"/>
          <w:sz w:val="25"/>
          <w:szCs w:val="25"/>
          <w:spacing w:val="56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Students</w:t>
      </w:r>
      <w:r>
        <w:rPr>
          <w:rFonts w:ascii="Arial" w:hAnsi="Arial" w:eastAsia="Arial" w:cs="Arial"/>
          <w:sz w:val="25"/>
          <w:szCs w:val="25"/>
          <w:spacing w:val="45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with</w:t>
      </w:r>
      <w:r>
        <w:rPr>
          <w:rFonts w:ascii="Arial" w:hAnsi="Arial" w:eastAsia="Arial" w:cs="Arial"/>
          <w:sz w:val="25"/>
          <w:szCs w:val="25"/>
          <w:spacing w:val="45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Autis</w:t>
      </w:r>
      <w:r>
        <w:rPr>
          <w:rFonts w:ascii="Arial" w:hAnsi="Arial" w:eastAsia="Arial" w:cs="Arial"/>
          <w:sz w:val="25"/>
          <w:szCs w:val="25"/>
          <w:spacing w:val="-2"/>
        </w:rPr>
        <w:t>m-</w:t>
      </w:r>
      <w:r>
        <w:rPr>
          <w:rFonts w:ascii="Arial" w:hAnsi="Arial" w:eastAsia="Arial" w:cs="Arial"/>
          <w:sz w:val="25"/>
          <w:szCs w:val="25"/>
        </w:rPr>
        <w:t xml:space="preserve"> </w:t>
      </w:r>
      <w:hyperlink w:history="true" r:id="rId6">
        <w:r>
          <w:rPr>
            <w:rFonts w:ascii="Arial" w:hAnsi="Arial" w:eastAsia="Arial" w:cs="Arial"/>
            <w:sz w:val="25"/>
            <w:szCs w:val="25"/>
          </w:rPr>
          <w:t>https://www.incredibleyears.com/blog/autism-in-t</w:t>
        </w:r>
        <w:r>
          <w:rPr>
            <w:rFonts w:ascii="Arial" w:hAnsi="Arial" w:eastAsia="Arial" w:cs="Arial"/>
            <w:sz w:val="25"/>
            <w:szCs w:val="25"/>
            <w:spacing w:val="-1"/>
          </w:rPr>
          <w:t>he-inclusive-classroom</w:t>
        </w:r>
      </w:hyperlink>
    </w:p>
    <w:p>
      <w:pPr>
        <w:spacing w:before="199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1"/>
          <w:position w:val="4"/>
        </w:rPr>
        <w:t>·National</w:t>
      </w:r>
      <w:r>
        <w:rPr>
          <w:rFonts w:ascii="Arial" w:hAnsi="Arial" w:eastAsia="Arial" w:cs="Arial"/>
          <w:sz w:val="25"/>
          <w:szCs w:val="25"/>
          <w:spacing w:val="53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Autism  Resources:Inclusion  Strategies</w:t>
      </w:r>
      <w:r>
        <w:rPr>
          <w:rFonts w:ascii="Arial" w:hAnsi="Arial" w:eastAsia="Arial" w:cs="Arial"/>
          <w:sz w:val="25"/>
          <w:szCs w:val="25"/>
          <w:spacing w:val="55"/>
          <w:w w:val="10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for</w:t>
      </w:r>
      <w:r>
        <w:rPr>
          <w:rFonts w:ascii="Arial" w:hAnsi="Arial" w:eastAsia="Arial" w:cs="Arial"/>
          <w:sz w:val="25"/>
          <w:szCs w:val="25"/>
          <w:spacing w:val="61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Students</w:t>
      </w:r>
      <w:r>
        <w:rPr>
          <w:rFonts w:ascii="Arial" w:hAnsi="Arial" w:eastAsia="Arial" w:cs="Arial"/>
          <w:sz w:val="25"/>
          <w:szCs w:val="25"/>
          <w:spacing w:val="54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  <w:position w:val="4"/>
        </w:rPr>
        <w:t>wit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h</w:t>
      </w:r>
      <w:r>
        <w:rPr>
          <w:rFonts w:ascii="Arial" w:hAnsi="Arial" w:eastAsia="Arial" w:cs="Arial"/>
          <w:sz w:val="25"/>
          <w:szCs w:val="25"/>
          <w:spacing w:val="53"/>
          <w:position w:val="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4"/>
        </w:rPr>
        <w:t>Autism-</w:t>
      </w:r>
    </w:p>
    <w:p>
      <w:pPr>
        <w:ind w:left="140"/>
        <w:spacing w:before="89" w:line="341" w:lineRule="exact"/>
        <w:rPr>
          <w:rFonts w:ascii="Arial" w:hAnsi="Arial" w:eastAsia="Arial" w:cs="Arial"/>
          <w:sz w:val="25"/>
          <w:szCs w:val="25"/>
        </w:rPr>
      </w:pPr>
      <w:hyperlink w:history="true" r:id="rId7">
        <w:r>
          <w:rPr>
            <w:rFonts w:ascii="Arial" w:hAnsi="Arial" w:eastAsia="Arial" w:cs="Arial"/>
            <w:sz w:val="25"/>
            <w:szCs w:val="25"/>
            <w:position w:val="4"/>
          </w:rPr>
          <w:t>https://nationalautismresources.com/inclusion-strategies-fo</w:t>
        </w:r>
        <w:r>
          <w:rPr>
            <w:rFonts w:ascii="Arial" w:hAnsi="Arial" w:eastAsia="Arial" w:cs="Arial"/>
            <w:sz w:val="25"/>
            <w:szCs w:val="25"/>
            <w:spacing w:val="-1"/>
            <w:position w:val="4"/>
          </w:rPr>
          <w:t>r-students-with-autism/</w:t>
        </w:r>
      </w:hyperlink>
    </w:p>
    <w:sectPr>
      <w:pgSz w:w="12240" w:h="15840"/>
      <w:pgMar w:top="1129" w:right="1242" w:bottom="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yperlink" Target="https://nationalautismresources.com/inclusion-strategies-for-students-with-autism/" TargetMode="External"/><Relationship Id="rId6" Type="http://schemas.openxmlformats.org/officeDocument/2006/relationships/hyperlink" Target="https://www.incredibleyears.com/blog/autism-in-the-inclusive-classroom" TargetMode="External"/><Relationship Id="rId5" Type="http://schemas.openxmlformats.org/officeDocument/2006/relationships/hyperlink" Target="https://pmc.ncbi.nlm.nih.gov/articles/PMC9620685/" TargetMode="External"/><Relationship Id="rId4" Type="http://schemas.openxmlformats.org/officeDocument/2006/relationships/hyperlink" Target="https://www.readingrockets.org/topics/autism-spectrum" TargetMode="External"/><Relationship Id="rId3" Type="http://schemas.openxmlformats.org/officeDocument/2006/relationships/hyperlink" Target="https://vkc.vumc.org/assets/files/tipsheets/ebptreatasdtips-educators.pdf" TargetMode="External"/><Relationship Id="rId2" Type="http://schemas.openxmlformats.org/officeDocument/2006/relationships/hyperlink" Target="https://www.autismspeaks.org/tool-kit-excerpt/autism-classroom-strategies" TargetMode="External"/><Relationship Id="rId10" Type="http://schemas.openxmlformats.org/officeDocument/2006/relationships/fontTable" Target="fontTable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2026-03-16T00:00:07</vt:filetime>
  </property>
  <property fmtid="{D5CDD505-2E9C-101B-9397-08002B2CF9AE}" pid="4" name="UsrData">
    <vt:lpwstr>69b6d7857fe946001fc13bb9wl</vt:lpwstr>
  </property>
</Properties>
</file>