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right="193"/>
        <w:spacing w:before="47" w:line="334" w:lineRule="auto"/>
        <w:rPr/>
      </w:pPr>
      <w:r>
        <w:rPr>
          <w:spacing w:val="12"/>
        </w:rPr>
        <w:t>以下是针对用户查询的专业调研报告。报告基</w:t>
      </w:r>
      <w:r>
        <w:rPr>
          <w:spacing w:val="11"/>
        </w:rPr>
        <w:t>于2025年1月当前的</w:t>
      </w:r>
      <w:r>
        <w:rPr/>
        <w:t>Al</w:t>
      </w:r>
      <w:r>
        <w:rPr>
          <w:spacing w:val="11"/>
        </w:rPr>
        <w:t>与药物研发交叉领域最新进</w:t>
      </w:r>
      <w:r>
        <w:rPr/>
        <w:t xml:space="preserve"> </w:t>
      </w:r>
      <w:r>
        <w:rPr>
          <w:spacing w:val="7"/>
        </w:rPr>
        <w:t>展撰写，力求全面、深刻且逻辑严谨。</w:t>
      </w:r>
    </w:p>
    <w:p>
      <w:pPr>
        <w:pStyle w:val="BodyText"/>
        <w:ind w:right="317"/>
        <w:spacing w:before="184" w:line="217" w:lineRule="auto"/>
        <w:rPr>
          <w:sz w:val="45"/>
          <w:szCs w:val="45"/>
        </w:rPr>
      </w:pPr>
      <w:r>
        <w:rPr>
          <w:sz w:val="45"/>
          <w:szCs w:val="45"/>
        </w:rPr>
        <w:t>大型人工智能模型在模拟药物对机体影响及系统性</w:t>
      </w:r>
      <w:r>
        <w:rPr>
          <w:sz w:val="45"/>
          <w:szCs w:val="45"/>
          <w:spacing w:val="15"/>
        </w:rPr>
        <w:t xml:space="preserve"> </w:t>
      </w:r>
      <w:r>
        <w:rPr>
          <w:sz w:val="45"/>
          <w:szCs w:val="45"/>
          <w:spacing w:val="-1"/>
        </w:rPr>
        <w:t>评估中的现状与未来发展调研报告</w:t>
      </w:r>
    </w:p>
    <w:p>
      <w:pPr>
        <w:spacing w:line="419" w:lineRule="auto"/>
        <w:rPr>
          <w:rFonts w:ascii="Arial"/>
          <w:sz w:val="21"/>
        </w:rPr>
      </w:pPr>
      <w:r/>
    </w:p>
    <w:p>
      <w:pPr>
        <w:pStyle w:val="BodyText"/>
        <w:ind w:left="5"/>
        <w:spacing w:before="114" w:line="222" w:lineRule="auto"/>
        <w:outlineLvl w:val="1"/>
        <w:rPr>
          <w:sz w:val="35"/>
          <w:szCs w:val="35"/>
        </w:rPr>
      </w:pPr>
      <w:r>
        <w:rPr>
          <w:rFonts w:ascii="SimSun" w:hAnsi="SimSun" w:eastAsia="SimSun" w:cs="SimSun"/>
          <w:sz w:val="35"/>
          <w:szCs w:val="35"/>
          <w:b/>
          <w:bCs/>
          <w:spacing w:val="2"/>
        </w:rPr>
        <w:t>1.</w:t>
      </w:r>
      <w:r>
        <w:rPr>
          <w:sz w:val="35"/>
          <w:szCs w:val="35"/>
          <w:b/>
          <w:bCs/>
          <w:spacing w:val="2"/>
        </w:rPr>
        <w:t>引言与问题提出</w:t>
      </w:r>
    </w:p>
    <w:p>
      <w:pPr>
        <w:pStyle w:val="BodyText"/>
        <w:ind w:right="34"/>
        <w:spacing w:before="215" w:line="330" w:lineRule="auto"/>
        <w:jc w:val="both"/>
        <w:rPr/>
      </w:pPr>
      <w:r>
        <w:rPr>
          <w:spacing w:val="16"/>
        </w:rPr>
        <w:t>药物研发的核心在于准确评估候选化合物对人体(从分子、细胞、组织到整体机体水</w:t>
      </w:r>
      <w:r>
        <w:rPr>
          <w:spacing w:val="15"/>
        </w:rPr>
        <w:t>平)的系统</w:t>
      </w:r>
      <w:r>
        <w:rPr/>
        <w:t xml:space="preserve">  </w:t>
      </w:r>
      <w:r>
        <w:rPr>
          <w:spacing w:val="10"/>
        </w:rPr>
        <w:t>性影响，包括疗效、安全性、个体差异响应等。传统方法依赖体外/体内实验、</w:t>
      </w:r>
      <w:r>
        <w:rPr>
          <w:spacing w:val="9"/>
        </w:rPr>
        <w:t>多组学数据分析及</w:t>
      </w:r>
      <w:r>
        <w:rPr/>
        <w:t xml:space="preserve"> </w:t>
      </w:r>
      <w:r>
        <w:rPr>
          <w:spacing w:val="22"/>
        </w:rPr>
        <w:t>动物模型，但面临高成本(平均新药研发超20亿美元)、长周期(10-15年)、高失败率(&gt;90%)</w:t>
      </w:r>
      <w:r>
        <w:rPr>
          <w:spacing w:val="2"/>
        </w:rPr>
        <w:t xml:space="preserve"> </w:t>
      </w:r>
      <w:r>
        <w:rPr>
          <w:spacing w:val="7"/>
        </w:rPr>
        <w:t>及难以捕捉个体异质性的根本局限。</w:t>
      </w:r>
    </w:p>
    <w:p>
      <w:pPr>
        <w:pStyle w:val="BodyText"/>
        <w:spacing w:before="149" w:line="340" w:lineRule="auto"/>
        <w:jc w:val="both"/>
        <w:rPr/>
      </w:pPr>
      <w:r>
        <w:rPr>
          <w:spacing w:val="7"/>
        </w:rPr>
        <w:t>近年来，大型人工智能模型</w:t>
      </w:r>
      <w:r>
        <w:rPr>
          <w:spacing w:val="7"/>
        </w:rPr>
        <w:t xml:space="preserve"> </w:t>
      </w:r>
      <w:r>
        <w:rPr>
          <w:rFonts w:ascii="SimSun" w:hAnsi="SimSun" w:eastAsia="SimSun" w:cs="SimSun"/>
          <w:spacing w:val="7"/>
        </w:rPr>
        <w:t>(</w:t>
      </w:r>
      <w:r>
        <w:rPr>
          <w:rFonts w:ascii="SimSun" w:hAnsi="SimSun" w:eastAsia="SimSun" w:cs="SimSun"/>
        </w:rPr>
        <w:t>Large</w:t>
      </w:r>
      <w:r>
        <w:rPr>
          <w:rFonts w:ascii="SimSun" w:hAnsi="SimSun" w:eastAsia="SimSun" w:cs="SimSun"/>
          <w:spacing w:val="7"/>
        </w:rPr>
        <w:t xml:space="preserve">   </w:t>
      </w:r>
      <w:r>
        <w:rPr>
          <w:rFonts w:ascii="SimSun" w:hAnsi="SimSun" w:eastAsia="SimSun" w:cs="SimSun"/>
        </w:rPr>
        <w:t>Models</w:t>
      </w:r>
      <w:r>
        <w:rPr>
          <w:rFonts w:ascii="SimSun" w:hAnsi="SimSun" w:eastAsia="SimSun" w:cs="SimSun"/>
          <w:spacing w:val="7"/>
        </w:rPr>
        <w:t>,</w:t>
      </w:r>
      <w:r>
        <w:rPr>
          <w:spacing w:val="7"/>
        </w:rPr>
        <w:t>包括</w:t>
      </w:r>
      <w:r>
        <w:rPr>
          <w:rFonts w:ascii="SimSun" w:hAnsi="SimSun" w:eastAsia="SimSun" w:cs="SimSun"/>
        </w:rPr>
        <w:t>Transformer</w:t>
      </w:r>
      <w:r>
        <w:rPr>
          <w:rFonts w:ascii="SimSun" w:hAnsi="SimSun" w:eastAsia="SimSun" w:cs="SimSun"/>
          <w:spacing w:val="7"/>
        </w:rPr>
        <w:t>-</w:t>
      </w:r>
      <w:r>
        <w:rPr>
          <w:rFonts w:ascii="SimSun" w:hAnsi="SimSun" w:eastAsia="SimSun" w:cs="SimSun"/>
        </w:rPr>
        <w:t>based</w:t>
      </w:r>
      <w:r>
        <w:rPr>
          <w:rFonts w:ascii="SimSun" w:hAnsi="SimSun" w:eastAsia="SimSun" w:cs="SimSun"/>
          <w:spacing w:val="7"/>
        </w:rPr>
        <w:t xml:space="preserve">  </w:t>
      </w:r>
      <w:r>
        <w:rPr>
          <w:spacing w:val="7"/>
        </w:rPr>
        <w:t>语言模</w:t>
      </w:r>
      <w:r>
        <w:rPr>
          <w:spacing w:val="6"/>
        </w:rPr>
        <w:t>型、</w:t>
      </w:r>
      <w:r>
        <w:rPr>
          <w:rFonts w:ascii="SimSun" w:hAnsi="SimSun" w:eastAsia="SimSun" w:cs="SimSun"/>
        </w:rPr>
        <w:t>Graph</w:t>
      </w:r>
      <w:r>
        <w:rPr>
          <w:rFonts w:ascii="SimSun" w:hAnsi="SimSun" w:eastAsia="SimSun" w:cs="SimSun"/>
          <w:spacing w:val="6"/>
        </w:rPr>
        <w:t xml:space="preserve">  </w:t>
      </w:r>
      <w:r>
        <w:rPr>
          <w:rFonts w:ascii="SimSun" w:hAnsi="SimSun" w:eastAsia="SimSun" w:cs="SimSun"/>
        </w:rPr>
        <w:t>Neural </w:t>
      </w:r>
      <w:r>
        <w:rPr>
          <w:rFonts w:ascii="SimSun" w:hAnsi="SimSun" w:eastAsia="SimSun" w:cs="SimSun"/>
        </w:rPr>
        <w:t>Networks(GNN)、   </w:t>
      </w:r>
      <w:r>
        <w:rPr/>
        <w:t>多模态基础模型及单细胞/基因组基础模型)展现出通过</w:t>
      </w:r>
      <w:r>
        <w:rPr>
          <w:rFonts w:ascii="SimSun" w:hAnsi="SimSun" w:eastAsia="SimSun" w:cs="SimSun"/>
        </w:rPr>
        <w:t>“in silico</w:t>
      </w:r>
      <w:r>
        <w:rPr/>
        <w:t>模拟</w:t>
      </w:r>
      <w:r>
        <w:rPr>
          <w:spacing w:val="-1"/>
        </w:rPr>
        <w:t>”药物作</w:t>
      </w:r>
      <w:r>
        <w:rPr/>
        <w:t xml:space="preserve"> </w:t>
      </w:r>
      <w:r>
        <w:rPr>
          <w:spacing w:val="11"/>
        </w:rPr>
        <w:t>用的潜力。该方向旨在构建可模拟药物-生物系统交互的虚拟</w:t>
      </w:r>
      <w:r>
        <w:rPr>
          <w:spacing w:val="10"/>
        </w:rPr>
        <w:t>模型，实现更高效、更系统、更个性</w:t>
      </w:r>
      <w:r>
        <w:rPr/>
        <w:t xml:space="preserve"> </w:t>
      </w:r>
      <w:r>
        <w:rPr>
          <w:spacing w:val="8"/>
        </w:rPr>
        <w:t>化的药物评估。本报告聚焦两个核心问题：</w:t>
      </w:r>
    </w:p>
    <w:p>
      <w:pPr>
        <w:pStyle w:val="BodyText"/>
        <w:ind w:left="359"/>
        <w:spacing w:before="114" w:line="221" w:lineRule="auto"/>
        <w:rPr/>
      </w:pPr>
      <w:r>
        <w:rPr>
          <w:rFonts w:ascii="SimSun" w:hAnsi="SimSun" w:eastAsia="SimSun" w:cs="SimSun"/>
          <w:spacing w:val="9"/>
        </w:rPr>
        <w:t>1. </w:t>
      </w:r>
      <w:r>
        <w:rPr>
          <w:spacing w:val="9"/>
        </w:rPr>
        <w:t>现阶段大模型是否已具备可靠模拟药物影响并进行系统性评估的能力?</w:t>
      </w:r>
    </w:p>
    <w:p>
      <w:pPr>
        <w:pStyle w:val="BodyText"/>
        <w:ind w:left="359"/>
        <w:spacing w:before="264" w:line="221" w:lineRule="auto"/>
        <w:rPr/>
      </w:pPr>
      <w:r>
        <w:rPr>
          <w:rFonts w:ascii="SimSun" w:hAnsi="SimSun" w:eastAsia="SimSun" w:cs="SimSun"/>
          <w:spacing w:val="10"/>
        </w:rPr>
        <w:t>2.</w:t>
      </w:r>
      <w:r>
        <w:rPr>
          <w:rFonts w:ascii="SimSun" w:hAnsi="SimSun" w:eastAsia="SimSun" w:cs="SimSun"/>
          <w:spacing w:val="-24"/>
        </w:rPr>
        <w:t xml:space="preserve"> </w:t>
      </w:r>
      <w:r>
        <w:rPr>
          <w:spacing w:val="10"/>
        </w:rPr>
        <w:t>该方向未来发展趋势、潜力及挑战是什么?</w:t>
      </w:r>
    </w:p>
    <w:p>
      <w:pPr>
        <w:spacing w:line="288" w:lineRule="auto"/>
        <w:rPr>
          <w:rFonts w:ascii="Arial"/>
          <w:sz w:val="21"/>
        </w:rPr>
      </w:pPr>
      <w:r/>
    </w:p>
    <w:p>
      <w:pPr>
        <w:spacing w:line="288" w:lineRule="auto"/>
        <w:rPr>
          <w:rFonts w:ascii="Arial"/>
          <w:sz w:val="21"/>
        </w:rPr>
      </w:pPr>
      <w:r/>
    </w:p>
    <w:p>
      <w:pPr>
        <w:pStyle w:val="BodyText"/>
        <w:ind w:left="5"/>
        <w:spacing w:before="114" w:line="221" w:lineRule="auto"/>
        <w:outlineLvl w:val="1"/>
        <w:rPr>
          <w:sz w:val="35"/>
          <w:szCs w:val="35"/>
        </w:rPr>
      </w:pPr>
      <w:r>
        <w:rPr>
          <w:rFonts w:ascii="SimSun" w:hAnsi="SimSun" w:eastAsia="SimSun" w:cs="SimSun"/>
          <w:sz w:val="35"/>
          <w:szCs w:val="35"/>
          <w:b/>
          <w:bCs/>
          <w:spacing w:val="8"/>
        </w:rPr>
        <w:t>2.</w:t>
      </w:r>
      <w:r>
        <w:rPr>
          <w:sz w:val="35"/>
          <w:szCs w:val="35"/>
          <w:b/>
          <w:bCs/>
          <w:spacing w:val="8"/>
        </w:rPr>
        <w:t>传统药物研究方法的核心局限性</w:t>
      </w:r>
    </w:p>
    <w:p>
      <w:pPr>
        <w:pStyle w:val="BodyText"/>
        <w:spacing w:before="232" w:line="221" w:lineRule="auto"/>
        <w:rPr/>
      </w:pPr>
      <w:r>
        <w:rPr>
          <w:spacing w:val="8"/>
        </w:rPr>
        <w:t>传统药物评估主要依赖以下手段：</w:t>
      </w:r>
    </w:p>
    <w:p>
      <w:pPr>
        <w:pStyle w:val="BodyText"/>
        <w:ind w:left="359"/>
        <w:spacing w:before="265" w:line="213" w:lineRule="auto"/>
        <w:rPr/>
      </w:pPr>
      <w:r>
        <w:rPr/>
        <w:t>·生化/细胞水平：高通量筛选</w:t>
      </w:r>
      <w:r>
        <w:rPr/>
        <w:t xml:space="preserve"> </w:t>
      </w:r>
      <w:r>
        <w:rPr>
          <w:rFonts w:ascii="SimSun" w:hAnsi="SimSun" w:eastAsia="SimSun" w:cs="SimSun"/>
        </w:rPr>
        <w:t>(HTS)、</w:t>
      </w:r>
      <w:r>
        <w:rPr>
          <w:rFonts w:ascii="SimSun" w:hAnsi="SimSun" w:eastAsia="SimSun" w:cs="SimSun"/>
          <w:spacing w:val="79"/>
        </w:rPr>
        <w:t xml:space="preserve"> </w:t>
      </w:r>
      <w:r>
        <w:rPr/>
        <w:t>靶</w:t>
      </w:r>
      <w:r>
        <w:rPr>
          <w:spacing w:val="-1"/>
        </w:rPr>
        <w:t>点结合实验；</w:t>
      </w:r>
    </w:p>
    <w:p>
      <w:pPr>
        <w:pStyle w:val="BodyText"/>
        <w:ind w:left="359"/>
        <w:spacing w:before="285" w:line="213" w:lineRule="auto"/>
        <w:rPr/>
      </w:pPr>
      <w:r>
        <w:rPr>
          <w:spacing w:val="3"/>
        </w:rPr>
        <w:t>·</w:t>
      </w:r>
      <w:r>
        <w:rPr>
          <w:spacing w:val="-77"/>
        </w:rPr>
        <w:t xml:space="preserve"> </w:t>
      </w:r>
      <w:r>
        <w:rPr>
          <w:spacing w:val="3"/>
        </w:rPr>
        <w:t>多组学整合：转录组、蛋白质组、代谢组分析；</w:t>
      </w:r>
    </w:p>
    <w:p>
      <w:pPr>
        <w:pStyle w:val="BodyText"/>
        <w:ind w:left="359"/>
        <w:spacing w:before="274" w:line="213" w:lineRule="auto"/>
        <w:rPr/>
      </w:pPr>
      <w:r>
        <w:rPr>
          <w:spacing w:val="-3"/>
        </w:rPr>
        <w:t>·</w:t>
      </w:r>
      <w:r>
        <w:rPr>
          <w:spacing w:val="-80"/>
        </w:rPr>
        <w:t xml:space="preserve"> </w:t>
      </w:r>
      <w:r>
        <w:rPr>
          <w:spacing w:val="-3"/>
        </w:rPr>
        <w:t>动物模型与临床前：</w:t>
      </w:r>
      <w:r>
        <w:rPr>
          <w:spacing w:val="-33"/>
        </w:rPr>
        <w:t xml:space="preserve"> </w:t>
      </w:r>
      <w:r>
        <w:rPr>
          <w:rFonts w:ascii="SimSun" w:hAnsi="SimSun" w:eastAsia="SimSun" w:cs="SimSun"/>
          <w:spacing w:val="-3"/>
        </w:rPr>
        <w:t>PD/PK</w:t>
      </w:r>
      <w:r>
        <w:rPr>
          <w:rFonts w:ascii="SimSun" w:hAnsi="SimSun" w:eastAsia="SimSun" w:cs="SimSun"/>
          <w:spacing w:val="55"/>
        </w:rPr>
        <w:t xml:space="preserve"> </w:t>
      </w:r>
      <w:r>
        <w:rPr>
          <w:spacing w:val="-3"/>
        </w:rPr>
        <w:t>研究、毒性评估；</w:t>
      </w:r>
    </w:p>
    <w:p>
      <w:pPr>
        <w:pStyle w:val="BodyText"/>
        <w:ind w:left="359"/>
        <w:spacing w:before="265" w:line="221" w:lineRule="auto"/>
        <w:rPr/>
      </w:pPr>
      <w:r>
        <w:rPr/>
        <w:t>·</w:t>
      </w:r>
      <w:r>
        <w:rPr>
          <w:spacing w:val="-82"/>
        </w:rPr>
        <w:t xml:space="preserve"> </w:t>
      </w:r>
      <w:r>
        <w:rPr/>
        <w:t>临床试验：分期验证疗效与安全性。</w:t>
      </w:r>
    </w:p>
    <w:p>
      <w:pPr>
        <w:pStyle w:val="BodyText"/>
        <w:spacing w:before="315" w:line="221" w:lineRule="auto"/>
        <w:rPr/>
      </w:pPr>
      <w:r>
        <w:rPr>
          <w:spacing w:val="8"/>
        </w:rPr>
        <w:t>这些方法的宏观系统性与个体异质性处理存在根本瓶颈：</w:t>
      </w:r>
    </w:p>
    <w:p>
      <w:pPr>
        <w:spacing w:line="221" w:lineRule="auto"/>
        <w:sectPr>
          <w:pgSz w:w="12240" w:h="15840"/>
          <w:pgMar w:top="1150" w:right="1026" w:bottom="0" w:left="980" w:header="0" w:footer="0" w:gutter="0"/>
        </w:sectPr>
        <w:rPr/>
      </w:pPr>
    </w:p>
    <w:p>
      <w:pPr>
        <w:pStyle w:val="BodyText"/>
        <w:ind w:left="350"/>
        <w:spacing w:before="46" w:line="213" w:lineRule="auto"/>
        <w:rPr/>
      </w:pPr>
      <w:r>
        <w:rPr>
          <w:spacing w:val="6"/>
        </w:rPr>
        <w:t>·</w:t>
      </w:r>
      <w:r>
        <w:rPr>
          <w:spacing w:val="-91"/>
        </w:rPr>
        <w:t xml:space="preserve"> </w:t>
      </w:r>
      <w:r>
        <w:rPr>
          <w:spacing w:val="6"/>
        </w:rPr>
        <w:t>系统性不足：难以同时整合分子-细胞-</w:t>
      </w:r>
      <w:r>
        <w:rPr>
          <w:spacing w:val="5"/>
        </w:rPr>
        <w:t>组织-器官-整体水平的多尺度交互；</w:t>
      </w:r>
    </w:p>
    <w:p>
      <w:pPr>
        <w:pStyle w:val="BodyText"/>
        <w:ind w:left="350"/>
        <w:spacing w:before="264" w:line="221" w:lineRule="auto"/>
        <w:rPr/>
      </w:pPr>
      <w:r>
        <w:rPr>
          <w:spacing w:val="7"/>
        </w:rPr>
        <w:t>·个体差异捕捉困难：基因组变异、表观遗传、微环境、共病、年龄/性别/种族</w:t>
      </w:r>
      <w:r>
        <w:rPr>
          <w:spacing w:val="6"/>
        </w:rPr>
        <w:t>等因素导致的</w:t>
      </w:r>
    </w:p>
    <w:p>
      <w:pPr>
        <w:pStyle w:val="BodyText"/>
        <w:ind w:left="490" w:right="353"/>
        <w:spacing w:before="135" w:line="334" w:lineRule="auto"/>
        <w:rPr/>
      </w:pPr>
      <w:r>
        <w:rPr>
          <w:spacing w:val="9"/>
        </w:rPr>
        <w:t>药物反应变异性极高，传统随机对照试验</w:t>
      </w:r>
      <w:r>
        <w:rPr>
          <w:spacing w:val="9"/>
        </w:rPr>
        <w:t xml:space="preserve"> </w:t>
      </w:r>
      <w:r>
        <w:rPr>
          <w:rFonts w:ascii="SimSun" w:hAnsi="SimSun" w:eastAsia="SimSun" w:cs="SimSun"/>
          <w:spacing w:val="9"/>
        </w:rPr>
        <w:t>(</w:t>
      </w:r>
      <w:r>
        <w:rPr>
          <w:rFonts w:ascii="SimSun" w:hAnsi="SimSun" w:eastAsia="SimSun" w:cs="SimSun"/>
        </w:rPr>
        <w:t>RCT</w:t>
      </w:r>
      <w:r>
        <w:rPr>
          <w:rFonts w:ascii="SimSun" w:hAnsi="SimSun" w:eastAsia="SimSun" w:cs="SimSun"/>
          <w:spacing w:val="9"/>
        </w:rPr>
        <w:t>)</w:t>
      </w:r>
      <w:r>
        <w:rPr>
          <w:rFonts w:ascii="SimSun" w:hAnsi="SimSun" w:eastAsia="SimSun" w:cs="SimSun"/>
          <w:spacing w:val="38"/>
        </w:rPr>
        <w:t xml:space="preserve">  </w:t>
      </w:r>
      <w:r>
        <w:rPr>
          <w:spacing w:val="9"/>
        </w:rPr>
        <w:t>样本量有限，无法充分代表真实世界人</w:t>
      </w:r>
      <w:r>
        <w:rPr>
          <w:spacing w:val="1"/>
        </w:rPr>
        <w:t xml:space="preserve"> </w:t>
      </w:r>
      <w:r>
        <w:rPr>
          <w:spacing w:val="-2"/>
        </w:rPr>
        <w:t>群；</w:t>
      </w:r>
    </w:p>
    <w:p>
      <w:pPr>
        <w:pStyle w:val="BodyText"/>
        <w:ind w:left="350"/>
        <w:spacing w:before="127" w:line="213" w:lineRule="auto"/>
        <w:rPr/>
      </w:pPr>
      <w:r>
        <w:rPr>
          <w:spacing w:val="6"/>
        </w:rPr>
        <w:t>·</w:t>
      </w:r>
      <w:r>
        <w:rPr>
          <w:spacing w:val="-86"/>
        </w:rPr>
        <w:t xml:space="preserve"> </w:t>
      </w:r>
      <w:r>
        <w:rPr>
          <w:spacing w:val="6"/>
        </w:rPr>
        <w:t>数据孤岛与因果推断弱：多组学数据高维但标注稀疏，难以建立可靠的因果机制模型；</w:t>
      </w:r>
    </w:p>
    <w:p>
      <w:pPr>
        <w:pStyle w:val="BodyText"/>
        <w:ind w:left="490" w:right="49" w:hanging="140"/>
        <w:spacing w:before="275" w:line="284" w:lineRule="auto"/>
        <w:rPr/>
      </w:pPr>
      <w:r>
        <w:rPr>
          <w:spacing w:val="3"/>
        </w:rPr>
        <w:t>·</w:t>
      </w:r>
      <w:r>
        <w:rPr>
          <w:spacing w:val="-70"/>
        </w:rPr>
        <w:t xml:space="preserve"> </w:t>
      </w:r>
      <w:r>
        <w:rPr>
          <w:spacing w:val="3"/>
        </w:rPr>
        <w:t>时间与成本壁垒：从发现到上市平均需12-15年，失败主要发生在临床</w:t>
      </w:r>
      <w:r>
        <w:rPr>
          <w:rFonts w:ascii="SimSun" w:hAnsi="SimSun" w:eastAsia="SimSun" w:cs="SimSun"/>
        </w:rPr>
        <w:t>II</w:t>
      </w:r>
      <w:r>
        <w:rPr>
          <w:rFonts w:ascii="SimSun" w:hAnsi="SimSun" w:eastAsia="SimSun" w:cs="SimSun"/>
          <w:spacing w:val="3"/>
        </w:rPr>
        <w:t>/</w:t>
      </w:r>
      <w:r>
        <w:rPr>
          <w:rFonts w:ascii="SimSun" w:hAnsi="SimSun" w:eastAsia="SimSun" w:cs="SimSun"/>
        </w:rPr>
        <w:t>III</w:t>
      </w:r>
      <w:r>
        <w:rPr>
          <w:spacing w:val="3"/>
        </w:rPr>
        <w:t>期(疗效不足或安</w:t>
      </w:r>
      <w:r>
        <w:rPr/>
        <w:t xml:space="preserve"> </w:t>
      </w:r>
      <w:r>
        <w:rPr>
          <w:spacing w:val="6"/>
        </w:rPr>
        <w:t>全性问题)。</w:t>
      </w:r>
    </w:p>
    <w:p>
      <w:pPr>
        <w:pStyle w:val="BodyText"/>
        <w:ind w:right="152"/>
        <w:spacing w:before="302" w:line="356" w:lineRule="auto"/>
        <w:rPr/>
      </w:pPr>
      <w:r>
        <w:rPr>
          <w:spacing w:val="10"/>
        </w:rPr>
        <w:t>大模型的潜力在于通过海量数据学习隐含模式、进行多模态融合与泛化预测，有望在一定程度上</w:t>
      </w:r>
      <w:r>
        <w:rPr/>
        <w:t xml:space="preserve"> </w:t>
      </w:r>
      <w:r>
        <w:rPr>
          <w:spacing w:val="5"/>
        </w:rPr>
        <w:t>弥补这些痛点。</w:t>
      </w:r>
    </w:p>
    <w:p>
      <w:pPr>
        <w:spacing w:line="391" w:lineRule="auto"/>
        <w:rPr>
          <w:rFonts w:ascii="Arial"/>
          <w:sz w:val="21"/>
        </w:rPr>
      </w:pPr>
      <w:r/>
    </w:p>
    <w:p>
      <w:pPr>
        <w:pStyle w:val="BodyText"/>
        <w:ind w:left="5"/>
        <w:spacing w:before="118" w:line="221" w:lineRule="auto"/>
        <w:outlineLvl w:val="1"/>
        <w:rPr>
          <w:sz w:val="36"/>
          <w:szCs w:val="36"/>
        </w:rPr>
      </w:pPr>
      <w:r>
        <w:rPr>
          <w:rFonts w:ascii="SimSun" w:hAnsi="SimSun" w:eastAsia="SimSun" w:cs="SimSun"/>
          <w:sz w:val="36"/>
          <w:szCs w:val="36"/>
          <w:b/>
          <w:bCs/>
          <w:spacing w:val="-1"/>
        </w:rPr>
        <w:t>3.</w:t>
      </w:r>
      <w:r>
        <w:rPr>
          <w:sz w:val="36"/>
          <w:szCs w:val="36"/>
          <w:b/>
          <w:bCs/>
          <w:spacing w:val="-1"/>
        </w:rPr>
        <w:t>大模型概念界定</w:t>
      </w:r>
    </w:p>
    <w:p>
      <w:pPr>
        <w:pStyle w:val="BodyText"/>
        <w:spacing w:before="222" w:line="222" w:lineRule="auto"/>
        <w:rPr/>
      </w:pPr>
      <w:r>
        <w:rPr>
          <w:spacing w:val="-9"/>
        </w:rPr>
        <w:t>本报告所指“大模型”主要包括：</w:t>
      </w:r>
    </w:p>
    <w:p>
      <w:pPr>
        <w:pStyle w:val="BodyText"/>
        <w:ind w:left="489" w:hanging="136"/>
        <w:spacing w:before="267" w:line="267" w:lineRule="auto"/>
        <w:rPr/>
      </w:pPr>
      <w:r>
        <w:rPr>
          <w:rFonts w:ascii="SimSun" w:hAnsi="SimSun" w:eastAsia="SimSun" w:cs="SimSun"/>
          <w:b/>
          <w:bCs/>
          <w:spacing w:val="4"/>
        </w:rPr>
        <w:t>·</w:t>
      </w:r>
      <w:r>
        <w:rPr>
          <w:rFonts w:ascii="SimSun" w:hAnsi="SimSun" w:eastAsia="SimSun" w:cs="SimSun"/>
          <w:b/>
          <w:bCs/>
        </w:rPr>
        <w:t>Transformer</w:t>
      </w:r>
      <w:r>
        <w:rPr>
          <w:rFonts w:ascii="SimSun" w:hAnsi="SimSun" w:eastAsia="SimSun" w:cs="SimSun"/>
          <w:b/>
          <w:bCs/>
          <w:spacing w:val="4"/>
        </w:rPr>
        <w:t>-</w:t>
      </w:r>
      <w:r>
        <w:rPr>
          <w:rFonts w:ascii="SimSun" w:hAnsi="SimSun" w:eastAsia="SimSun" w:cs="SimSun"/>
          <w:b/>
          <w:bCs/>
        </w:rPr>
        <w:t>based</w:t>
      </w:r>
      <w:r>
        <w:rPr>
          <w:rFonts w:ascii="SimSun" w:hAnsi="SimSun" w:eastAsia="SimSun" w:cs="SimSun"/>
          <w:spacing w:val="36"/>
        </w:rPr>
        <w:t xml:space="preserve">  </w:t>
      </w:r>
      <w:r>
        <w:rPr>
          <w:b/>
          <w:bCs/>
          <w:spacing w:val="4"/>
        </w:rPr>
        <w:t>基础模型：</w:t>
      </w:r>
      <w:r>
        <w:rPr>
          <w:spacing w:val="4"/>
        </w:rPr>
        <w:t>如</w:t>
      </w:r>
      <w:r>
        <w:rPr>
          <w:rFonts w:ascii="SimSun" w:hAnsi="SimSun" w:eastAsia="SimSun" w:cs="SimSun"/>
        </w:rPr>
        <w:t>Geneformer</w:t>
      </w:r>
      <w:r>
        <w:rPr>
          <w:rFonts w:ascii="SimSun" w:hAnsi="SimSun" w:eastAsia="SimSun" w:cs="SimSun"/>
          <w:spacing w:val="4"/>
        </w:rPr>
        <w:t>、</w:t>
      </w:r>
      <w:r>
        <w:rPr>
          <w:rFonts w:ascii="SimSun" w:hAnsi="SimSun" w:eastAsia="SimSun" w:cs="SimSun"/>
        </w:rPr>
        <w:t>scGPT</w:t>
      </w:r>
      <w:r>
        <w:rPr>
          <w:rFonts w:ascii="SimSun" w:hAnsi="SimSun" w:eastAsia="SimSun" w:cs="SimSun"/>
          <w:spacing w:val="4"/>
        </w:rPr>
        <w:t>、</w:t>
      </w:r>
      <w:r>
        <w:rPr>
          <w:rFonts w:ascii="SimSun" w:hAnsi="SimSun" w:eastAsia="SimSun" w:cs="SimSun"/>
        </w:rPr>
        <w:t>scFoundation</w:t>
      </w:r>
      <w:r>
        <w:rPr>
          <w:rFonts w:ascii="SimSun" w:hAnsi="SimSun" w:eastAsia="SimSun" w:cs="SimSun"/>
          <w:spacing w:val="4"/>
        </w:rPr>
        <w:t xml:space="preserve">     </w:t>
      </w:r>
      <w:r>
        <w:rPr>
          <w:spacing w:val="4"/>
        </w:rPr>
        <w:t>(单细胞转录组序</w:t>
      </w:r>
      <w:r>
        <w:rPr/>
        <w:t xml:space="preserve"> </w:t>
      </w:r>
      <w:r>
        <w:rPr>
          <w:spacing w:val="7"/>
        </w:rPr>
        <w:t>列化后预训练的</w:t>
      </w:r>
      <w:r>
        <w:rPr>
          <w:rFonts w:ascii="Arial" w:hAnsi="Arial" w:eastAsia="Arial" w:cs="Arial"/>
        </w:rPr>
        <w:t>LLM</w:t>
      </w:r>
      <w:r>
        <w:rPr>
          <w:rFonts w:ascii="Arial" w:hAnsi="Arial" w:eastAsia="Arial" w:cs="Arial"/>
          <w:spacing w:val="7"/>
        </w:rPr>
        <w:t>),</w:t>
      </w:r>
      <w:r>
        <w:rPr>
          <w:rFonts w:ascii="Arial" w:hAnsi="Arial" w:eastAsia="Arial" w:cs="Arial"/>
          <w:spacing w:val="1"/>
        </w:rPr>
        <w:t xml:space="preserve">    </w:t>
      </w:r>
      <w:r>
        <w:rPr>
          <w:spacing w:val="7"/>
        </w:rPr>
        <w:t>可学习基因调控网络；</w:t>
      </w:r>
    </w:p>
    <w:p>
      <w:pPr>
        <w:pStyle w:val="BodyText"/>
        <w:ind w:left="489" w:right="150" w:hanging="136"/>
        <w:spacing w:before="282" w:line="280" w:lineRule="auto"/>
        <w:rPr>
          <w:rFonts w:ascii="Arial" w:hAnsi="Arial" w:eastAsia="Arial" w:cs="Arial"/>
        </w:rPr>
      </w:pPr>
      <w:r>
        <w:rPr>
          <w:rFonts w:ascii="SimSun" w:hAnsi="SimSun" w:eastAsia="SimSun" w:cs="SimSun"/>
          <w:b/>
          <w:bCs/>
          <w:spacing w:val="2"/>
        </w:rPr>
        <w:t>·</w:t>
      </w:r>
      <w:r>
        <w:rPr>
          <w:rFonts w:ascii="SimSun" w:hAnsi="SimSun" w:eastAsia="SimSun" w:cs="SimSun"/>
          <w:b/>
          <w:bCs/>
        </w:rPr>
        <w:t>Graph</w:t>
      </w:r>
      <w:r>
        <w:rPr>
          <w:rFonts w:ascii="SimSun" w:hAnsi="SimSun" w:eastAsia="SimSun" w:cs="SimSun"/>
          <w:spacing w:val="2"/>
        </w:rPr>
        <w:t xml:space="preserve">   </w:t>
      </w:r>
      <w:r>
        <w:rPr>
          <w:rFonts w:ascii="SimSun" w:hAnsi="SimSun" w:eastAsia="SimSun" w:cs="SimSun"/>
          <w:b/>
          <w:bCs/>
        </w:rPr>
        <w:t>Neural</w:t>
      </w:r>
      <w:r>
        <w:rPr>
          <w:rFonts w:ascii="SimSun" w:hAnsi="SimSun" w:eastAsia="SimSun" w:cs="SimSun"/>
          <w:spacing w:val="2"/>
        </w:rPr>
        <w:t xml:space="preserve">   </w:t>
      </w:r>
      <w:r>
        <w:rPr>
          <w:rFonts w:ascii="SimSun" w:hAnsi="SimSun" w:eastAsia="SimSun" w:cs="SimSun"/>
          <w:b/>
          <w:bCs/>
        </w:rPr>
        <w:t>Networks</w:t>
      </w:r>
      <w:r>
        <w:rPr>
          <w:rFonts w:ascii="SimSun" w:hAnsi="SimSun" w:eastAsia="SimSun" w:cs="SimSun"/>
          <w:b/>
          <w:bCs/>
          <w:spacing w:val="2"/>
        </w:rPr>
        <w:t>(</w:t>
      </w:r>
      <w:r>
        <w:rPr>
          <w:rFonts w:ascii="SimSun" w:hAnsi="SimSun" w:eastAsia="SimSun" w:cs="SimSun"/>
          <w:b/>
          <w:bCs/>
        </w:rPr>
        <w:t>GNN</w:t>
      </w:r>
      <w:r>
        <w:rPr>
          <w:rFonts w:ascii="SimSun" w:hAnsi="SimSun" w:eastAsia="SimSun" w:cs="SimSun"/>
          <w:b/>
          <w:bCs/>
          <w:spacing w:val="2"/>
        </w:rPr>
        <w:t>)</w:t>
      </w:r>
      <w:r>
        <w:rPr>
          <w:spacing w:val="2"/>
        </w:rPr>
        <w:t>:</w:t>
      </w:r>
      <w:r>
        <w:rPr>
          <w:spacing w:val="53"/>
        </w:rPr>
        <w:t xml:space="preserve"> </w:t>
      </w:r>
      <w:r>
        <w:rPr>
          <w:spacing w:val="2"/>
        </w:rPr>
        <w:t>处理分子图、蛋白质接触图、知识图谱、细胞-药物交互</w:t>
      </w:r>
      <w:r>
        <w:rPr/>
        <w:t xml:space="preserve"> </w:t>
      </w:r>
      <w:r>
        <w:rPr>
          <w:spacing w:val="1"/>
        </w:rPr>
        <w:t>图，如</w:t>
      </w:r>
      <w:r>
        <w:rPr>
          <w:rFonts w:ascii="Arial" w:hAnsi="Arial" w:eastAsia="Arial" w:cs="Arial"/>
        </w:rPr>
        <w:t>DrugCell</w:t>
      </w:r>
      <w:r>
        <w:rPr>
          <w:rFonts w:ascii="Arial" w:hAnsi="Arial" w:eastAsia="Arial" w:cs="Arial"/>
          <w:spacing w:val="1"/>
        </w:rPr>
        <w:t>-</w:t>
      </w:r>
      <w:r>
        <w:rPr>
          <w:rFonts w:ascii="Arial" w:hAnsi="Arial" w:eastAsia="Arial" w:cs="Arial"/>
        </w:rPr>
        <w:t>GNN</w:t>
      </w:r>
      <w:r>
        <w:rPr>
          <w:rFonts w:ascii="SimSun" w:hAnsi="SimSun" w:eastAsia="SimSun" w:cs="SimSun"/>
          <w:spacing w:val="1"/>
        </w:rPr>
        <w:t>、</w:t>
      </w:r>
      <w:r>
        <w:rPr>
          <w:rFonts w:ascii="Arial" w:hAnsi="Arial" w:eastAsia="Arial" w:cs="Arial"/>
        </w:rPr>
        <w:t>KGANSynergy</w:t>
      </w:r>
      <w:r>
        <w:rPr>
          <w:rFonts w:ascii="Arial" w:hAnsi="Arial" w:eastAsia="Arial" w:cs="Arial"/>
          <w:spacing w:val="1"/>
        </w:rPr>
        <w:t>;</w:t>
      </w:r>
    </w:p>
    <w:p>
      <w:pPr>
        <w:pStyle w:val="BodyText"/>
        <w:ind w:left="490" w:right="89" w:hanging="140"/>
        <w:spacing w:before="268" w:line="287" w:lineRule="auto"/>
        <w:rPr/>
      </w:pPr>
      <w:r>
        <w:rPr>
          <w:spacing w:val="6"/>
        </w:rPr>
        <w:t>·</w:t>
      </w:r>
      <w:r>
        <w:rPr>
          <w:spacing w:val="-83"/>
        </w:rPr>
        <w:t xml:space="preserve"> </w:t>
      </w:r>
      <w:r>
        <w:rPr>
          <w:spacing w:val="6"/>
        </w:rPr>
        <w:t>多模态大模型：整合分子结构</w:t>
      </w:r>
      <w:r>
        <w:rPr>
          <w:spacing w:val="6"/>
        </w:rPr>
        <w:t xml:space="preserve"> </w:t>
      </w:r>
      <w:r>
        <w:rPr>
          <w:rFonts w:ascii="SimSun" w:hAnsi="SimSun" w:eastAsia="SimSun" w:cs="SimSun"/>
          <w:spacing w:val="6"/>
        </w:rPr>
        <w:t>(</w:t>
      </w:r>
      <w:r>
        <w:rPr>
          <w:rFonts w:ascii="SimSun" w:hAnsi="SimSun" w:eastAsia="SimSun" w:cs="SimSun"/>
        </w:rPr>
        <w:t>SMILES</w:t>
      </w:r>
      <w:r>
        <w:rPr>
          <w:rFonts w:ascii="SimSun" w:hAnsi="SimSun" w:eastAsia="SimSun" w:cs="SimSun"/>
          <w:spacing w:val="6"/>
        </w:rPr>
        <w:t>/</w:t>
      </w:r>
      <w:r>
        <w:rPr>
          <w:rFonts w:ascii="SimSun" w:hAnsi="SimSun" w:eastAsia="SimSun" w:cs="SimSun"/>
          <w:spacing w:val="94"/>
        </w:rPr>
        <w:t xml:space="preserve"> </w:t>
      </w:r>
      <w:r>
        <w:rPr>
          <w:spacing w:val="6"/>
        </w:rPr>
        <w:t>图)、组学数据、文本(文献/</w:t>
      </w:r>
      <w:r>
        <w:rPr>
          <w:rFonts w:ascii="SimSun" w:hAnsi="SimSun" w:eastAsia="SimSun" w:cs="SimSun"/>
        </w:rPr>
        <w:t>EHR</w:t>
      </w:r>
      <w:r>
        <w:rPr>
          <w:rFonts w:ascii="SimSun" w:hAnsi="SimSun" w:eastAsia="SimSun" w:cs="SimSun"/>
          <w:spacing w:val="6"/>
        </w:rPr>
        <w:t>)、 </w:t>
      </w:r>
      <w:r>
        <w:rPr>
          <w:spacing w:val="6"/>
        </w:rPr>
        <w:t>空间组</w:t>
      </w:r>
      <w:r>
        <w:rPr>
          <w:spacing w:val="5"/>
        </w:rPr>
        <w:t>学等，</w:t>
      </w:r>
      <w:r>
        <w:rPr/>
        <w:t xml:space="preserve"> </w:t>
      </w:r>
      <w:r>
        <w:rPr>
          <w:spacing w:val="7"/>
        </w:rPr>
        <w:t>如</w:t>
      </w:r>
      <w:r>
        <w:rPr>
          <w:rFonts w:ascii="SimSun" w:hAnsi="SimSun" w:eastAsia="SimSun" w:cs="SimSun"/>
        </w:rPr>
        <w:t>Madrigal</w:t>
      </w:r>
      <w:r>
        <w:rPr>
          <w:rFonts w:ascii="SimSun" w:hAnsi="SimSun" w:eastAsia="SimSun" w:cs="SimSun"/>
          <w:spacing w:val="77"/>
        </w:rPr>
        <w:t xml:space="preserve"> </w:t>
      </w:r>
      <w:r>
        <w:rPr>
          <w:spacing w:val="7"/>
        </w:rPr>
        <w:t>(结构+通路+转录组+细胞活力)、</w:t>
      </w:r>
      <w:r>
        <w:rPr>
          <w:spacing w:val="7"/>
        </w:rPr>
        <w:t xml:space="preserve"> </w:t>
      </w:r>
      <w:r>
        <w:rPr>
          <w:rFonts w:ascii="SimSun" w:hAnsi="SimSun" w:eastAsia="SimSun" w:cs="SimSun"/>
        </w:rPr>
        <w:t>PINNACLE</w:t>
      </w:r>
      <w:r>
        <w:rPr>
          <w:rFonts w:ascii="SimSun" w:hAnsi="SimSun" w:eastAsia="SimSun" w:cs="SimSun"/>
          <w:spacing w:val="7"/>
        </w:rPr>
        <w:t>(</w:t>
      </w:r>
      <w:r>
        <w:rPr>
          <w:rFonts w:ascii="SimSun" w:hAnsi="SimSun" w:eastAsia="SimSun" w:cs="SimSun"/>
        </w:rPr>
        <w:t>scRNA</w:t>
      </w:r>
      <w:r>
        <w:rPr>
          <w:rFonts w:ascii="SimSun" w:hAnsi="SimSun" w:eastAsia="SimSun" w:cs="SimSun"/>
          <w:spacing w:val="7"/>
        </w:rPr>
        <w:t>-</w:t>
      </w:r>
      <w:r>
        <w:rPr>
          <w:rFonts w:ascii="SimSun" w:hAnsi="SimSun" w:eastAsia="SimSun" w:cs="SimSun"/>
        </w:rPr>
        <w:t>seq</w:t>
      </w:r>
      <w:r>
        <w:rPr>
          <w:rFonts w:ascii="SimSun" w:hAnsi="SimSun" w:eastAsia="SimSun" w:cs="SimSun"/>
          <w:spacing w:val="7"/>
        </w:rPr>
        <w:t>+</w:t>
      </w:r>
      <w:r>
        <w:rPr>
          <w:rFonts w:ascii="SimSun" w:hAnsi="SimSun" w:eastAsia="SimSun" w:cs="SimSun"/>
        </w:rPr>
        <w:t>PPI</w:t>
      </w:r>
      <w:r>
        <w:rPr>
          <w:rFonts w:ascii="SimSun" w:hAnsi="SimSun" w:eastAsia="SimSun" w:cs="SimSun"/>
          <w:spacing w:val="7"/>
        </w:rPr>
        <w:t xml:space="preserve">       </w:t>
      </w:r>
      <w:r>
        <w:rPr>
          <w:spacing w:val="7"/>
        </w:rPr>
        <w:t>网络);</w:t>
      </w:r>
    </w:p>
    <w:p>
      <w:pPr>
        <w:pStyle w:val="BodyText"/>
        <w:ind w:left="489" w:right="211" w:hanging="136"/>
        <w:spacing w:before="246" w:line="275" w:lineRule="auto"/>
        <w:rPr/>
      </w:pPr>
      <w:r>
        <w:rPr>
          <w:b/>
          <w:bCs/>
          <w:spacing w:val="3"/>
        </w:rPr>
        <w:t>·</w:t>
      </w:r>
      <w:r>
        <w:rPr>
          <w:spacing w:val="-74"/>
        </w:rPr>
        <w:t xml:space="preserve"> </w:t>
      </w:r>
      <w:r>
        <w:rPr>
          <w:b/>
          <w:bCs/>
          <w:spacing w:val="3"/>
        </w:rPr>
        <w:t>与其他计算方法的区别：</w:t>
      </w:r>
      <w:r>
        <w:rPr>
          <w:spacing w:val="-51"/>
        </w:rPr>
        <w:t xml:space="preserve"> </w:t>
      </w:r>
      <w:r>
        <w:rPr>
          <w:spacing w:val="3"/>
        </w:rPr>
        <w:t>传统分子对接/</w:t>
      </w:r>
      <w:r>
        <w:rPr>
          <w:rFonts w:ascii="SimSun" w:hAnsi="SimSun" w:eastAsia="SimSun" w:cs="SimSun"/>
        </w:rPr>
        <w:t>QSAR</w:t>
      </w:r>
      <w:r>
        <w:rPr>
          <w:rFonts w:ascii="SimSun" w:hAnsi="SimSun" w:eastAsia="SimSun" w:cs="SimSun"/>
          <w:spacing w:val="102"/>
        </w:rPr>
        <w:t xml:space="preserve"> </w:t>
      </w:r>
      <w:r>
        <w:rPr>
          <w:spacing w:val="3"/>
        </w:rPr>
        <w:t>依赖物理/统计规则；大模型通过端到端学习</w:t>
      </w:r>
      <w:r>
        <w:rPr/>
        <w:t xml:space="preserve"> </w:t>
      </w:r>
      <w:r>
        <w:rPr>
          <w:spacing w:val="9"/>
        </w:rPr>
        <w:t>海量标注/无标注数据，捕捉高阶非线性关系与上下文依赖，实现更强的泛化与涌现能力。</w:t>
      </w:r>
    </w:p>
    <w:p>
      <w:pPr>
        <w:spacing w:line="286" w:lineRule="auto"/>
        <w:rPr>
          <w:rFonts w:ascii="Arial"/>
          <w:sz w:val="21"/>
        </w:rPr>
      </w:pPr>
      <w:r/>
    </w:p>
    <w:p>
      <w:pPr>
        <w:spacing w:line="287" w:lineRule="auto"/>
        <w:rPr>
          <w:rFonts w:ascii="Arial"/>
          <w:sz w:val="21"/>
        </w:rPr>
      </w:pPr>
      <w:r/>
    </w:p>
    <w:p>
      <w:pPr>
        <w:pStyle w:val="BodyText"/>
        <w:ind w:left="5"/>
        <w:spacing w:before="118" w:line="222" w:lineRule="auto"/>
        <w:outlineLvl w:val="1"/>
        <w:rPr>
          <w:sz w:val="36"/>
          <w:szCs w:val="36"/>
        </w:rPr>
      </w:pPr>
      <w:r>
        <w:rPr>
          <w:rFonts w:ascii="SimSun" w:hAnsi="SimSun" w:eastAsia="SimSun" w:cs="SimSun"/>
          <w:sz w:val="36"/>
          <w:szCs w:val="36"/>
          <w:b/>
          <w:bCs/>
          <w:spacing w:val="-2"/>
        </w:rPr>
        <w:t>4.</w:t>
      </w:r>
      <w:r>
        <w:rPr>
          <w:sz w:val="36"/>
          <w:szCs w:val="36"/>
          <w:b/>
          <w:bCs/>
          <w:spacing w:val="-2"/>
        </w:rPr>
        <w:t>大模型模拟药物作用的内在机制与技术路径</w:t>
      </w:r>
    </w:p>
    <w:p>
      <w:pPr>
        <w:pStyle w:val="BodyText"/>
        <w:spacing w:before="247" w:line="221" w:lineRule="auto"/>
        <w:rPr/>
      </w:pPr>
      <w:r>
        <w:rPr>
          <w:spacing w:val="8"/>
        </w:rPr>
        <w:t>大模型模拟药物影响的核心在于从序列/图到功能表型的可微分表示学习：</w:t>
      </w:r>
    </w:p>
    <w:p>
      <w:pPr>
        <w:spacing w:line="221" w:lineRule="auto"/>
        <w:sectPr>
          <w:pgSz w:w="12240" w:h="15840"/>
          <w:pgMar w:top="1280" w:right="1015" w:bottom="0" w:left="989" w:header="0" w:footer="0" w:gutter="0"/>
        </w:sectPr>
        <w:rPr/>
      </w:pPr>
    </w:p>
    <w:p>
      <w:pPr>
        <w:pStyle w:val="BodyText"/>
        <w:ind w:left="614" w:right="42" w:hanging="129"/>
        <w:spacing w:before="46" w:line="295" w:lineRule="auto"/>
        <w:rPr/>
      </w:pPr>
      <w:r>
        <w:rPr>
          <w:spacing w:val="6"/>
        </w:rPr>
        <w:t>·</w:t>
      </w:r>
      <w:r>
        <w:rPr>
          <w:spacing w:val="-85"/>
        </w:rPr>
        <w:t xml:space="preserve"> </w:t>
      </w:r>
      <w:r>
        <w:rPr>
          <w:spacing w:val="6"/>
        </w:rPr>
        <w:t>关键数据类型：分子图</w:t>
      </w:r>
      <w:r>
        <w:rPr>
          <w:spacing w:val="6"/>
        </w:rPr>
        <w:t xml:space="preserve"> </w:t>
      </w:r>
      <w:r>
        <w:rPr>
          <w:rFonts w:ascii="SimSun" w:hAnsi="SimSun" w:eastAsia="SimSun" w:cs="SimSun"/>
          <w:spacing w:val="6"/>
        </w:rPr>
        <w:t>(</w:t>
      </w:r>
      <w:r>
        <w:rPr>
          <w:rFonts w:ascii="SimSun" w:hAnsi="SimSun" w:eastAsia="SimSun" w:cs="SimSun"/>
        </w:rPr>
        <w:t>GNN</w:t>
      </w:r>
      <w:r>
        <w:rPr>
          <w:rFonts w:ascii="SimSun" w:hAnsi="SimSun" w:eastAsia="SimSun" w:cs="SimSun"/>
          <w:spacing w:val="6"/>
        </w:rPr>
        <w:t xml:space="preserve">  </w:t>
      </w:r>
      <w:r>
        <w:rPr>
          <w:spacing w:val="6"/>
        </w:rPr>
        <w:t>编码)、基因序列/表达</w:t>
      </w:r>
      <w:r>
        <w:rPr>
          <w:spacing w:val="6"/>
        </w:rPr>
        <w:t xml:space="preserve"> </w:t>
      </w:r>
      <w:r>
        <w:rPr>
          <w:rFonts w:ascii="SimSun" w:hAnsi="SimSun" w:eastAsia="SimSun" w:cs="SimSun"/>
          <w:spacing w:val="6"/>
        </w:rPr>
        <w:t>(</w:t>
      </w:r>
      <w:r>
        <w:rPr>
          <w:rFonts w:ascii="SimSun" w:hAnsi="SimSun" w:eastAsia="SimSun" w:cs="SimSun"/>
        </w:rPr>
        <w:t>Transformer</w:t>
      </w:r>
      <w:r>
        <w:rPr>
          <w:rFonts w:ascii="SimSun" w:hAnsi="SimSun" w:eastAsia="SimSun" w:cs="SimSun"/>
          <w:spacing w:val="6"/>
        </w:rPr>
        <w:t>)、</w:t>
      </w:r>
      <w:r>
        <w:rPr>
          <w:rFonts w:ascii="SimSun" w:hAnsi="SimSun" w:eastAsia="SimSun" w:cs="SimSun"/>
          <w:spacing w:val="40"/>
        </w:rPr>
        <w:t xml:space="preserve"> </w:t>
      </w:r>
      <w:r>
        <w:rPr>
          <w:spacing w:val="6"/>
        </w:rPr>
        <w:t>知</w:t>
      </w:r>
      <w:r>
        <w:rPr>
          <w:spacing w:val="5"/>
        </w:rPr>
        <w:t>识图谱(药物-靶</w:t>
      </w:r>
      <w:r>
        <w:rPr/>
        <w:t xml:space="preserve"> </w:t>
      </w:r>
      <w:r>
        <w:rPr>
          <w:spacing w:val="8"/>
        </w:rPr>
        <w:t>点-通路-疾病)、多组学</w:t>
      </w:r>
      <w:r>
        <w:rPr>
          <w:spacing w:val="-12"/>
        </w:rPr>
        <w:t xml:space="preserve"> </w:t>
      </w:r>
      <w:r>
        <w:rPr>
          <w:rFonts w:ascii="Times New Roman" w:hAnsi="Times New Roman" w:eastAsia="Times New Roman" w:cs="Times New Roman"/>
          <w:spacing w:val="8"/>
        </w:rPr>
        <w:t>(</w:t>
      </w:r>
      <w:r>
        <w:rPr>
          <w:rFonts w:ascii="Times New Roman" w:hAnsi="Times New Roman" w:eastAsia="Times New Roman" w:cs="Times New Roman"/>
        </w:rPr>
        <w:t>scRNA</w:t>
      </w:r>
      <w:r>
        <w:rPr>
          <w:rFonts w:ascii="Times New Roman" w:hAnsi="Times New Roman" w:eastAsia="Times New Roman" w:cs="Times New Roman"/>
          <w:spacing w:val="8"/>
        </w:rPr>
        <w:t>-</w:t>
      </w:r>
      <w:r>
        <w:rPr>
          <w:rFonts w:ascii="Times New Roman" w:hAnsi="Times New Roman" w:eastAsia="Times New Roman" w:cs="Times New Roman"/>
        </w:rPr>
        <w:t>seq</w:t>
      </w:r>
      <w:r>
        <w:rPr>
          <w:rFonts w:ascii="Times New Roman" w:hAnsi="Times New Roman" w:eastAsia="Times New Roman" w:cs="Times New Roman"/>
          <w:spacing w:val="-32"/>
        </w:rPr>
        <w:t xml:space="preserve"> </w:t>
      </w:r>
      <w:r>
        <w:rPr>
          <w:rFonts w:ascii="SimSun" w:hAnsi="SimSun" w:eastAsia="SimSun" w:cs="SimSun"/>
          <w:spacing w:val="8"/>
        </w:rPr>
        <w:t>、  </w:t>
      </w:r>
      <w:r>
        <w:rPr>
          <w:spacing w:val="8"/>
        </w:rPr>
        <w:t>蛋白质组、空间转录组)、真实世界数据</w:t>
      </w:r>
      <w:r>
        <w:rPr>
          <w:spacing w:val="8"/>
        </w:rPr>
        <w:t xml:space="preserve"> </w:t>
      </w:r>
      <w:r>
        <w:rPr>
          <w:rFonts w:ascii="Times New Roman" w:hAnsi="Times New Roman" w:eastAsia="Times New Roman" w:cs="Times New Roman"/>
          <w:spacing w:val="8"/>
        </w:rPr>
        <w:t>(</w:t>
      </w:r>
      <w:r>
        <w:rPr>
          <w:rFonts w:ascii="Times New Roman" w:hAnsi="Times New Roman" w:eastAsia="Times New Roman" w:cs="Times New Roman"/>
        </w:rPr>
        <w:t>EHR</w:t>
      </w:r>
      <w:r>
        <w:rPr>
          <w:rFonts w:ascii="SimSun" w:hAnsi="SimSun" w:eastAsia="SimSun" w:cs="SimSun"/>
          <w:spacing w:val="8"/>
        </w:rPr>
        <w:t>、</w:t>
      </w:r>
      <w:r>
        <w:rPr>
          <w:rFonts w:ascii="SimSun" w:hAnsi="SimSun" w:eastAsia="SimSun" w:cs="SimSun"/>
          <w:spacing w:val="-42"/>
        </w:rPr>
        <w:t xml:space="preserve"> </w:t>
      </w:r>
      <w:r>
        <w:rPr>
          <w:spacing w:val="8"/>
        </w:rPr>
        <w:t>临</w:t>
      </w:r>
      <w:r>
        <w:rPr/>
        <w:t xml:space="preserve"> </w:t>
      </w:r>
      <w:r>
        <w:rPr>
          <w:spacing w:val="2"/>
        </w:rPr>
        <w:t>床结局)。</w:t>
      </w:r>
    </w:p>
    <w:p>
      <w:pPr>
        <w:pStyle w:val="BodyText"/>
        <w:ind w:left="478"/>
        <w:spacing w:before="266" w:line="222" w:lineRule="auto"/>
        <w:rPr/>
      </w:pPr>
      <w:r>
        <w:rPr>
          <w:b/>
          <w:bCs/>
          <w:spacing w:val="-14"/>
        </w:rPr>
        <w:t>·</w:t>
      </w:r>
      <w:r>
        <w:rPr>
          <w:spacing w:val="-95"/>
        </w:rPr>
        <w:t xml:space="preserve"> </w:t>
      </w:r>
      <w:r>
        <w:rPr>
          <w:b/>
          <w:bCs/>
          <w:spacing w:val="-14"/>
        </w:rPr>
        <w:t>核心技术环节：</w:t>
      </w:r>
    </w:p>
    <w:p>
      <w:pPr>
        <w:pStyle w:val="BodyText"/>
        <w:ind w:left="985"/>
        <w:spacing w:before="278" w:line="217" w:lineRule="auto"/>
        <w:rPr>
          <w:rFonts w:ascii="SimSun" w:hAnsi="SimSun" w:eastAsia="SimSun" w:cs="SimSun"/>
        </w:rPr>
      </w:pPr>
      <w:r>
        <w:rPr>
          <w:spacing w:val="7"/>
        </w:rPr>
        <w:t>·</w:t>
      </w:r>
      <w:r>
        <w:rPr>
          <w:spacing w:val="-71"/>
        </w:rPr>
        <w:t xml:space="preserve"> </w:t>
      </w:r>
      <w:r>
        <w:rPr>
          <w:spacing w:val="7"/>
        </w:rPr>
        <w:t>知识嵌入：预训练阶段融入生物学先验(如</w:t>
      </w:r>
      <w:r>
        <w:rPr>
          <w:rFonts w:ascii="SimSun" w:hAnsi="SimSun" w:eastAsia="SimSun" w:cs="SimSun"/>
        </w:rPr>
        <w:t>PPI</w:t>
      </w:r>
      <w:r>
        <w:rPr>
          <w:rFonts w:ascii="SimSun" w:hAnsi="SimSun" w:eastAsia="SimSun" w:cs="SimSun"/>
          <w:spacing w:val="7"/>
        </w:rPr>
        <w:t>、</w:t>
      </w:r>
      <w:r>
        <w:rPr>
          <w:rFonts w:ascii="SimSun" w:hAnsi="SimSun" w:eastAsia="SimSun" w:cs="SimSun"/>
        </w:rPr>
        <w:t>Reactome</w:t>
      </w:r>
      <w:r>
        <w:rPr>
          <w:rFonts w:ascii="SimSun" w:hAnsi="SimSun" w:eastAsia="SimSun" w:cs="SimSun"/>
          <w:spacing w:val="7"/>
        </w:rPr>
        <w:t xml:space="preserve">  </w:t>
      </w:r>
      <w:r>
        <w:rPr>
          <w:spacing w:val="7"/>
        </w:rPr>
        <w:t>通路、</w:t>
      </w:r>
      <w:r>
        <w:rPr>
          <w:rFonts w:ascii="SimSun" w:hAnsi="SimSun" w:eastAsia="SimSun" w:cs="SimSun"/>
        </w:rPr>
        <w:t>DrugBank</w:t>
      </w:r>
      <w:r>
        <w:rPr>
          <w:rFonts w:ascii="SimSun" w:hAnsi="SimSun" w:eastAsia="SimSun" w:cs="SimSun"/>
          <w:spacing w:val="7"/>
        </w:rPr>
        <w:t>)。</w:t>
      </w:r>
    </w:p>
    <w:p>
      <w:pPr>
        <w:pStyle w:val="BodyText"/>
        <w:ind w:left="1125" w:right="83" w:hanging="140"/>
        <w:spacing w:before="200" w:line="313" w:lineRule="auto"/>
        <w:rPr/>
      </w:pPr>
      <w:r>
        <w:rPr>
          <w:spacing w:val="1"/>
        </w:rPr>
        <w:t>·</w:t>
      </w:r>
      <w:r>
        <w:rPr>
          <w:spacing w:val="-70"/>
        </w:rPr>
        <w:t xml:space="preserve"> </w:t>
      </w:r>
      <w:r>
        <w:rPr>
          <w:spacing w:val="1"/>
        </w:rPr>
        <w:t>多模态融合：</w:t>
      </w:r>
      <w:r>
        <w:rPr>
          <w:rFonts w:ascii="Arial" w:hAnsi="Arial" w:eastAsia="Arial" w:cs="Arial"/>
        </w:rPr>
        <w:t>Bottleneck</w:t>
      </w:r>
      <w:r>
        <w:rPr>
          <w:rFonts w:ascii="Arial" w:hAnsi="Arial" w:eastAsia="Arial" w:cs="Arial"/>
          <w:spacing w:val="1"/>
        </w:rPr>
        <w:t xml:space="preserve">      </w:t>
      </w:r>
      <w:r>
        <w:rPr>
          <w:rFonts w:ascii="Arial" w:hAnsi="Arial" w:eastAsia="Arial" w:cs="Arial"/>
        </w:rPr>
        <w:t>tokens</w:t>
      </w:r>
      <w:r>
        <w:rPr>
          <w:rFonts w:ascii="SimSun" w:hAnsi="SimSun" w:eastAsia="SimSun" w:cs="SimSun"/>
          <w:spacing w:val="1"/>
        </w:rPr>
        <w:t>、</w:t>
      </w:r>
      <w:r>
        <w:rPr>
          <w:rFonts w:ascii="Arial" w:hAnsi="Arial" w:eastAsia="Arial" w:cs="Arial"/>
        </w:rPr>
        <w:t>cross</w:t>
      </w:r>
      <w:r>
        <w:rPr>
          <w:rFonts w:ascii="Arial" w:hAnsi="Arial" w:eastAsia="Arial" w:cs="Arial"/>
          <w:spacing w:val="1"/>
        </w:rPr>
        <w:t>-</w:t>
      </w:r>
      <w:r>
        <w:rPr>
          <w:rFonts w:ascii="Arial" w:hAnsi="Arial" w:eastAsia="Arial" w:cs="Arial"/>
        </w:rPr>
        <w:t>attention</w:t>
      </w:r>
      <w:r>
        <w:rPr>
          <w:rFonts w:ascii="SimSun" w:hAnsi="SimSun" w:eastAsia="SimSun" w:cs="SimSun"/>
          <w:spacing w:val="1"/>
        </w:rPr>
        <w:t>、</w:t>
      </w:r>
      <w:r>
        <w:rPr>
          <w:rFonts w:ascii="Arial" w:hAnsi="Arial" w:eastAsia="Arial" w:cs="Arial"/>
        </w:rPr>
        <w:t>graph</w:t>
      </w:r>
      <w:r>
        <w:rPr>
          <w:rFonts w:ascii="Arial" w:hAnsi="Arial" w:eastAsia="Arial" w:cs="Arial"/>
          <w:spacing w:val="1"/>
        </w:rPr>
        <w:t xml:space="preserve">      </w:t>
      </w:r>
      <w:r>
        <w:rPr>
          <w:rFonts w:ascii="Arial" w:hAnsi="Arial" w:eastAsia="Arial" w:cs="Arial"/>
        </w:rPr>
        <w:t>attention</w:t>
      </w:r>
      <w:r>
        <w:rPr>
          <w:spacing w:val="1"/>
        </w:rPr>
        <w:t>机制统一异构数</w:t>
      </w:r>
      <w:r>
        <w:rPr/>
        <w:t xml:space="preserve"> </w:t>
      </w:r>
      <w:r>
        <w:rPr>
          <w:spacing w:val="5"/>
        </w:rPr>
        <w:t>据</w:t>
      </w:r>
      <w:r>
        <w:rPr>
          <w:spacing w:val="5"/>
        </w:rPr>
        <w:t xml:space="preserve"> </w:t>
      </w:r>
      <w:r>
        <w:rPr>
          <w:spacing w:val="5"/>
        </w:rPr>
        <w:t>(</w:t>
      </w:r>
      <w:r>
        <w:rPr>
          <w:spacing w:val="-21"/>
        </w:rPr>
        <w:t xml:space="preserve"> </w:t>
      </w:r>
      <w:r>
        <w:rPr>
          <w:spacing w:val="5"/>
        </w:rPr>
        <w:t>如</w:t>
      </w:r>
      <w:r>
        <w:rPr>
          <w:rFonts w:ascii="SimSun" w:hAnsi="SimSun" w:eastAsia="SimSun" w:cs="SimSun"/>
        </w:rPr>
        <w:t>Madrigal</w:t>
      </w:r>
      <w:r>
        <w:rPr>
          <w:spacing w:val="5"/>
        </w:rPr>
        <w:t>中的结构-通路-转录组融合)。</w:t>
      </w:r>
    </w:p>
    <w:p>
      <w:pPr>
        <w:pStyle w:val="BodyText"/>
        <w:ind w:left="1125" w:right="224" w:hanging="140"/>
        <w:spacing w:before="236" w:line="280" w:lineRule="auto"/>
        <w:rPr/>
      </w:pPr>
      <w:r>
        <w:rPr>
          <w:spacing w:val="4"/>
        </w:rPr>
        <w:t>·</w:t>
      </w:r>
      <w:r>
        <w:rPr>
          <w:spacing w:val="-76"/>
        </w:rPr>
        <w:t xml:space="preserve"> </w:t>
      </w:r>
      <w:r>
        <w:rPr>
          <w:spacing w:val="4"/>
        </w:rPr>
        <w:t>因果推断增强：部分模型引入反事实推理或物理信息神经网络</w:t>
      </w:r>
      <w:r>
        <w:rPr>
          <w:spacing w:val="4"/>
        </w:rPr>
        <w:t xml:space="preserve"> </w:t>
      </w:r>
      <w:r>
        <w:rPr>
          <w:rFonts w:ascii="SimSun" w:hAnsi="SimSun" w:eastAsia="SimSun" w:cs="SimSun"/>
          <w:spacing w:val="4"/>
        </w:rPr>
        <w:t>(</w:t>
      </w:r>
      <w:r>
        <w:rPr>
          <w:rFonts w:ascii="SimSun" w:hAnsi="SimSun" w:eastAsia="SimSun" w:cs="SimSun"/>
        </w:rPr>
        <w:t>PINN</w:t>
      </w:r>
      <w:r>
        <w:rPr>
          <w:rFonts w:ascii="SimSun" w:hAnsi="SimSun" w:eastAsia="SimSun" w:cs="SimSun"/>
          <w:spacing w:val="4"/>
        </w:rPr>
        <w:t>)</w:t>
      </w:r>
      <w:r>
        <w:rPr>
          <w:rFonts w:ascii="SimSun" w:hAnsi="SimSun" w:eastAsia="SimSun" w:cs="SimSun"/>
          <w:spacing w:val="34"/>
        </w:rPr>
        <w:t xml:space="preserve">  </w:t>
      </w:r>
      <w:r>
        <w:rPr>
          <w:spacing w:val="4"/>
        </w:rPr>
        <w:t>以提升机制可</w:t>
      </w:r>
      <w:r>
        <w:rPr>
          <w:spacing w:val="1"/>
        </w:rPr>
        <w:t xml:space="preserve"> </w:t>
      </w:r>
      <w:r>
        <w:rPr>
          <w:spacing w:val="3"/>
        </w:rPr>
        <w:t>解释性。</w:t>
      </w:r>
    </w:p>
    <w:p>
      <w:pPr>
        <w:pStyle w:val="BodyText"/>
        <w:ind w:left="1125" w:right="118" w:hanging="140"/>
        <w:spacing w:before="266" w:line="277" w:lineRule="auto"/>
        <w:rPr/>
      </w:pPr>
      <w:r>
        <w:rPr>
          <w:spacing w:val="3"/>
        </w:rPr>
        <w:t>·</w:t>
      </w:r>
      <w:r>
        <w:rPr>
          <w:spacing w:val="-83"/>
        </w:rPr>
        <w:t xml:space="preserve"> </w:t>
      </w:r>
      <w:r>
        <w:rPr>
          <w:spacing w:val="3"/>
        </w:rPr>
        <w:t>扰动模拟：通过</w:t>
      </w:r>
      <w:r>
        <w:rPr>
          <w:rFonts w:ascii="SimSun" w:hAnsi="SimSun" w:eastAsia="SimSun" w:cs="SimSun"/>
        </w:rPr>
        <w:t>in</w:t>
      </w:r>
      <w:r>
        <w:rPr>
          <w:rFonts w:ascii="SimSun" w:hAnsi="SimSun" w:eastAsia="SimSun" w:cs="SimSun"/>
          <w:spacing w:val="3"/>
        </w:rPr>
        <w:t xml:space="preserve"> </w:t>
      </w:r>
      <w:r>
        <w:rPr>
          <w:rFonts w:ascii="SimSun" w:hAnsi="SimSun" w:eastAsia="SimSun" w:cs="SimSun"/>
        </w:rPr>
        <w:t>silico</w:t>
      </w:r>
      <w:r>
        <w:rPr>
          <w:spacing w:val="3"/>
        </w:rPr>
        <w:t>基因敲除/药物扰动预测下游表型变化(如</w:t>
      </w:r>
      <w:r>
        <w:rPr>
          <w:rFonts w:ascii="SimSun" w:hAnsi="SimSun" w:eastAsia="SimSun" w:cs="SimSun"/>
        </w:rPr>
        <w:t>DrugCell</w:t>
      </w:r>
      <w:r>
        <w:rPr>
          <w:rFonts w:ascii="SimSun" w:hAnsi="SimSun" w:eastAsia="SimSun" w:cs="SimSun"/>
          <w:spacing w:val="3"/>
        </w:rPr>
        <w:t>-</w:t>
      </w:r>
      <w:r>
        <w:rPr>
          <w:rFonts w:ascii="SimSun" w:hAnsi="SimSun" w:eastAsia="SimSun" w:cs="SimSun"/>
        </w:rPr>
        <w:t>GNN</w:t>
      </w:r>
      <w:r>
        <w:rPr>
          <w:rFonts w:ascii="SimSun" w:hAnsi="SimSun" w:eastAsia="SimSun" w:cs="SimSun"/>
          <w:spacing w:val="3"/>
        </w:rPr>
        <w:t xml:space="preserve">  </w:t>
      </w:r>
      <w:r>
        <w:rPr>
          <w:spacing w:val="3"/>
        </w:rPr>
        <w:t>预测</w:t>
      </w:r>
      <w:r>
        <w:rPr/>
        <w:t xml:space="preserve"> </w:t>
      </w:r>
      <w:r>
        <w:rPr>
          <w:spacing w:val="6"/>
        </w:rPr>
        <w:t>药物敏感性与协同效应)。</w:t>
      </w:r>
    </w:p>
    <w:p>
      <w:pPr>
        <w:spacing w:line="244" w:lineRule="auto"/>
        <w:rPr>
          <w:rFonts w:ascii="Arial"/>
          <w:sz w:val="21"/>
        </w:rPr>
      </w:pPr>
      <w:r/>
    </w:p>
    <w:p>
      <w:pPr>
        <w:pStyle w:val="BodyText"/>
        <w:ind w:right="15" w:firstLine="114"/>
        <w:spacing w:before="76" w:line="333" w:lineRule="auto"/>
        <w:rPr/>
      </w:pPr>
      <w:r>
        <w:rPr>
          <w:spacing w:val="7"/>
        </w:rPr>
        <w:t>这些机</w:t>
      </w:r>
      <w:r>
        <w:rPr>
          <w:b/>
          <w:bCs/>
          <w:spacing w:val="7"/>
        </w:rPr>
        <w:t>制使大模型能够从局部靶点结合扩展到网络级扰动传播，再到表型/临床结局预测，实现更</w:t>
      </w:r>
      <w:r>
        <w:rPr>
          <w:spacing w:val="17"/>
        </w:rPr>
        <w:t xml:space="preserve"> </w:t>
      </w:r>
      <w:r>
        <w:rPr>
          <w:spacing w:val="-8"/>
        </w:rPr>
        <w:t>“系统性”的评估。</w:t>
      </w:r>
    </w:p>
    <w:p>
      <w:pPr>
        <w:spacing w:line="444" w:lineRule="auto"/>
        <w:rPr>
          <w:rFonts w:ascii="Arial"/>
          <w:sz w:val="21"/>
        </w:rPr>
      </w:pPr>
      <w:r/>
    </w:p>
    <w:p>
      <w:pPr>
        <w:pStyle w:val="BodyText"/>
        <w:ind w:left="120"/>
        <w:spacing w:before="117" w:line="222" w:lineRule="auto"/>
        <w:outlineLvl w:val="1"/>
        <w:rPr>
          <w:sz w:val="36"/>
          <w:szCs w:val="36"/>
        </w:rPr>
      </w:pPr>
      <w:r>
        <w:rPr>
          <w:rFonts w:ascii="SimSun" w:hAnsi="SimSun" w:eastAsia="SimSun" w:cs="SimSun"/>
          <w:sz w:val="36"/>
          <w:szCs w:val="36"/>
          <w:b/>
          <w:bCs/>
        </w:rPr>
        <w:t>5.</w:t>
      </w:r>
      <w:r>
        <w:rPr>
          <w:sz w:val="36"/>
          <w:szCs w:val="36"/>
          <w:b/>
          <w:bCs/>
        </w:rPr>
        <w:t>现有能力与代表性研究案例</w:t>
      </w:r>
    </w:p>
    <w:p>
      <w:pPr>
        <w:pStyle w:val="BodyText"/>
        <w:ind w:left="114"/>
        <w:spacing w:before="208" w:line="363" w:lineRule="auto"/>
        <w:rPr/>
      </w:pPr>
      <w:r>
        <w:rPr>
          <w:spacing w:val="15"/>
        </w:rPr>
        <w:t>现阶段大模型已在以下环节取得显著进展，但整体仍以中低尺度(分子-细胞-通路)为主，组织/</w:t>
      </w:r>
      <w:r>
        <w:rPr/>
        <w:t xml:space="preserve"> </w:t>
      </w:r>
      <w:r>
        <w:rPr>
          <w:spacing w:val="5"/>
        </w:rPr>
        <w:t>器官/整体机体模拟仍初步。</w:t>
      </w:r>
    </w:p>
    <w:p>
      <w:pPr>
        <w:spacing w:line="363" w:lineRule="auto"/>
        <w:sectPr>
          <w:pgSz w:w="12240" w:h="15840"/>
          <w:pgMar w:top="1260" w:right="1043" w:bottom="0" w:left="874" w:header="0" w:footer="0" w:gutter="0"/>
        </w:sectPr>
        <w:rPr/>
      </w:pPr>
    </w:p>
    <w:p>
      <w:pPr>
        <w:pStyle w:val="BodyText"/>
        <w:ind w:left="499" w:right="491" w:hanging="130"/>
        <w:spacing w:before="50" w:line="271" w:lineRule="auto"/>
        <w:rPr>
          <w:sz w:val="24"/>
          <w:szCs w:val="24"/>
        </w:rPr>
      </w:pPr>
      <w:r>
        <w:rPr>
          <w:sz w:val="24"/>
          <w:szCs w:val="24"/>
          <w:spacing w:val="-3"/>
        </w:rPr>
        <w:t>·靶点预测与药物-靶点交互：</w:t>
      </w:r>
      <w:r>
        <w:rPr>
          <w:rFonts w:ascii="Times New Roman" w:hAnsi="Times New Roman" w:eastAsia="Times New Roman" w:cs="Times New Roman"/>
          <w:sz w:val="24"/>
          <w:szCs w:val="24"/>
          <w:spacing w:val="-3"/>
        </w:rPr>
        <w:t>AlphaFold3</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ESM   </w:t>
      </w:r>
      <w:r>
        <w:rPr>
          <w:sz w:val="24"/>
          <w:szCs w:val="24"/>
          <w:spacing w:val="-3"/>
        </w:rPr>
        <w:t>系列大幅提升结合位点预测精</w:t>
      </w:r>
      <w:r>
        <w:rPr>
          <w:sz w:val="24"/>
          <w:szCs w:val="24"/>
          <w:spacing w:val="-4"/>
        </w:rPr>
        <w:t>度；</w:t>
      </w:r>
      <w:r>
        <w:rPr>
          <w:rFonts w:ascii="Times New Roman" w:hAnsi="Times New Roman" w:eastAsia="Times New Roman" w:cs="Times New Roman"/>
          <w:sz w:val="24"/>
          <w:szCs w:val="24"/>
          <w:spacing w:val="-4"/>
        </w:rPr>
        <w:t>GNN-</w:t>
      </w:r>
      <w:r>
        <w:rPr>
          <w:rFonts w:ascii="Times New Roman" w:hAnsi="Times New Roman" w:eastAsia="Times New Roman" w:cs="Times New Roman"/>
          <w:sz w:val="24"/>
          <w:szCs w:val="24"/>
        </w:rPr>
        <w:t xml:space="preserve"> </w:t>
      </w:r>
      <w:r>
        <w:rPr>
          <w:rFonts w:ascii="Arial" w:hAnsi="Arial" w:eastAsia="Arial" w:cs="Arial"/>
          <w:sz w:val="24"/>
          <w:szCs w:val="24"/>
        </w:rPr>
        <w:t>based</w:t>
      </w:r>
      <w:r>
        <w:rPr>
          <w:rFonts w:ascii="Arial" w:hAnsi="Arial" w:eastAsia="Arial" w:cs="Arial"/>
          <w:sz w:val="24"/>
          <w:szCs w:val="24"/>
          <w:spacing w:val="-14"/>
        </w:rPr>
        <w:t xml:space="preserve"> </w:t>
      </w:r>
      <w:r>
        <w:rPr>
          <w:sz w:val="24"/>
          <w:szCs w:val="24"/>
          <w:spacing w:val="4"/>
        </w:rPr>
        <w:t>模型(如</w:t>
      </w:r>
      <w:r>
        <w:rPr>
          <w:rFonts w:ascii="Arial" w:hAnsi="Arial" w:eastAsia="Arial" w:cs="Arial"/>
          <w:sz w:val="24"/>
          <w:szCs w:val="24"/>
        </w:rPr>
        <w:t>GINCOVNET</w:t>
      </w:r>
      <w:r>
        <w:rPr>
          <w:rFonts w:ascii="Arial" w:hAnsi="Arial" w:eastAsia="Arial" w:cs="Arial"/>
          <w:sz w:val="24"/>
          <w:szCs w:val="24"/>
          <w:spacing w:val="4"/>
        </w:rPr>
        <w:t>)  </w:t>
      </w:r>
      <w:r>
        <w:rPr>
          <w:sz w:val="24"/>
          <w:szCs w:val="24"/>
          <w:spacing w:val="4"/>
        </w:rPr>
        <w:t>融合多组学提升</w:t>
      </w:r>
      <w:r>
        <w:rPr>
          <w:rFonts w:ascii="Arial" w:hAnsi="Arial" w:eastAsia="Arial" w:cs="Arial"/>
          <w:sz w:val="24"/>
          <w:szCs w:val="24"/>
        </w:rPr>
        <w:t>DTI</w:t>
      </w:r>
      <w:r>
        <w:rPr>
          <w:rFonts w:ascii="Arial" w:hAnsi="Arial" w:eastAsia="Arial" w:cs="Arial"/>
          <w:sz w:val="24"/>
          <w:szCs w:val="24"/>
          <w:spacing w:val="4"/>
        </w:rPr>
        <w:t xml:space="preserve"> </w:t>
      </w:r>
      <w:r>
        <w:rPr>
          <w:sz w:val="24"/>
          <w:szCs w:val="24"/>
          <w:spacing w:val="4"/>
        </w:rPr>
        <w:t>预测。</w:t>
      </w:r>
    </w:p>
    <w:p>
      <w:pPr>
        <w:pStyle w:val="BodyText"/>
        <w:ind w:left="499" w:right="84" w:hanging="130"/>
        <w:spacing w:before="282" w:line="254" w:lineRule="auto"/>
        <w:rPr>
          <w:sz w:val="24"/>
          <w:szCs w:val="24"/>
        </w:rPr>
      </w:pPr>
      <w:r>
        <w:rPr>
          <w:rFonts w:ascii="SimSun" w:hAnsi="SimSun" w:eastAsia="SimSun" w:cs="SimSun"/>
          <w:sz w:val="24"/>
          <w:szCs w:val="24"/>
          <w:spacing w:val="-2"/>
        </w:rPr>
        <w:t>·ADMET  </w:t>
      </w:r>
      <w:r>
        <w:rPr>
          <w:sz w:val="24"/>
          <w:szCs w:val="24"/>
          <w:spacing w:val="-2"/>
        </w:rPr>
        <w:t>性质预测：专用</w:t>
      </w:r>
      <w:r>
        <w:rPr>
          <w:rFonts w:ascii="SimSun" w:hAnsi="SimSun" w:eastAsia="SimSun" w:cs="SimSun"/>
          <w:sz w:val="24"/>
          <w:szCs w:val="24"/>
          <w:spacing w:val="-2"/>
        </w:rPr>
        <w:t>GNN/Transformer  </w:t>
      </w:r>
      <w:r>
        <w:rPr>
          <w:sz w:val="24"/>
          <w:szCs w:val="24"/>
          <w:spacing w:val="-2"/>
        </w:rPr>
        <w:t>模型在肝毒性、心毒性</w:t>
      </w:r>
      <w:r>
        <w:rPr>
          <w:sz w:val="24"/>
          <w:szCs w:val="24"/>
          <w:spacing w:val="-2"/>
        </w:rPr>
        <w:t xml:space="preserve"> </w:t>
      </w:r>
      <w:r>
        <w:rPr>
          <w:rFonts w:ascii="SimSun" w:hAnsi="SimSun" w:eastAsia="SimSun" w:cs="SimSun"/>
          <w:sz w:val="24"/>
          <w:szCs w:val="24"/>
          <w:spacing w:val="-2"/>
        </w:rPr>
        <w:t>(hERG)、</w:t>
      </w:r>
      <w:r>
        <w:rPr>
          <w:rFonts w:ascii="SimSun" w:hAnsi="SimSun" w:eastAsia="SimSun" w:cs="SimSun"/>
          <w:sz w:val="24"/>
          <w:szCs w:val="24"/>
          <w:spacing w:val="52"/>
        </w:rPr>
        <w:t xml:space="preserve"> </w:t>
      </w:r>
      <w:r>
        <w:rPr>
          <w:sz w:val="24"/>
          <w:szCs w:val="24"/>
          <w:spacing w:val="-2"/>
        </w:rPr>
        <w:t>代谢预</w:t>
      </w:r>
      <w:r>
        <w:rPr>
          <w:sz w:val="24"/>
          <w:szCs w:val="24"/>
          <w:spacing w:val="-3"/>
        </w:rPr>
        <w:t>测上超</w:t>
      </w:r>
      <w:r>
        <w:rPr>
          <w:sz w:val="24"/>
          <w:szCs w:val="24"/>
        </w:rPr>
        <w:t xml:space="preserve"> </w:t>
      </w:r>
      <w:r>
        <w:rPr>
          <w:sz w:val="24"/>
          <w:szCs w:val="24"/>
          <w:spacing w:val="-1"/>
        </w:rPr>
        <w:t>越传统</w:t>
      </w:r>
      <w:r>
        <w:rPr>
          <w:rFonts w:ascii="Arial" w:hAnsi="Arial" w:eastAsia="Arial" w:cs="Arial"/>
          <w:sz w:val="24"/>
          <w:szCs w:val="24"/>
          <w:spacing w:val="-1"/>
        </w:rPr>
        <w:t>QSPR;2025   </w:t>
      </w:r>
      <w:r>
        <w:rPr>
          <w:sz w:val="24"/>
          <w:szCs w:val="24"/>
          <w:spacing w:val="-1"/>
        </w:rPr>
        <w:t>年多篇综述显示解释性</w:t>
      </w:r>
      <w:r>
        <w:rPr>
          <w:rFonts w:ascii="Arial" w:hAnsi="Arial" w:eastAsia="Arial" w:cs="Arial"/>
          <w:sz w:val="24"/>
          <w:szCs w:val="24"/>
          <w:spacing w:val="-1"/>
        </w:rPr>
        <w:t>GNN  </w:t>
      </w:r>
      <w:r>
        <w:rPr>
          <w:sz w:val="24"/>
          <w:szCs w:val="24"/>
          <w:spacing w:val="-1"/>
        </w:rPr>
        <w:t>(</w:t>
      </w:r>
      <w:r>
        <w:rPr>
          <w:sz w:val="24"/>
          <w:szCs w:val="24"/>
          <w:spacing w:val="-44"/>
        </w:rPr>
        <w:t xml:space="preserve"> </w:t>
      </w:r>
      <w:r>
        <w:rPr>
          <w:sz w:val="24"/>
          <w:szCs w:val="24"/>
          <w:spacing w:val="-1"/>
        </w:rPr>
        <w:t>如</w:t>
      </w:r>
      <w:r>
        <w:rPr>
          <w:rFonts w:ascii="Arial" w:hAnsi="Arial" w:eastAsia="Arial" w:cs="Arial"/>
          <w:sz w:val="24"/>
          <w:szCs w:val="24"/>
          <w:spacing w:val="-1"/>
        </w:rPr>
        <w:t>hERGAT</w:t>
      </w:r>
      <w:r>
        <w:rPr>
          <w:rFonts w:ascii="SimSun" w:hAnsi="SimSun" w:eastAsia="SimSun" w:cs="SimSun"/>
          <w:sz w:val="24"/>
          <w:szCs w:val="24"/>
          <w:spacing w:val="-1"/>
        </w:rPr>
        <w:t>、</w:t>
      </w:r>
      <w:r>
        <w:rPr>
          <w:rFonts w:ascii="Arial" w:hAnsi="Arial" w:eastAsia="Arial" w:cs="Arial"/>
          <w:sz w:val="24"/>
          <w:szCs w:val="24"/>
          <w:spacing w:val="-1"/>
        </w:rPr>
        <w:t>AttenhERG)  </w:t>
      </w:r>
      <w:r>
        <w:rPr>
          <w:sz w:val="24"/>
          <w:szCs w:val="24"/>
          <w:spacing w:val="-1"/>
        </w:rPr>
        <w:t>通过</w:t>
      </w:r>
    </w:p>
    <w:p>
      <w:pPr>
        <w:pStyle w:val="BodyText"/>
        <w:ind w:left="500"/>
        <w:spacing w:before="159" w:line="222" w:lineRule="auto"/>
        <w:rPr>
          <w:sz w:val="24"/>
          <w:szCs w:val="24"/>
        </w:rPr>
      </w:pPr>
      <w:r>
        <w:rPr>
          <w:rFonts w:ascii="SimSun" w:hAnsi="SimSun" w:eastAsia="SimSun" w:cs="SimSun"/>
          <w:sz w:val="24"/>
          <w:szCs w:val="24"/>
          <w:spacing w:val="-5"/>
        </w:rPr>
        <w:t>attention</w:t>
      </w:r>
      <w:r>
        <w:rPr>
          <w:sz w:val="24"/>
          <w:szCs w:val="24"/>
          <w:spacing w:val="-5"/>
        </w:rPr>
        <w:t>可视化子结构贡献。</w:t>
      </w:r>
    </w:p>
    <w:p>
      <w:pPr>
        <w:pStyle w:val="BodyText"/>
        <w:ind w:left="499" w:right="414" w:hanging="130"/>
        <w:spacing w:before="235" w:line="272" w:lineRule="auto"/>
        <w:rPr>
          <w:sz w:val="24"/>
          <w:szCs w:val="24"/>
        </w:rPr>
      </w:pPr>
      <w:r>
        <w:rPr>
          <w:sz w:val="24"/>
          <w:szCs w:val="24"/>
          <w:spacing w:val="-3"/>
        </w:rPr>
        <w:t>·药物-药物/靶点相互作用：</w:t>
      </w:r>
      <w:r>
        <w:rPr>
          <w:rFonts w:ascii="Times New Roman" w:hAnsi="Times New Roman" w:eastAsia="Times New Roman" w:cs="Times New Roman"/>
          <w:sz w:val="24"/>
          <w:szCs w:val="24"/>
          <w:spacing w:val="-3"/>
        </w:rPr>
        <w:t>KGANSynergy</w:t>
      </w:r>
      <w:r>
        <w:rPr>
          <w:rFonts w:ascii="Times New Roman" w:hAnsi="Times New Roman" w:eastAsia="Times New Roman" w:cs="Times New Roman"/>
          <w:sz w:val="24"/>
          <w:szCs w:val="24"/>
          <w:spacing w:val="-34"/>
        </w:rPr>
        <w:t xml:space="preserve"> </w:t>
      </w:r>
      <w:r>
        <w:rPr>
          <w:rFonts w:ascii="SimSun" w:hAnsi="SimSun" w:eastAsia="SimSun" w:cs="SimSun"/>
          <w:sz w:val="24"/>
          <w:szCs w:val="24"/>
          <w:spacing w:val="-3"/>
        </w:rPr>
        <w:t>、</w:t>
      </w:r>
      <w:r>
        <w:rPr>
          <w:rFonts w:ascii="Times New Roman" w:hAnsi="Times New Roman" w:eastAsia="Times New Roman" w:cs="Times New Roman"/>
          <w:sz w:val="24"/>
          <w:szCs w:val="24"/>
          <w:spacing w:val="-3"/>
        </w:rPr>
        <w:t>DrugBERT</w:t>
      </w:r>
      <w:r>
        <w:rPr>
          <w:rFonts w:ascii="Times New Roman" w:hAnsi="Times New Roman" w:eastAsia="Times New Roman" w:cs="Times New Roman"/>
          <w:sz w:val="24"/>
          <w:szCs w:val="24"/>
          <w:spacing w:val="28"/>
        </w:rPr>
        <w:t xml:space="preserve">  </w:t>
      </w:r>
      <w:r>
        <w:rPr>
          <w:sz w:val="24"/>
          <w:szCs w:val="24"/>
          <w:spacing w:val="-3"/>
        </w:rPr>
        <w:t>等</w:t>
      </w:r>
      <w:r>
        <w:rPr>
          <w:sz w:val="24"/>
          <w:szCs w:val="24"/>
          <w:spacing w:val="-4"/>
        </w:rPr>
        <w:t>利用知识图谱+</w:t>
      </w:r>
      <w:r>
        <w:rPr>
          <w:rFonts w:ascii="Times New Roman" w:hAnsi="Times New Roman" w:eastAsia="Times New Roman" w:cs="Times New Roman"/>
          <w:sz w:val="24"/>
          <w:szCs w:val="24"/>
          <w:spacing w:val="-4"/>
        </w:rPr>
        <w:t>LLM</w:t>
      </w:r>
      <w:r>
        <w:rPr>
          <w:sz w:val="24"/>
          <w:szCs w:val="24"/>
          <w:spacing w:val="-4"/>
        </w:rPr>
        <w:t>预测</w:t>
      </w:r>
      <w:r>
        <w:rPr>
          <w:rFonts w:ascii="Times New Roman" w:hAnsi="Times New Roman" w:eastAsia="Times New Roman" w:cs="Times New Roman"/>
          <w:sz w:val="24"/>
          <w:szCs w:val="24"/>
          <w:spacing w:val="-4"/>
        </w:rPr>
        <w:t>DDI</w:t>
      </w:r>
      <w:r>
        <w:rPr>
          <w:rFonts w:ascii="SimSun" w:hAnsi="SimSun" w:eastAsia="SimSun" w:cs="SimSun"/>
          <w:sz w:val="24"/>
          <w:szCs w:val="24"/>
          <w:spacing w:val="-4"/>
        </w:rPr>
        <w:t>、</w:t>
      </w:r>
      <w:r>
        <w:rPr>
          <w:rFonts w:ascii="SimSun" w:hAnsi="SimSun" w:eastAsia="SimSun" w:cs="SimSun"/>
          <w:sz w:val="24"/>
          <w:szCs w:val="24"/>
        </w:rPr>
        <w:t xml:space="preserve"> </w:t>
      </w:r>
      <w:r>
        <w:rPr>
          <w:rFonts w:ascii="Times New Roman" w:hAnsi="Times New Roman" w:eastAsia="Times New Roman" w:cs="Times New Roman"/>
          <w:sz w:val="24"/>
          <w:szCs w:val="24"/>
          <w:spacing w:val="-2"/>
        </w:rPr>
        <w:t>DDSI,</w:t>
      </w:r>
      <w:r>
        <w:rPr>
          <w:rFonts w:ascii="Times New Roman" w:hAnsi="Times New Roman" w:eastAsia="Times New Roman" w:cs="Times New Roman"/>
          <w:sz w:val="24"/>
          <w:szCs w:val="24"/>
          <w:spacing w:val="32"/>
        </w:rPr>
        <w:t xml:space="preserve">  </w:t>
      </w:r>
      <w:r>
        <w:rPr>
          <w:sz w:val="24"/>
          <w:szCs w:val="24"/>
          <w:spacing w:val="-2"/>
        </w:rPr>
        <w:t>准确率显著高于传统方法。</w:t>
      </w:r>
    </w:p>
    <w:p>
      <w:pPr>
        <w:pStyle w:val="BodyText"/>
        <w:ind w:left="499" w:hanging="130"/>
        <w:spacing w:before="253" w:line="291" w:lineRule="auto"/>
        <w:rPr>
          <w:sz w:val="24"/>
          <w:szCs w:val="24"/>
        </w:rPr>
      </w:pPr>
      <w:r>
        <w:rPr>
          <w:sz w:val="24"/>
          <w:szCs w:val="24"/>
          <w:spacing w:val="-2"/>
        </w:rPr>
        <w:t>·细胞/组织/通路响应模拟：</w:t>
      </w:r>
      <w:r>
        <w:rPr>
          <w:rFonts w:ascii="SimSun" w:hAnsi="SimSun" w:eastAsia="SimSun" w:cs="SimSun"/>
          <w:sz w:val="24"/>
          <w:szCs w:val="24"/>
          <w:spacing w:val="-2"/>
        </w:rPr>
        <w:t>DrugCell-GNN、Madrigal  </w:t>
      </w:r>
      <w:r>
        <w:rPr>
          <w:sz w:val="24"/>
          <w:szCs w:val="24"/>
          <w:spacing w:val="-2"/>
        </w:rPr>
        <w:t>整合转录组+药物图预测</w:t>
      </w:r>
      <w:r>
        <w:rPr>
          <w:sz w:val="24"/>
          <w:szCs w:val="24"/>
          <w:spacing w:val="-3"/>
        </w:rPr>
        <w:t>细胞活力、协</w:t>
      </w:r>
      <w:r>
        <w:rPr>
          <w:sz w:val="24"/>
          <w:szCs w:val="24"/>
        </w:rPr>
        <w:t xml:space="preserve"> </w:t>
      </w:r>
      <w:r>
        <w:rPr>
          <w:sz w:val="24"/>
          <w:szCs w:val="24"/>
        </w:rPr>
        <w:t>同效应；虚拟细胞模型</w:t>
      </w:r>
      <w:r>
        <w:rPr>
          <w:sz w:val="24"/>
          <w:szCs w:val="24"/>
        </w:rPr>
        <w:t xml:space="preserve"> </w:t>
      </w:r>
      <w:r>
        <w:rPr>
          <w:rFonts w:ascii="SimSun" w:hAnsi="SimSun" w:eastAsia="SimSun" w:cs="SimSun"/>
          <w:sz w:val="24"/>
          <w:szCs w:val="24"/>
        </w:rPr>
        <w:t>(UNAGI、scDiffusion、PINNACLE)    </w:t>
      </w:r>
      <w:r>
        <w:rPr>
          <w:sz w:val="24"/>
          <w:szCs w:val="24"/>
        </w:rPr>
        <w:t>可模拟单细胞扰动响应及空间</w:t>
      </w:r>
      <w:r>
        <w:rPr>
          <w:sz w:val="24"/>
          <w:szCs w:val="24"/>
          <w:spacing w:val="11"/>
        </w:rPr>
        <w:t xml:space="preserve"> </w:t>
      </w:r>
      <w:r>
        <w:rPr>
          <w:sz w:val="24"/>
          <w:szCs w:val="24"/>
          <w:spacing w:val="-4"/>
        </w:rPr>
        <w:t>异质性。</w:t>
      </w:r>
    </w:p>
    <w:p>
      <w:pPr>
        <w:pStyle w:val="BodyText"/>
        <w:ind w:left="499" w:right="487" w:hanging="130"/>
        <w:spacing w:before="270" w:line="268" w:lineRule="auto"/>
        <w:rPr>
          <w:sz w:val="24"/>
          <w:szCs w:val="24"/>
        </w:rPr>
      </w:pPr>
      <w:r>
        <w:rPr>
          <w:sz w:val="24"/>
          <w:szCs w:val="24"/>
        </w:rPr>
        <w:t>·</w:t>
      </w:r>
      <w:r>
        <w:rPr>
          <w:sz w:val="24"/>
          <w:szCs w:val="24"/>
          <w:spacing w:val="-98"/>
        </w:rPr>
        <w:t xml:space="preserve"> </w:t>
      </w:r>
      <w:r>
        <w:rPr>
          <w:sz w:val="24"/>
          <w:szCs w:val="24"/>
        </w:rPr>
        <w:t>临床结局预测：少数多模态模型(如</w:t>
      </w:r>
      <w:r>
        <w:rPr>
          <w:rFonts w:ascii="SimSun" w:hAnsi="SimSun" w:eastAsia="SimSun" w:cs="SimSun"/>
          <w:sz w:val="24"/>
          <w:szCs w:val="24"/>
        </w:rPr>
        <w:t>Madrigal) </w:t>
      </w:r>
      <w:r>
        <w:rPr>
          <w:sz w:val="24"/>
          <w:szCs w:val="24"/>
        </w:rPr>
        <w:t>从临床前数据预测953种临</w:t>
      </w:r>
      <w:r>
        <w:rPr>
          <w:sz w:val="24"/>
          <w:szCs w:val="24"/>
          <w:spacing w:val="-1"/>
        </w:rPr>
        <w:t>床结局；</w:t>
      </w:r>
      <w:r>
        <w:rPr>
          <w:sz w:val="24"/>
          <w:szCs w:val="24"/>
          <w:spacing w:val="-1"/>
        </w:rPr>
        <w:t xml:space="preserve"> </w:t>
      </w:r>
      <w:r>
        <w:rPr>
          <w:rFonts w:ascii="SimSun" w:hAnsi="SimSun" w:eastAsia="SimSun" w:cs="SimSun"/>
          <w:sz w:val="24"/>
          <w:szCs w:val="24"/>
          <w:spacing w:val="-1"/>
        </w:rPr>
        <w:t>DT-</w:t>
      </w:r>
      <w:r>
        <w:rPr>
          <w:rFonts w:ascii="SimSun" w:hAnsi="SimSun" w:eastAsia="SimSun" w:cs="SimSun"/>
          <w:sz w:val="24"/>
          <w:szCs w:val="24"/>
        </w:rPr>
        <w:t xml:space="preserve"> </w:t>
      </w:r>
      <w:r>
        <w:rPr>
          <w:rFonts w:ascii="SimSun" w:hAnsi="SimSun" w:eastAsia="SimSun" w:cs="SimSun"/>
          <w:sz w:val="24"/>
          <w:szCs w:val="24"/>
          <w:spacing w:val="-2"/>
        </w:rPr>
        <w:t>GPT </w:t>
      </w:r>
      <w:r>
        <w:rPr>
          <w:sz w:val="24"/>
          <w:szCs w:val="24"/>
          <w:spacing w:val="-2"/>
        </w:rPr>
        <w:t>等尝试用</w:t>
      </w:r>
      <w:r>
        <w:rPr>
          <w:rFonts w:ascii="SimSun" w:hAnsi="SimSun" w:eastAsia="SimSun" w:cs="SimSun"/>
          <w:sz w:val="24"/>
          <w:szCs w:val="24"/>
          <w:spacing w:val="-2"/>
        </w:rPr>
        <w:t>EHR </w:t>
      </w:r>
      <w:r>
        <w:rPr>
          <w:sz w:val="24"/>
          <w:szCs w:val="24"/>
          <w:spacing w:val="-2"/>
        </w:rPr>
        <w:t>创建患者数字孪生预测个体响应。</w:t>
      </w:r>
    </w:p>
    <w:p>
      <w:pPr>
        <w:spacing w:line="243" w:lineRule="auto"/>
        <w:rPr>
          <w:rFonts w:ascii="Arial"/>
          <w:sz w:val="21"/>
        </w:rPr>
      </w:pPr>
      <w:r/>
    </w:p>
    <w:p>
      <w:pPr>
        <w:pStyle w:val="BodyText"/>
        <w:ind w:right="62"/>
        <w:spacing w:before="79" w:line="312" w:lineRule="auto"/>
        <w:rPr>
          <w:sz w:val="24"/>
          <w:szCs w:val="24"/>
        </w:rPr>
      </w:pPr>
      <w:r>
        <w:rPr>
          <w:sz w:val="24"/>
          <w:szCs w:val="24"/>
          <w:spacing w:val="2"/>
        </w:rPr>
        <w:t>系统性评估能力：大模型通过多源融合(分子+组学+文献+</w:t>
      </w:r>
      <w:r>
        <w:rPr>
          <w:rFonts w:ascii="SimSun" w:hAnsi="SimSun" w:eastAsia="SimSun" w:cs="SimSun"/>
          <w:sz w:val="24"/>
          <w:szCs w:val="24"/>
        </w:rPr>
        <w:t>EHR</w:t>
      </w:r>
      <w:r>
        <w:rPr>
          <w:rFonts w:ascii="SimSun" w:hAnsi="SimSun" w:eastAsia="SimSun" w:cs="SimSun"/>
          <w:sz w:val="24"/>
          <w:szCs w:val="24"/>
          <w:spacing w:val="2"/>
        </w:rPr>
        <w:t>)</w:t>
      </w:r>
      <w:r>
        <w:rPr>
          <w:rFonts w:ascii="SimSun" w:hAnsi="SimSun" w:eastAsia="SimSun" w:cs="SimSun"/>
          <w:sz w:val="24"/>
          <w:szCs w:val="24"/>
          <w:spacing w:val="124"/>
        </w:rPr>
        <w:t xml:space="preserve"> </w:t>
      </w:r>
      <w:r>
        <w:rPr>
          <w:sz w:val="24"/>
          <w:szCs w:val="24"/>
          <w:spacing w:val="2"/>
        </w:rPr>
        <w:t>可实现比单一组学更全面的“虚</w:t>
      </w:r>
      <w:r>
        <w:rPr>
          <w:sz w:val="24"/>
          <w:szCs w:val="24"/>
        </w:rPr>
        <w:t xml:space="preserve"> </w:t>
      </w:r>
      <w:r>
        <w:rPr>
          <w:sz w:val="24"/>
          <w:szCs w:val="24"/>
          <w:spacing w:val="-4"/>
        </w:rPr>
        <w:t>拟人体”效应模拟，尤其在药物组合、毒性机制、通路级扰动传播方面表现出色。</w:t>
      </w:r>
    </w:p>
    <w:p>
      <w:pPr>
        <w:pStyle w:val="BodyText"/>
        <w:ind w:right="103"/>
        <w:spacing w:before="148" w:line="314" w:lineRule="auto"/>
        <w:jc w:val="both"/>
        <w:rPr>
          <w:sz w:val="24"/>
          <w:szCs w:val="24"/>
        </w:rPr>
      </w:pPr>
      <w:r>
        <w:rPr>
          <w:sz w:val="24"/>
          <w:szCs w:val="24"/>
        </w:rPr>
        <w:t>个体异质性：进展显著但仍有限。</w:t>
      </w:r>
      <w:r>
        <w:rPr>
          <w:rFonts w:ascii="SimSun" w:hAnsi="SimSun" w:eastAsia="SimSun" w:cs="SimSun"/>
          <w:sz w:val="24"/>
          <w:szCs w:val="24"/>
        </w:rPr>
        <w:t>scGPT、</w:t>
      </w:r>
      <w:r>
        <w:rPr>
          <w:rFonts w:ascii="SimSun" w:hAnsi="SimSun" w:eastAsia="SimSun" w:cs="SimSun"/>
          <w:sz w:val="24"/>
          <w:szCs w:val="24"/>
          <w:spacing w:val="-1"/>
        </w:rPr>
        <w:t>Geneformer</w:t>
      </w:r>
      <w:r>
        <w:rPr>
          <w:rFonts w:ascii="SimSun" w:hAnsi="SimSun" w:eastAsia="SimSun" w:cs="SimSun"/>
          <w:sz w:val="24"/>
          <w:szCs w:val="24"/>
          <w:spacing w:val="40"/>
        </w:rPr>
        <w:t xml:space="preserve">  </w:t>
      </w:r>
      <w:r>
        <w:rPr>
          <w:sz w:val="24"/>
          <w:szCs w:val="24"/>
          <w:spacing w:val="-1"/>
        </w:rPr>
        <w:t>等单细胞基础模型可</w:t>
      </w:r>
      <w:r>
        <w:rPr>
          <w:rFonts w:ascii="SimSun" w:hAnsi="SimSun" w:eastAsia="SimSun" w:cs="SimSun"/>
          <w:sz w:val="24"/>
          <w:szCs w:val="24"/>
          <w:spacing w:val="-1"/>
        </w:rPr>
        <w:t>fine-tune</w:t>
      </w:r>
      <w:r>
        <w:rPr>
          <w:sz w:val="24"/>
          <w:szCs w:val="24"/>
          <w:spacing w:val="-1"/>
        </w:rPr>
        <w:t>于患者特</w:t>
      </w:r>
      <w:r>
        <w:rPr>
          <w:sz w:val="24"/>
          <w:szCs w:val="24"/>
        </w:rPr>
        <w:t xml:space="preserve"> </w:t>
      </w:r>
      <w:r>
        <w:rPr>
          <w:sz w:val="24"/>
          <w:szCs w:val="24"/>
          <w:spacing w:val="2"/>
        </w:rPr>
        <w:t>异性组学数据预测药物敏感性；</w:t>
      </w:r>
      <w:r>
        <w:rPr>
          <w:rFonts w:ascii="Times New Roman" w:hAnsi="Times New Roman" w:eastAsia="Times New Roman" w:cs="Times New Roman"/>
          <w:sz w:val="24"/>
          <w:szCs w:val="24"/>
        </w:rPr>
        <w:t>DrugFormer</w:t>
      </w:r>
      <w:r>
        <w:rPr>
          <w:rFonts w:ascii="Times New Roman" w:hAnsi="Times New Roman" w:eastAsia="Times New Roman" w:cs="Times New Roman"/>
          <w:sz w:val="24"/>
          <w:szCs w:val="24"/>
          <w:spacing w:val="-35"/>
        </w:rPr>
        <w:t xml:space="preserve"> </w:t>
      </w:r>
      <w:r>
        <w:rPr>
          <w:rFonts w:ascii="SimSun" w:hAnsi="SimSun" w:eastAsia="SimSun" w:cs="SimSun"/>
          <w:sz w:val="24"/>
          <w:szCs w:val="24"/>
          <w:spacing w:val="2"/>
        </w:rPr>
        <w:t>、</w:t>
      </w:r>
      <w:r>
        <w:rPr>
          <w:rFonts w:ascii="Times New Roman" w:hAnsi="Times New Roman" w:eastAsia="Times New Roman" w:cs="Times New Roman"/>
          <w:sz w:val="24"/>
          <w:szCs w:val="24"/>
        </w:rPr>
        <w:t>SensitiveCancerGPT</w:t>
      </w:r>
      <w:r>
        <w:rPr>
          <w:rFonts w:ascii="Times New Roman" w:hAnsi="Times New Roman" w:eastAsia="Times New Roman" w:cs="Times New Roman"/>
          <w:sz w:val="24"/>
          <w:szCs w:val="24"/>
          <w:spacing w:val="2"/>
        </w:rPr>
        <w:t xml:space="preserve">       </w:t>
      </w:r>
      <w:r>
        <w:rPr>
          <w:sz w:val="24"/>
          <w:szCs w:val="24"/>
          <w:spacing w:val="2"/>
        </w:rPr>
        <w:t>利用患者基</w:t>
      </w:r>
      <w:r>
        <w:rPr>
          <w:sz w:val="24"/>
          <w:szCs w:val="24"/>
          <w:spacing w:val="1"/>
        </w:rPr>
        <w:t>因组+药物嵌入</w:t>
      </w:r>
      <w:r>
        <w:rPr>
          <w:sz w:val="24"/>
          <w:szCs w:val="24"/>
        </w:rPr>
        <w:t xml:space="preserve"> </w:t>
      </w:r>
      <w:r>
        <w:rPr>
          <w:sz w:val="24"/>
          <w:szCs w:val="24"/>
        </w:rPr>
        <w:t>预测个体化响应；</w:t>
      </w:r>
      <w:r>
        <w:rPr>
          <w:rFonts w:ascii="SimSun" w:hAnsi="SimSun" w:eastAsia="SimSun" w:cs="SimSun"/>
          <w:sz w:val="24"/>
          <w:szCs w:val="24"/>
        </w:rPr>
        <w:t>DT-GPT</w:t>
      </w:r>
      <w:r>
        <w:rPr>
          <w:rFonts w:ascii="SimSun" w:hAnsi="SimSun" w:eastAsia="SimSun" w:cs="SimSun"/>
          <w:sz w:val="24"/>
          <w:szCs w:val="24"/>
          <w:spacing w:val="93"/>
        </w:rPr>
        <w:t xml:space="preserve"> </w:t>
      </w:r>
      <w:r>
        <w:rPr>
          <w:sz w:val="24"/>
          <w:szCs w:val="24"/>
        </w:rPr>
        <w:t>结合</w:t>
      </w:r>
      <w:r>
        <w:rPr>
          <w:rFonts w:ascii="SimSun" w:hAnsi="SimSun" w:eastAsia="SimSun" w:cs="SimSun"/>
          <w:sz w:val="24"/>
          <w:szCs w:val="24"/>
        </w:rPr>
        <w:t>EHR </w:t>
      </w:r>
      <w:r>
        <w:rPr>
          <w:sz w:val="24"/>
          <w:szCs w:val="24"/>
        </w:rPr>
        <w:t>构建患者数字孪生。但目前多局限于癌症细胞系，真实患者</w:t>
      </w:r>
      <w:r>
        <w:rPr>
          <w:sz w:val="24"/>
          <w:szCs w:val="24"/>
        </w:rPr>
        <w:t xml:space="preserve"> </w:t>
      </w:r>
      <w:r>
        <w:rPr>
          <w:sz w:val="24"/>
          <w:szCs w:val="24"/>
          <w:spacing w:val="-3"/>
        </w:rPr>
        <w:t>水平预测仍面临数据稀疏与泛化难题。</w:t>
      </w:r>
    </w:p>
    <w:p>
      <w:pPr>
        <w:spacing w:line="479" w:lineRule="auto"/>
        <w:rPr>
          <w:rFonts w:ascii="Arial"/>
          <w:sz w:val="21"/>
        </w:rPr>
      </w:pPr>
      <w:r/>
    </w:p>
    <w:p>
      <w:pPr>
        <w:pStyle w:val="BodyText"/>
        <w:ind w:left="5"/>
        <w:spacing w:before="117" w:line="222" w:lineRule="auto"/>
        <w:outlineLvl w:val="1"/>
        <w:rPr>
          <w:sz w:val="36"/>
          <w:szCs w:val="36"/>
        </w:rPr>
      </w:pPr>
      <w:r>
        <w:rPr>
          <w:rFonts w:ascii="SimSun" w:hAnsi="SimSun" w:eastAsia="SimSun" w:cs="SimSun"/>
          <w:sz w:val="36"/>
          <w:szCs w:val="36"/>
          <w:b/>
          <w:bCs/>
          <w:spacing w:val="-1"/>
        </w:rPr>
        <w:t>6.</w:t>
      </w:r>
      <w:r>
        <w:rPr>
          <w:sz w:val="36"/>
          <w:szCs w:val="36"/>
          <w:b/>
          <w:bCs/>
          <w:spacing w:val="-1"/>
        </w:rPr>
        <w:t>当前主要局限与挑战</w:t>
      </w:r>
    </w:p>
    <w:p>
      <w:pPr>
        <w:pStyle w:val="BodyText"/>
        <w:spacing w:before="205" w:line="213" w:lineRule="auto"/>
        <w:rPr>
          <w:sz w:val="24"/>
          <w:szCs w:val="24"/>
        </w:rPr>
      </w:pPr>
      <w:r>
        <w:rPr>
          <w:sz w:val="24"/>
          <w:szCs w:val="24"/>
          <w:spacing w:val="-1"/>
        </w:rPr>
        <w:t>尽管进展迅速，大模型在系统性药物评估上仍面临多重瓶颈：</w:t>
      </w:r>
    </w:p>
    <w:p>
      <w:pPr>
        <w:spacing w:line="213" w:lineRule="auto"/>
        <w:sectPr>
          <w:pgSz w:w="12240" w:h="15840"/>
          <w:pgMar w:top="1211" w:right="1027" w:bottom="0" w:left="980" w:header="0" w:footer="0" w:gutter="0"/>
        </w:sectPr>
        <w:rPr>
          <w:sz w:val="24"/>
          <w:szCs w:val="24"/>
        </w:rPr>
      </w:pPr>
    </w:p>
    <w:p>
      <w:pPr>
        <w:pStyle w:val="BodyText"/>
        <w:ind w:left="679" w:right="290" w:hanging="310"/>
        <w:spacing w:before="47" w:line="288" w:lineRule="auto"/>
        <w:rPr/>
      </w:pPr>
      <w:r>
        <w:rPr>
          <w:spacing w:val="7"/>
        </w:rPr>
        <w:t>·</w:t>
      </w:r>
      <w:r>
        <w:rPr>
          <w:spacing w:val="-95"/>
        </w:rPr>
        <w:t xml:space="preserve"> </w:t>
      </w:r>
      <w:r>
        <w:rPr>
          <w:spacing w:val="7"/>
        </w:rPr>
        <w:t>数据依赖与质量：高度依赖高质量标注数据，生物学数据噪声大、批次效应强、标</w:t>
      </w:r>
      <w:r>
        <w:rPr>
          <w:spacing w:val="6"/>
        </w:rPr>
        <w:t>注稀疏</w:t>
      </w:r>
      <w:r>
        <w:rPr/>
        <w:t xml:space="preserve"> </w:t>
      </w:r>
      <w:r>
        <w:rPr/>
        <w:t>(尤其临床结局)。</w:t>
      </w:r>
    </w:p>
    <w:p>
      <w:pPr>
        <w:pStyle w:val="BodyText"/>
        <w:ind w:left="509" w:right="47" w:hanging="136"/>
        <w:spacing w:before="248" w:line="285" w:lineRule="auto"/>
        <w:rPr/>
      </w:pPr>
      <w:r>
        <w:rPr>
          <w:b/>
          <w:bCs/>
          <w:spacing w:val="6"/>
        </w:rPr>
        <w:t>·</w:t>
      </w:r>
      <w:r>
        <w:rPr>
          <w:spacing w:val="-82"/>
        </w:rPr>
        <w:t xml:space="preserve"> </w:t>
      </w:r>
      <w:r>
        <w:rPr>
          <w:b/>
          <w:bCs/>
          <w:spacing w:val="6"/>
        </w:rPr>
        <w:t>可解释性差：</w:t>
      </w:r>
      <w:r>
        <w:rPr>
          <w:spacing w:val="6"/>
        </w:rPr>
        <w:t>黑箱特性使机制难以追溯，监管机构(如</w:t>
      </w:r>
      <w:r>
        <w:rPr>
          <w:rFonts w:ascii="Times New Roman" w:hAnsi="Times New Roman" w:eastAsia="Times New Roman" w:cs="Times New Roman"/>
        </w:rPr>
        <w:t>FDA</w:t>
      </w:r>
      <w:r>
        <w:rPr>
          <w:rFonts w:ascii="Times New Roman" w:hAnsi="Times New Roman" w:eastAsia="Times New Roman" w:cs="Times New Roman"/>
          <w:spacing w:val="6"/>
        </w:rPr>
        <w:t>)</w:t>
      </w:r>
      <w:r>
        <w:rPr>
          <w:rFonts w:ascii="Times New Roman" w:hAnsi="Times New Roman" w:eastAsia="Times New Roman" w:cs="Times New Roman"/>
          <w:spacing w:val="1"/>
        </w:rPr>
        <w:t xml:space="preserve">   </w:t>
      </w:r>
      <w:r>
        <w:rPr>
          <w:spacing w:val="6"/>
        </w:rPr>
        <w:t>对</w:t>
      </w:r>
      <w:r>
        <w:rPr>
          <w:rFonts w:ascii="Times New Roman" w:hAnsi="Times New Roman" w:eastAsia="Times New Roman" w:cs="Times New Roman"/>
          <w:spacing w:val="6"/>
        </w:rPr>
        <w:t>“</w:t>
      </w:r>
      <w:r>
        <w:rPr>
          <w:rFonts w:ascii="Times New Roman" w:hAnsi="Times New Roman" w:eastAsia="Times New Roman" w:cs="Times New Roman"/>
        </w:rPr>
        <w:t>AI</w:t>
      </w:r>
      <w:r>
        <w:rPr>
          <w:spacing w:val="6"/>
        </w:rPr>
        <w:t>黑箱”在临床决策中的应</w:t>
      </w:r>
      <w:r>
        <w:rPr>
          <w:spacing w:val="1"/>
        </w:rPr>
        <w:t xml:space="preserve"> </w:t>
      </w:r>
      <w:r>
        <w:rPr>
          <w:spacing w:val="7"/>
        </w:rPr>
        <w:t>用持谨慎态度。</w:t>
      </w:r>
    </w:p>
    <w:p>
      <w:pPr>
        <w:pStyle w:val="BodyText"/>
        <w:ind w:left="509" w:hanging="136"/>
        <w:spacing w:before="260" w:line="282" w:lineRule="auto"/>
        <w:rPr/>
      </w:pPr>
      <w:r>
        <w:rPr>
          <w:b/>
          <w:bCs/>
          <w:spacing w:val="6"/>
        </w:rPr>
        <w:t>·</w:t>
      </w:r>
      <w:r>
        <w:rPr>
          <w:spacing w:val="-92"/>
        </w:rPr>
        <w:t xml:space="preserve"> </w:t>
      </w:r>
      <w:r>
        <w:rPr>
          <w:b/>
          <w:bCs/>
          <w:spacing w:val="6"/>
        </w:rPr>
        <w:t>计算成本与可扩展性：</w:t>
      </w:r>
      <w:r>
        <w:rPr>
          <w:spacing w:val="-44"/>
        </w:rPr>
        <w:t xml:space="preserve"> </w:t>
      </w:r>
      <w:r>
        <w:rPr>
          <w:spacing w:val="6"/>
        </w:rPr>
        <w:t>训练多模态大模型需海量</w:t>
      </w:r>
      <w:r>
        <w:rPr>
          <w:rFonts w:ascii="Times New Roman" w:hAnsi="Times New Roman" w:eastAsia="Times New Roman" w:cs="Times New Roman"/>
        </w:rPr>
        <w:t>GPU</w:t>
      </w:r>
      <w:r>
        <w:rPr>
          <w:rFonts w:ascii="Times New Roman" w:hAnsi="Times New Roman" w:eastAsia="Times New Roman" w:cs="Times New Roman"/>
          <w:spacing w:val="6"/>
        </w:rPr>
        <w:t>, </w:t>
      </w:r>
      <w:r>
        <w:rPr>
          <w:rFonts w:ascii="Times New Roman" w:hAnsi="Times New Roman" w:eastAsia="Times New Roman" w:cs="Times New Roman"/>
          <w:spacing w:val="5"/>
        </w:rPr>
        <w:t xml:space="preserve">  </w:t>
      </w:r>
      <w:r>
        <w:rPr>
          <w:spacing w:val="5"/>
        </w:rPr>
        <w:t>推理时对大规模患者组学数据模拟成</w:t>
      </w:r>
      <w:r>
        <w:rPr/>
        <w:t xml:space="preserve"> </w:t>
      </w:r>
      <w:r>
        <w:rPr>
          <w:spacing w:val="1"/>
        </w:rPr>
        <w:t>本高昂。</w:t>
      </w:r>
    </w:p>
    <w:p>
      <w:pPr>
        <w:pStyle w:val="BodyText"/>
        <w:ind w:left="509" w:right="149" w:hanging="140"/>
        <w:spacing w:before="249" w:line="288" w:lineRule="auto"/>
        <w:rPr/>
      </w:pPr>
      <w:r>
        <w:rPr>
          <w:spacing w:val="5"/>
        </w:rPr>
        <w:t>·</w:t>
      </w:r>
      <w:r>
        <w:rPr>
          <w:spacing w:val="-91"/>
        </w:rPr>
        <w:t xml:space="preserve"> </w:t>
      </w:r>
      <w:r>
        <w:rPr>
          <w:spacing w:val="5"/>
        </w:rPr>
        <w:t>生物学验证困难：</w:t>
      </w:r>
      <w:r>
        <w:rPr>
          <w:spacing w:val="-60"/>
        </w:rPr>
        <w:t xml:space="preserve"> </w:t>
      </w:r>
      <w:r>
        <w:rPr>
          <w:rFonts w:ascii="Times New Roman" w:hAnsi="Times New Roman" w:eastAsia="Times New Roman" w:cs="Times New Roman"/>
        </w:rPr>
        <w:t>in</w:t>
      </w:r>
      <w:r>
        <w:rPr>
          <w:rFonts w:ascii="Times New Roman" w:hAnsi="Times New Roman" w:eastAsia="Times New Roman" w:cs="Times New Roman"/>
          <w:spacing w:val="5"/>
        </w:rPr>
        <w:t xml:space="preserve">   </w:t>
      </w:r>
      <w:r>
        <w:rPr>
          <w:rFonts w:ascii="Times New Roman" w:hAnsi="Times New Roman" w:eastAsia="Times New Roman" w:cs="Times New Roman"/>
        </w:rPr>
        <w:t>silico</w:t>
      </w:r>
      <w:r>
        <w:rPr>
          <w:spacing w:val="5"/>
        </w:rPr>
        <w:t>预测需大量湿实验验证，闭环反馈慢；许多模型在体外有效，但</w:t>
      </w:r>
      <w:r>
        <w:rPr/>
        <w:t xml:space="preserve"> </w:t>
      </w:r>
      <w:r>
        <w:rPr>
          <w:spacing w:val="5"/>
        </w:rPr>
        <w:t>体内/临床相关性仍弱。</w:t>
      </w:r>
    </w:p>
    <w:p>
      <w:pPr>
        <w:pStyle w:val="BodyText"/>
        <w:ind w:left="509" w:right="50" w:hanging="140"/>
        <w:spacing w:before="233" w:line="291" w:lineRule="auto"/>
        <w:rPr/>
      </w:pPr>
      <w:r>
        <w:rPr>
          <w:spacing w:val="12"/>
        </w:rPr>
        <w:t>·</w:t>
      </w:r>
      <w:r>
        <w:rPr>
          <w:spacing w:val="-70"/>
        </w:rPr>
        <w:t xml:space="preserve"> </w:t>
      </w:r>
      <w:r>
        <w:rPr>
          <w:spacing w:val="12"/>
        </w:rPr>
        <w:t>泛化与鲁棒性：对未见药物、罕见突变、特殊人群(儿童、孕妇、老年)泛化能力有限；分</w:t>
      </w:r>
      <w:r>
        <w:rPr/>
        <w:t xml:space="preserve"> </w:t>
      </w:r>
      <w:r>
        <w:rPr>
          <w:spacing w:val="17"/>
        </w:rPr>
        <w:t>布偏移(训练数据偏向常见癌症细胞系)导致真实世界失效。</w:t>
      </w:r>
    </w:p>
    <w:p>
      <w:pPr>
        <w:pStyle w:val="BodyText"/>
        <w:ind w:left="509" w:hanging="140"/>
        <w:spacing w:before="189" w:line="306" w:lineRule="auto"/>
        <w:rPr/>
      </w:pPr>
      <w:r>
        <w:rPr>
          <w:spacing w:val="6"/>
        </w:rPr>
        <w:t>·</w:t>
      </w:r>
      <w:r>
        <w:rPr>
          <w:spacing w:val="-89"/>
        </w:rPr>
        <w:t xml:space="preserve"> </w:t>
      </w:r>
      <w:r>
        <w:rPr>
          <w:spacing w:val="6"/>
        </w:rPr>
        <w:t>临床转化距离：目前最成熟应用仍停留在早期筛选</w:t>
      </w:r>
      <w:r>
        <w:rPr>
          <w:spacing w:val="5"/>
        </w:rPr>
        <w:t>/</w:t>
      </w:r>
      <w:r>
        <w:rPr>
          <w:rFonts w:ascii="Arial" w:hAnsi="Arial" w:eastAsia="Arial" w:cs="Arial"/>
        </w:rPr>
        <w:t>repurposing</w:t>
      </w:r>
      <w:r>
        <w:rPr>
          <w:rFonts w:ascii="Arial" w:hAnsi="Arial" w:eastAsia="Arial" w:cs="Arial"/>
          <w:spacing w:val="5"/>
        </w:rPr>
        <w:t>,     </w:t>
      </w:r>
      <w:r>
        <w:rPr>
          <w:spacing w:val="5"/>
        </w:rPr>
        <w:t>真正取代临床前动物实验</w:t>
      </w:r>
      <w:r>
        <w:rPr/>
        <w:t xml:space="preserve"> </w:t>
      </w:r>
      <w:r>
        <w:rPr>
          <w:spacing w:val="8"/>
        </w:rPr>
        <w:t>或指导个体化用药的案例极少。</w:t>
      </w:r>
    </w:p>
    <w:p>
      <w:pPr>
        <w:pStyle w:val="BodyText"/>
        <w:ind w:right="46"/>
        <w:spacing w:before="294" w:line="350" w:lineRule="auto"/>
        <w:rPr/>
      </w:pPr>
      <w:r>
        <w:rPr>
          <w:spacing w:val="8"/>
        </w:rPr>
        <w:t>这些挑战表明，现阶段大模型尚不能完全可靠地实现对药物的“系统性评估”,</w:t>
      </w:r>
      <w:r>
        <w:rPr>
          <w:spacing w:val="7"/>
        </w:rPr>
        <w:t>更多处于辅助工具</w:t>
      </w:r>
      <w:r>
        <w:rPr/>
        <w:t xml:space="preserve"> </w:t>
      </w:r>
      <w:r>
        <w:rPr>
          <w:spacing w:val="6"/>
        </w:rPr>
        <w:t>阶段，而非独立决策系统。</w:t>
      </w:r>
    </w:p>
    <w:p>
      <w:pPr>
        <w:spacing w:line="426" w:lineRule="auto"/>
        <w:rPr>
          <w:rFonts w:ascii="Arial"/>
          <w:sz w:val="21"/>
        </w:rPr>
      </w:pPr>
      <w:r/>
    </w:p>
    <w:p>
      <w:pPr>
        <w:pStyle w:val="BodyText"/>
        <w:ind w:left="5"/>
        <w:spacing w:before="117" w:line="221" w:lineRule="auto"/>
        <w:outlineLvl w:val="1"/>
        <w:rPr>
          <w:sz w:val="36"/>
          <w:szCs w:val="36"/>
        </w:rPr>
      </w:pPr>
      <w:r>
        <w:rPr>
          <w:rFonts w:ascii="SimSun" w:hAnsi="SimSun" w:eastAsia="SimSun" w:cs="SimSun"/>
          <w:sz w:val="36"/>
          <w:szCs w:val="36"/>
          <w:b/>
          <w:bCs/>
          <w:spacing w:val="-3"/>
        </w:rPr>
        <w:t>7.</w:t>
      </w:r>
      <w:r>
        <w:rPr>
          <w:sz w:val="36"/>
          <w:szCs w:val="36"/>
          <w:b/>
          <w:bCs/>
          <w:spacing w:val="-3"/>
        </w:rPr>
        <w:t>未来发展趋势与展望</w:t>
      </w:r>
    </w:p>
    <w:p>
      <w:pPr>
        <w:pStyle w:val="BodyText"/>
        <w:spacing w:before="210" w:line="213" w:lineRule="auto"/>
        <w:rPr/>
      </w:pPr>
      <w:r>
        <w:rPr>
          <w:spacing w:val="10"/>
        </w:rPr>
        <w:t>基于当前瓶颈与技术驱动因素，预计未来5-10年该方向将沿</w:t>
      </w:r>
      <w:r>
        <w:rPr>
          <w:spacing w:val="9"/>
        </w:rPr>
        <w:t>以下路径演进：</w:t>
      </w:r>
    </w:p>
    <w:p>
      <w:pPr>
        <w:spacing w:line="213" w:lineRule="auto"/>
        <w:sectPr>
          <w:pgSz w:w="12240" w:h="15840"/>
          <w:pgMar w:top="1200" w:right="1100" w:bottom="0" w:left="980" w:header="0" w:footer="0" w:gutter="0"/>
        </w:sectPr>
        <w:rPr/>
      </w:pPr>
    </w:p>
    <w:p>
      <w:pPr>
        <w:pStyle w:val="BodyText"/>
        <w:ind w:left="357"/>
        <w:spacing w:before="47" w:line="222" w:lineRule="auto"/>
        <w:rPr/>
      </w:pPr>
      <w:r>
        <w:rPr>
          <w:b/>
          <w:bCs/>
          <w:spacing w:val="-20"/>
        </w:rPr>
        <w:t>·</w:t>
      </w:r>
      <w:r>
        <w:rPr>
          <w:spacing w:val="-91"/>
        </w:rPr>
        <w:t xml:space="preserve"> </w:t>
      </w:r>
      <w:r>
        <w:rPr>
          <w:b/>
          <w:bCs/>
          <w:spacing w:val="-20"/>
        </w:rPr>
        <w:t>技术路径：</w:t>
      </w:r>
    </w:p>
    <w:p>
      <w:pPr>
        <w:pStyle w:val="BodyText"/>
        <w:ind w:left="854"/>
        <w:spacing w:before="294" w:line="221" w:lineRule="auto"/>
        <w:rPr/>
      </w:pPr>
      <w:r>
        <w:rPr>
          <w:spacing w:val="10"/>
        </w:rPr>
        <w:t>·</w:t>
      </w:r>
      <w:r>
        <w:rPr>
          <w:spacing w:val="-71"/>
        </w:rPr>
        <w:t xml:space="preserve"> </w:t>
      </w:r>
      <w:r>
        <w:rPr>
          <w:spacing w:val="10"/>
        </w:rPr>
        <w:t>更大规模、更长上下文的多模态基础模型(类似</w:t>
      </w:r>
      <w:r>
        <w:rPr>
          <w:rFonts w:ascii="SimSun" w:hAnsi="SimSun" w:eastAsia="SimSun" w:cs="SimSun"/>
        </w:rPr>
        <w:t>scFoundation</w:t>
      </w:r>
      <w:r>
        <w:rPr>
          <w:rFonts w:ascii="SimSun" w:hAnsi="SimSun" w:eastAsia="SimSun" w:cs="SimSun"/>
          <w:spacing w:val="44"/>
        </w:rPr>
        <w:t xml:space="preserve"> </w:t>
      </w:r>
      <w:r>
        <w:rPr>
          <w:spacing w:val="10"/>
        </w:rPr>
        <w:t>的扩展版);</w:t>
      </w:r>
    </w:p>
    <w:p>
      <w:pPr>
        <w:pStyle w:val="BodyText"/>
        <w:ind w:left="854"/>
        <w:spacing w:before="254" w:line="213" w:lineRule="auto"/>
        <w:rPr/>
      </w:pPr>
      <w:r>
        <w:rPr>
          <w:spacing w:val="5"/>
        </w:rPr>
        <w:t>·</w:t>
      </w:r>
      <w:r>
        <w:rPr>
          <w:spacing w:val="-87"/>
        </w:rPr>
        <w:t xml:space="preserve"> </w:t>
      </w:r>
      <w:r>
        <w:rPr>
          <w:spacing w:val="5"/>
        </w:rPr>
        <w:t>物理信息+因果增强的混合模型，提升机制真实性；</w:t>
      </w:r>
    </w:p>
    <w:p>
      <w:pPr>
        <w:pStyle w:val="BodyText"/>
        <w:ind w:left="1004" w:right="1338" w:hanging="150"/>
        <w:spacing w:before="281" w:line="282" w:lineRule="auto"/>
        <w:rPr>
          <w:rFonts w:ascii="Arial" w:hAnsi="Arial" w:eastAsia="Arial" w:cs="Arial"/>
        </w:rPr>
      </w:pPr>
      <w:r>
        <w:rPr>
          <w:spacing w:val="-1"/>
        </w:rPr>
        <w:t>·虚拟细胞→虚拟组织→虚拟器官→虚拟患者的多尺度闭环模拟</w:t>
      </w:r>
      <w:r>
        <w:rPr>
          <w:spacing w:val="-1"/>
        </w:rPr>
        <w:t xml:space="preserve"> </w:t>
      </w:r>
      <w:r>
        <w:rPr>
          <w:rFonts w:ascii="SimSun" w:hAnsi="SimSun" w:eastAsia="SimSun" w:cs="SimSun"/>
          <w:spacing w:val="-1"/>
        </w:rPr>
        <w:t>(PhysiCell+Al</w:t>
      </w:r>
      <w:r>
        <w:rPr>
          <w:rFonts w:ascii="SimSun" w:hAnsi="SimSun" w:eastAsia="SimSun" w:cs="SimSun"/>
          <w:spacing w:val="6"/>
        </w:rPr>
        <w:t xml:space="preserve"> </w:t>
      </w:r>
      <w:r>
        <w:rPr>
          <w:rFonts w:ascii="Arial" w:hAnsi="Arial" w:eastAsia="Arial" w:cs="Arial"/>
          <w:spacing w:val="-1"/>
        </w:rPr>
        <w:t>foundation      models);</w:t>
      </w:r>
    </w:p>
    <w:p>
      <w:pPr>
        <w:pStyle w:val="BodyText"/>
        <w:ind w:left="854"/>
        <w:spacing w:before="290" w:line="213" w:lineRule="auto"/>
        <w:rPr/>
      </w:pPr>
      <w:r>
        <w:rPr>
          <w:spacing w:val="6"/>
        </w:rPr>
        <w:t>·</w:t>
      </w:r>
      <w:r>
        <w:rPr>
          <w:spacing w:val="-93"/>
        </w:rPr>
        <w:t xml:space="preserve"> </w:t>
      </w:r>
      <w:r>
        <w:rPr>
          <w:spacing w:val="6"/>
        </w:rPr>
        <w:t>联邦学习+隐私计算解决数据孤岛，实现跨机构真实世界数据整合。</w:t>
      </w:r>
    </w:p>
    <w:p>
      <w:pPr>
        <w:spacing w:line="254" w:lineRule="auto"/>
        <w:rPr>
          <w:rFonts w:ascii="Arial"/>
          <w:sz w:val="21"/>
        </w:rPr>
      </w:pPr>
      <w:r/>
    </w:p>
    <w:p>
      <w:pPr>
        <w:pStyle w:val="BodyText"/>
        <w:ind w:left="357"/>
        <w:spacing w:before="76" w:line="221" w:lineRule="auto"/>
        <w:rPr/>
      </w:pPr>
      <w:r>
        <w:rPr>
          <w:b/>
          <w:bCs/>
          <w:spacing w:val="-14"/>
        </w:rPr>
        <w:t>·</w:t>
      </w:r>
      <w:r>
        <w:rPr>
          <w:spacing w:val="-95"/>
        </w:rPr>
        <w:t xml:space="preserve"> </w:t>
      </w:r>
      <w:r>
        <w:rPr>
          <w:b/>
          <w:bCs/>
          <w:spacing w:val="-14"/>
        </w:rPr>
        <w:t>应用场景深化：</w:t>
      </w:r>
    </w:p>
    <w:p>
      <w:pPr>
        <w:pStyle w:val="BodyText"/>
        <w:ind w:left="854"/>
        <w:spacing w:before="278" w:line="221" w:lineRule="auto"/>
        <w:rPr/>
      </w:pPr>
      <w:r>
        <w:rPr>
          <w:spacing w:val="6"/>
        </w:rPr>
        <w:t>·</w:t>
      </w:r>
      <w:r>
        <w:rPr>
          <w:spacing w:val="-93"/>
        </w:rPr>
        <w:t xml:space="preserve"> </w:t>
      </w:r>
      <w:r>
        <w:rPr>
          <w:spacing w:val="6"/>
        </w:rPr>
        <w:t>药物组合优化与协同/拮抗预测</w:t>
      </w:r>
      <w:r>
        <w:rPr>
          <w:spacing w:val="6"/>
        </w:rPr>
        <w:t xml:space="preserve"> </w:t>
      </w:r>
      <w:r>
        <w:rPr>
          <w:spacing w:val="6"/>
        </w:rPr>
        <w:t>(肿瘤免疫治疗、多靶</w:t>
      </w:r>
      <w:r>
        <w:rPr>
          <w:spacing w:val="5"/>
        </w:rPr>
        <w:t>点药物);</w:t>
      </w:r>
    </w:p>
    <w:p>
      <w:pPr>
        <w:pStyle w:val="BodyText"/>
        <w:ind w:left="854"/>
        <w:spacing w:before="245" w:line="213" w:lineRule="auto"/>
        <w:rPr/>
      </w:pPr>
      <w:r>
        <w:rPr>
          <w:spacing w:val="4"/>
        </w:rPr>
        <w:t>·</w:t>
      </w:r>
      <w:r>
        <w:rPr>
          <w:spacing w:val="-81"/>
        </w:rPr>
        <w:t xml:space="preserve"> </w:t>
      </w:r>
      <w:r>
        <w:rPr>
          <w:spacing w:val="4"/>
        </w:rPr>
        <w:t>精准医学：基于患者全组学+数字孪生的个体化疗效/毒性预测；</w:t>
      </w:r>
    </w:p>
    <w:p>
      <w:pPr>
        <w:pStyle w:val="BodyText"/>
        <w:ind w:left="854"/>
        <w:spacing w:before="294" w:line="221" w:lineRule="auto"/>
        <w:rPr/>
      </w:pPr>
      <w:r>
        <w:rPr>
          <w:spacing w:val="10"/>
        </w:rPr>
        <w:t>·</w:t>
      </w:r>
      <w:r>
        <w:rPr>
          <w:spacing w:val="-82"/>
        </w:rPr>
        <w:t xml:space="preserve"> </w:t>
      </w:r>
      <w:r>
        <w:rPr>
          <w:spacing w:val="10"/>
        </w:rPr>
        <w:t>药物重定位与快速响应新发疾病(如疫情);</w:t>
      </w:r>
    </w:p>
    <w:p>
      <w:pPr>
        <w:pStyle w:val="BodyText"/>
        <w:ind w:left="854"/>
        <w:spacing w:before="245" w:line="213" w:lineRule="auto"/>
        <w:rPr/>
      </w:pPr>
      <w:r>
        <w:rPr/>
        <w:t>·</w:t>
      </w:r>
      <w:r>
        <w:rPr>
          <w:spacing w:val="-90"/>
        </w:rPr>
        <w:t xml:space="preserve"> </w:t>
      </w:r>
      <w:r>
        <w:rPr/>
        <w:t>取代部分动物实验，加速</w:t>
      </w:r>
      <w:r>
        <w:rPr>
          <w:rFonts w:ascii="Times New Roman" w:hAnsi="Times New Roman" w:eastAsia="Times New Roman" w:cs="Times New Roman"/>
        </w:rPr>
        <w:t>IND</w:t>
      </w:r>
      <w:r>
        <w:rPr/>
        <w:t>申报。</w:t>
      </w:r>
    </w:p>
    <w:p>
      <w:pPr>
        <w:spacing w:line="255" w:lineRule="auto"/>
        <w:rPr>
          <w:rFonts w:ascii="Arial"/>
          <w:sz w:val="21"/>
        </w:rPr>
      </w:pPr>
      <w:r/>
    </w:p>
    <w:p>
      <w:pPr>
        <w:pStyle w:val="BodyText"/>
        <w:ind w:left="357"/>
        <w:spacing w:before="75" w:line="222" w:lineRule="auto"/>
        <w:rPr/>
      </w:pPr>
      <w:r>
        <w:rPr>
          <w:b/>
          <w:bCs/>
          <w:spacing w:val="-15"/>
        </w:rPr>
        <w:t>·</w:t>
      </w:r>
      <w:r>
        <w:rPr>
          <w:spacing w:val="-80"/>
        </w:rPr>
        <w:t xml:space="preserve"> </w:t>
      </w:r>
      <w:r>
        <w:rPr>
          <w:b/>
          <w:bCs/>
          <w:spacing w:val="-15"/>
        </w:rPr>
        <w:t>关键突破点：</w:t>
      </w:r>
    </w:p>
    <w:p>
      <w:pPr>
        <w:pStyle w:val="BodyText"/>
        <w:ind w:left="854"/>
        <w:spacing w:before="277" w:line="213" w:lineRule="auto"/>
        <w:rPr/>
      </w:pPr>
      <w:r>
        <w:rPr/>
        <w:t>·</w:t>
      </w:r>
      <w:r>
        <w:rPr>
          <w:spacing w:val="-72"/>
        </w:rPr>
        <w:t xml:space="preserve"> </w:t>
      </w:r>
      <w:r>
        <w:rPr/>
        <w:t>因果表示学习与反事实模拟的成熟；</w:t>
      </w:r>
    </w:p>
    <w:p>
      <w:pPr>
        <w:pStyle w:val="BodyText"/>
        <w:ind w:left="854"/>
        <w:spacing w:before="275" w:line="222" w:lineRule="auto"/>
        <w:rPr/>
      </w:pPr>
      <w:r>
        <w:rPr>
          <w:spacing w:val="10"/>
        </w:rPr>
        <w:t>·</w:t>
      </w:r>
      <w:r>
        <w:rPr>
          <w:spacing w:val="-87"/>
        </w:rPr>
        <w:t xml:space="preserve"> </w:t>
      </w:r>
      <w:r>
        <w:rPr>
          <w:spacing w:val="10"/>
        </w:rPr>
        <w:t>解释性</w:t>
      </w:r>
      <w:r>
        <w:rPr>
          <w:rFonts w:ascii="SimSun" w:hAnsi="SimSun" w:eastAsia="SimSun" w:cs="SimSun"/>
        </w:rPr>
        <w:t>Al</w:t>
      </w:r>
      <w:r>
        <w:rPr>
          <w:spacing w:val="10"/>
        </w:rPr>
        <w:t>在监管中的认可(如</w:t>
      </w:r>
      <w:r>
        <w:rPr>
          <w:rFonts w:ascii="SimSun" w:hAnsi="SimSun" w:eastAsia="SimSun" w:cs="SimSun"/>
        </w:rPr>
        <w:t>attention</w:t>
      </w:r>
      <w:r>
        <w:rPr>
          <w:rFonts w:ascii="SimSun" w:hAnsi="SimSun" w:eastAsia="SimSun" w:cs="SimSun"/>
          <w:spacing w:val="10"/>
        </w:rPr>
        <w:t>-</w:t>
      </w:r>
      <w:r>
        <w:rPr>
          <w:rFonts w:ascii="SimSun" w:hAnsi="SimSun" w:eastAsia="SimSun" w:cs="SimSun"/>
        </w:rPr>
        <w:t>based</w:t>
      </w:r>
      <w:r>
        <w:rPr>
          <w:rFonts w:ascii="SimSun" w:hAnsi="SimSun" w:eastAsia="SimSun" w:cs="SimSun"/>
          <w:spacing w:val="10"/>
        </w:rPr>
        <w:t xml:space="preserve"> </w:t>
      </w:r>
      <w:r>
        <w:rPr>
          <w:spacing w:val="10"/>
        </w:rPr>
        <w:t>机制可视化+不确定性量化);</w:t>
      </w:r>
    </w:p>
    <w:p>
      <w:pPr>
        <w:pStyle w:val="BodyText"/>
        <w:ind w:left="854"/>
        <w:spacing w:before="240" w:line="212" w:lineRule="auto"/>
        <w:rPr/>
      </w:pPr>
      <w:r>
        <w:rPr/>
        <w:t>·</w:t>
      </w:r>
      <w:r>
        <w:rPr>
          <w:spacing w:val="-72"/>
        </w:rPr>
        <w:t xml:space="preserve"> </w:t>
      </w:r>
      <w:r>
        <w:rPr/>
        <w:t>真实世界证据</w:t>
      </w:r>
      <w:r>
        <w:rPr/>
        <w:t xml:space="preserve"> </w:t>
      </w:r>
      <w:r>
        <w:rPr>
          <w:rFonts w:ascii="Arial" w:hAnsi="Arial" w:eastAsia="Arial" w:cs="Arial"/>
        </w:rPr>
        <w:t>(RWE)+AI</w:t>
      </w:r>
      <w:r>
        <w:rPr>
          <w:rFonts w:ascii="Arial" w:hAnsi="Arial" w:eastAsia="Arial" w:cs="Arial"/>
          <w:spacing w:val="17"/>
          <w:w w:val="101"/>
        </w:rPr>
        <w:t xml:space="preserve">   </w:t>
      </w:r>
      <w:r>
        <w:rPr/>
        <w:t>的闭环验证体系建立。</w:t>
      </w:r>
    </w:p>
    <w:p>
      <w:pPr>
        <w:spacing w:line="261" w:lineRule="auto"/>
        <w:rPr>
          <w:rFonts w:ascii="Arial"/>
          <w:sz w:val="21"/>
        </w:rPr>
      </w:pPr>
      <w:r/>
    </w:p>
    <w:p>
      <w:pPr>
        <w:pStyle w:val="BodyText"/>
        <w:ind w:left="357"/>
        <w:spacing w:before="75" w:line="222" w:lineRule="auto"/>
        <w:rPr/>
      </w:pPr>
      <w:r>
        <w:rPr>
          <w:b/>
          <w:bCs/>
          <w:spacing w:val="-14"/>
        </w:rPr>
        <w:t>·</w:t>
      </w:r>
      <w:r>
        <w:rPr>
          <w:spacing w:val="-87"/>
        </w:rPr>
        <w:t xml:space="preserve"> </w:t>
      </w:r>
      <w:r>
        <w:rPr>
          <w:b/>
          <w:bCs/>
          <w:spacing w:val="-14"/>
        </w:rPr>
        <w:t>非技术挑战：</w:t>
      </w:r>
    </w:p>
    <w:p>
      <w:pPr>
        <w:pStyle w:val="BodyText"/>
        <w:ind w:left="854"/>
        <w:spacing w:before="295" w:line="213" w:lineRule="auto"/>
        <w:rPr/>
      </w:pPr>
      <w:r>
        <w:rPr/>
        <w:t>·</w:t>
      </w:r>
      <w:r>
        <w:rPr>
          <w:spacing w:val="-86"/>
        </w:rPr>
        <w:t xml:space="preserve"> </w:t>
      </w:r>
      <w:r>
        <w:rPr/>
        <w:t>伦理与法规：患者数据隐私、</w:t>
      </w:r>
      <w:r>
        <w:rPr/>
        <w:t xml:space="preserve"> </w:t>
      </w:r>
      <w:r>
        <w:rPr>
          <w:rFonts w:ascii="SimSun" w:hAnsi="SimSun" w:eastAsia="SimSun" w:cs="SimSun"/>
        </w:rPr>
        <w:t>AI</w:t>
      </w:r>
      <w:r>
        <w:rPr/>
        <w:t>决策责任归属、算法偏倚；</w:t>
      </w:r>
    </w:p>
    <w:p>
      <w:pPr>
        <w:pStyle w:val="BodyText"/>
        <w:ind w:left="1003" w:hanging="146"/>
        <w:spacing w:before="263" w:line="278" w:lineRule="auto"/>
        <w:rPr/>
      </w:pPr>
      <w:r>
        <w:rPr>
          <w:b/>
          <w:bCs/>
          <w:spacing w:val="8"/>
        </w:rPr>
        <w:t>·</w:t>
      </w:r>
      <w:r>
        <w:rPr>
          <w:spacing w:val="-76"/>
        </w:rPr>
        <w:t xml:space="preserve"> </w:t>
      </w:r>
      <w:r>
        <w:rPr>
          <w:b/>
          <w:bCs/>
          <w:spacing w:val="8"/>
        </w:rPr>
        <w:t>产业生态：</w:t>
      </w:r>
      <w:r>
        <w:rPr>
          <w:spacing w:val="8"/>
        </w:rPr>
        <w:t>制药公司与</w:t>
      </w:r>
      <w:r>
        <w:rPr>
          <w:rFonts w:ascii="SimSun" w:hAnsi="SimSun" w:eastAsia="SimSun" w:cs="SimSun"/>
        </w:rPr>
        <w:t>Al</w:t>
      </w:r>
      <w:r>
        <w:rPr>
          <w:spacing w:val="8"/>
        </w:rPr>
        <w:t>公司深度融合(如</w:t>
      </w:r>
      <w:r>
        <w:rPr>
          <w:rFonts w:ascii="SimSun" w:hAnsi="SimSun" w:eastAsia="SimSun" w:cs="SimSun"/>
        </w:rPr>
        <w:t>Recursion</w:t>
      </w:r>
      <w:r>
        <w:rPr>
          <w:rFonts w:ascii="SimSun" w:hAnsi="SimSun" w:eastAsia="SimSun" w:cs="SimSun"/>
          <w:spacing w:val="8"/>
        </w:rPr>
        <w:t>、</w:t>
      </w:r>
      <w:r>
        <w:rPr>
          <w:rFonts w:ascii="SimSun" w:hAnsi="SimSun" w:eastAsia="SimSun" w:cs="SimSun"/>
        </w:rPr>
        <w:t>Exscientia</w:t>
      </w:r>
      <w:r>
        <w:rPr>
          <w:rFonts w:ascii="SimSun" w:hAnsi="SimSun" w:eastAsia="SimSun" w:cs="SimSun"/>
          <w:spacing w:val="8"/>
        </w:rPr>
        <w:t>、</w:t>
      </w:r>
      <w:r>
        <w:rPr>
          <w:rFonts w:ascii="SimSun" w:hAnsi="SimSun" w:eastAsia="SimSun" w:cs="SimSun"/>
        </w:rPr>
        <w:t>Insilico</w:t>
      </w:r>
      <w:r>
        <w:rPr>
          <w:rFonts w:ascii="SimSun" w:hAnsi="SimSun" w:eastAsia="SimSun" w:cs="SimSun"/>
          <w:spacing w:val="42"/>
        </w:rPr>
        <w:t xml:space="preserve"> </w:t>
      </w:r>
      <w:r>
        <w:rPr>
          <w:rFonts w:ascii="SimSun" w:hAnsi="SimSun" w:eastAsia="SimSun" w:cs="SimSun"/>
        </w:rPr>
        <w:t>Medicine </w:t>
      </w:r>
      <w:r>
        <w:rPr>
          <w:spacing w:val="12"/>
        </w:rPr>
        <w:t>的临床管线进展);</w:t>
      </w:r>
    </w:p>
    <w:p>
      <w:pPr>
        <w:pStyle w:val="BodyText"/>
        <w:ind w:left="1003" w:right="3" w:hanging="146"/>
        <w:spacing w:before="279" w:line="267" w:lineRule="auto"/>
        <w:rPr/>
      </w:pPr>
      <w:r>
        <w:rPr>
          <w:b/>
          <w:bCs/>
          <w:spacing w:val="-3"/>
        </w:rPr>
        <w:t>·</w:t>
      </w:r>
      <w:r>
        <w:rPr>
          <w:spacing w:val="-93"/>
        </w:rPr>
        <w:t xml:space="preserve"> </w:t>
      </w:r>
      <w:r>
        <w:rPr>
          <w:b/>
          <w:bCs/>
          <w:spacing w:val="-3"/>
        </w:rPr>
        <w:t>颠覆性潜力：</w:t>
      </w:r>
      <w:r>
        <w:rPr>
          <w:spacing w:val="-3"/>
        </w:rPr>
        <w:t>若虚拟人体模型成熟，可能重塑药物研发范式，从“经验驱动”转向“预测驱</w:t>
      </w:r>
      <w:r>
        <w:rPr/>
        <w:t xml:space="preserve"> </w:t>
      </w:r>
      <w:r>
        <w:rPr>
          <w:spacing w:val="16"/>
        </w:rPr>
        <w:t>动+少量验证”,将研发周期缩短至3-5年，成本降低50%以</w:t>
      </w:r>
      <w:r>
        <w:rPr>
          <w:spacing w:val="15"/>
        </w:rPr>
        <w:t>上。</w:t>
      </w:r>
    </w:p>
    <w:p>
      <w:pPr>
        <w:spacing w:line="277" w:lineRule="auto"/>
        <w:rPr>
          <w:rFonts w:ascii="Arial"/>
          <w:sz w:val="21"/>
        </w:rPr>
      </w:pPr>
      <w:r/>
    </w:p>
    <w:p>
      <w:pPr>
        <w:spacing w:line="277" w:lineRule="auto"/>
        <w:rPr>
          <w:rFonts w:ascii="Arial"/>
          <w:sz w:val="21"/>
        </w:rPr>
      </w:pPr>
      <w:r/>
    </w:p>
    <w:p>
      <w:pPr>
        <w:pStyle w:val="BodyText"/>
        <w:spacing w:before="127" w:line="226" w:lineRule="auto"/>
        <w:rPr>
          <w:sz w:val="39"/>
          <w:szCs w:val="39"/>
        </w:rPr>
      </w:pPr>
      <w:r>
        <w:rPr>
          <w:rFonts w:ascii="SimSun" w:hAnsi="SimSun" w:eastAsia="SimSun" w:cs="SimSun"/>
          <w:sz w:val="39"/>
          <w:szCs w:val="39"/>
          <w:b/>
          <w:bCs/>
          <w:spacing w:val="-6"/>
        </w:rPr>
        <w:t>8.</w:t>
      </w:r>
      <w:r>
        <w:rPr>
          <w:sz w:val="39"/>
          <w:szCs w:val="39"/>
          <w:b/>
          <w:bCs/>
          <w:spacing w:val="-6"/>
        </w:rPr>
        <w:t>结论</w:t>
      </w:r>
    </w:p>
    <w:p>
      <w:pPr>
        <w:spacing w:line="226" w:lineRule="auto"/>
        <w:sectPr>
          <w:pgSz w:w="12240" w:h="15840"/>
          <w:pgMar w:top="1189" w:right="1036" w:bottom="0" w:left="995" w:header="0" w:footer="0" w:gutter="0"/>
        </w:sectPr>
        <w:rPr>
          <w:sz w:val="39"/>
          <w:szCs w:val="39"/>
        </w:rPr>
      </w:pPr>
    </w:p>
    <w:p>
      <w:pPr>
        <w:pStyle w:val="BodyText"/>
        <w:spacing w:before="45" w:line="340" w:lineRule="auto"/>
        <w:rPr/>
      </w:pPr>
      <w:r>
        <w:rPr>
          <w:spacing w:val="18"/>
        </w:rPr>
        <w:t>现阶段(2026年初),大型</w:t>
      </w:r>
      <w:r>
        <w:rPr>
          <w:rFonts w:ascii="SimSun" w:hAnsi="SimSun" w:eastAsia="SimSun" w:cs="SimSun"/>
        </w:rPr>
        <w:t>AI</w:t>
      </w:r>
      <w:r>
        <w:rPr>
          <w:spacing w:val="18"/>
        </w:rPr>
        <w:t>模型已在分子-细胞-通路层面显著</w:t>
      </w:r>
      <w:r>
        <w:rPr>
          <w:spacing w:val="17"/>
        </w:rPr>
        <w:t>提升药物影响模拟能力，尤其在</w:t>
      </w:r>
      <w:r>
        <w:rPr/>
        <w:t xml:space="preserve">  </w:t>
      </w:r>
      <w:r>
        <w:rPr>
          <w:spacing w:val="10"/>
        </w:rPr>
        <w:t>靶点预测、</w:t>
      </w:r>
      <w:r>
        <w:rPr>
          <w:spacing w:val="-60"/>
        </w:rPr>
        <w:t xml:space="preserve"> </w:t>
      </w:r>
      <w:r>
        <w:rPr>
          <w:rFonts w:ascii="SimSun" w:hAnsi="SimSun" w:eastAsia="SimSun" w:cs="SimSun"/>
        </w:rPr>
        <w:t>ADMET</w:t>
      </w:r>
      <w:r>
        <w:rPr>
          <w:rFonts w:ascii="SimSun" w:hAnsi="SimSun" w:eastAsia="SimSun" w:cs="SimSun"/>
          <w:spacing w:val="10"/>
        </w:rPr>
        <w:t>、  </w:t>
      </w:r>
      <w:r>
        <w:rPr>
          <w:spacing w:val="10"/>
        </w:rPr>
        <w:t>药物交互、细胞响应及初步个体化预测方面展现出超越传统方法的优势，并</w:t>
      </w:r>
      <w:r>
        <w:rPr/>
        <w:t xml:space="preserve"> </w:t>
      </w:r>
      <w:r>
        <w:rPr>
          <w:spacing w:val="5"/>
        </w:rPr>
        <w:t>通过多模态融合初步实现更“系统性”的评估。然而</w:t>
      </w:r>
      <w:r>
        <w:rPr>
          <w:spacing w:val="4"/>
        </w:rPr>
        <w:t>，受限于数据质量、可解释性、验证难度及泛</w:t>
      </w:r>
      <w:r>
        <w:rPr/>
        <w:t xml:space="preserve">  </w:t>
      </w:r>
      <w:r>
        <w:rPr>
          <w:spacing w:val="10"/>
        </w:rPr>
        <w:t>化能力，大模型尚不具备独立完成可靠的、全机体水平的系统性药物评估的能力，仍主要作为强</w:t>
      </w:r>
      <w:r>
        <w:rPr>
          <w:spacing w:val="3"/>
        </w:rPr>
        <w:t xml:space="preserve">  </w:t>
      </w:r>
      <w:r>
        <w:rPr>
          <w:spacing w:val="5"/>
        </w:rPr>
        <w:t>有力的辅助工具。</w:t>
      </w:r>
    </w:p>
    <w:p>
      <w:pPr>
        <w:pStyle w:val="BodyText"/>
        <w:ind w:right="59"/>
        <w:spacing w:before="111" w:line="336" w:lineRule="auto"/>
        <w:jc w:val="both"/>
        <w:rPr/>
      </w:pPr>
      <w:r>
        <w:rPr>
          <w:spacing w:val="11"/>
        </w:rPr>
        <w:t>未来，随着多模态基础模型规模扩大、因果与物理约束融入</w:t>
      </w:r>
      <w:r>
        <w:rPr>
          <w:spacing w:val="10"/>
        </w:rPr>
        <w:t>、真实世界数据闭环验证的推进，该</w:t>
      </w:r>
      <w:r>
        <w:rPr/>
        <w:t xml:space="preserve"> </w:t>
      </w:r>
      <w:r>
        <w:rPr>
          <w:spacing w:val="1"/>
        </w:rPr>
        <w:t>方向有望在2030年前后实现从“虚拟筛选”到“虚拟临床试验”的跃迁，深刻变革药物研发范式，并</w:t>
      </w:r>
      <w:r>
        <w:rPr>
          <w:spacing w:val="15"/>
        </w:rPr>
        <w:t xml:space="preserve"> </w:t>
      </w:r>
      <w:r>
        <w:rPr>
          <w:spacing w:val="8"/>
        </w:rPr>
        <w:t>为真正意义上的精准医学提供计算基座。这一领域是生物信息学、</w:t>
      </w:r>
      <w:r>
        <w:rPr>
          <w:spacing w:val="-56"/>
        </w:rPr>
        <w:t xml:space="preserve"> </w:t>
      </w:r>
      <w:r>
        <w:rPr>
          <w:rFonts w:ascii="Arial" w:hAnsi="Arial" w:eastAsia="Arial" w:cs="Arial"/>
        </w:rPr>
        <w:t>Al</w:t>
      </w:r>
      <w:r>
        <w:rPr>
          <w:rFonts w:ascii="Arial" w:hAnsi="Arial" w:eastAsia="Arial" w:cs="Arial"/>
          <w:spacing w:val="8"/>
        </w:rPr>
        <w:t xml:space="preserve"> </w:t>
      </w:r>
      <w:r>
        <w:rPr>
          <w:spacing w:val="8"/>
        </w:rPr>
        <w:t>与药物研发交叉最具颠</w:t>
      </w:r>
      <w:r>
        <w:rPr>
          <w:spacing w:val="7"/>
        </w:rPr>
        <w:t>覆性</w:t>
      </w:r>
      <w:r>
        <w:rPr/>
        <w:t xml:space="preserve"> </w:t>
      </w:r>
      <w:r>
        <w:rPr>
          <w:spacing w:val="8"/>
        </w:rPr>
        <w:t>的前沿方向之一，值得持续高强度投入与跨学科协作。</w:t>
      </w:r>
    </w:p>
    <w:sectPr>
      <w:pgSz w:w="12240" w:h="15840"/>
      <w:pgMar w:top="1171" w:right="1017"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3"/>
      <w:szCs w:val="23"/>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2026-03-16T00:00:31Z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2026-03-16T00:00:32</vt:filetime>
  </property>
  <property fmtid="{D5CDD505-2E9C-101B-9397-08002B2CF9AE}" pid="4" name="UsrData">
    <vt:lpwstr>69b6d79d115626001f4cb211wl</vt:lpwstr>
  </property>
</Properties>
</file>