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1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传统药物研究方法的局限性</w:t>
      </w:r>
    </w:p>
    <w:p>
      <w:pPr>
        <w:pStyle w:val="BodyText"/>
        <w:spacing w:before="218" w:line="339" w:lineRule="auto"/>
        <w:rPr/>
      </w:pPr>
      <w:r>
        <w:rPr>
          <w:spacing w:val="13"/>
        </w:rPr>
        <w:t>传统药物研发主要依赖体外实验(如细胞培养)、动物模型以及多阶段临</w:t>
      </w:r>
      <w:r>
        <w:rPr>
          <w:spacing w:val="12"/>
        </w:rPr>
        <w:t>床试验，同时结合各种组</w:t>
      </w:r>
      <w:r>
        <w:rPr/>
        <w:t xml:space="preserve"> </w:t>
      </w:r>
      <w:r>
        <w:rPr>
          <w:spacing w:val="16"/>
        </w:rPr>
        <w:t>学技术(如基因组学、转录组学、蛋白质组学和代谢组学)来评估药物的潜在效果。这些方法在</w:t>
      </w:r>
      <w:r>
        <w:rPr/>
        <w:t xml:space="preserve">  </w:t>
      </w:r>
      <w:r>
        <w:rPr>
          <w:spacing w:val="11"/>
        </w:rPr>
        <w:t>过去几十年推动了大量新药上市，但存在明显不</w:t>
      </w:r>
      <w:r>
        <w:rPr>
          <w:spacing w:val="10"/>
        </w:rPr>
        <w:t>足。首先，整体性不足：组学技术往往聚焦单一</w:t>
      </w:r>
      <w:r>
        <w:rPr/>
        <w:t xml:space="preserve">  </w:t>
      </w:r>
      <w:r>
        <w:rPr>
          <w:spacing w:val="15"/>
        </w:rPr>
        <w:t>层面(如仅分析基因变异或蛋白表达),难以捕捉药物在人体内的多尺度复杂交互，包括从分子水</w:t>
      </w:r>
      <w:r>
        <w:rPr>
          <w:spacing w:val="16"/>
        </w:rPr>
        <w:t xml:space="preserve"> </w:t>
      </w:r>
      <w:r>
        <w:rPr>
          <w:spacing w:val="13"/>
        </w:rPr>
        <w:t>平到器官、系统乃至全身的动态过程，导致预测结果碎片化。其次，个体差异显著:不同患者对</w:t>
      </w:r>
      <w:r>
        <w:rPr>
          <w:spacing w:val="3"/>
        </w:rPr>
        <w:t xml:space="preserve">  </w:t>
      </w:r>
      <w:r>
        <w:rPr>
          <w:spacing w:val="11"/>
        </w:rPr>
        <w:t>同一药物的反应差异很大，受遗传背景、环境因素</w:t>
      </w:r>
      <w:r>
        <w:rPr>
          <w:spacing w:val="10"/>
        </w:rPr>
        <w:t>、生活方式和并发疾病影响，传统方法难以大</w:t>
      </w:r>
      <w:r>
        <w:rPr/>
        <w:t xml:space="preserve">  </w:t>
      </w:r>
      <w:r>
        <w:rPr>
          <w:spacing w:val="20"/>
        </w:rPr>
        <w:t>规模考虑这些变异，常导致临床试验失败率高(约90%的候选药物无法上市),并在实际</w:t>
      </w:r>
      <w:r>
        <w:rPr>
          <w:spacing w:val="19"/>
        </w:rPr>
        <w:t>用药中</w:t>
      </w:r>
      <w:r>
        <w:rPr/>
        <w:t xml:space="preserve">  </w:t>
      </w:r>
      <w:r>
        <w:rPr>
          <w:spacing w:val="6"/>
        </w:rPr>
        <w:t>出现疗效不佳或不良反应。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大型</w:t>
      </w:r>
      <w:r>
        <w:rPr>
          <w:rFonts w:ascii="Arial" w:hAnsi="Arial" w:eastAsia="Arial" w:cs="Arial"/>
          <w:sz w:val="30"/>
          <w:szCs w:val="30"/>
          <w:b/>
          <w:bCs/>
          <w:spacing w:val="-1"/>
        </w:rPr>
        <w:t>AI</w:t>
      </w:r>
      <w:r>
        <w:rPr>
          <w:sz w:val="30"/>
          <w:szCs w:val="30"/>
          <w:b/>
          <w:bCs/>
          <w:spacing w:val="-1"/>
        </w:rPr>
        <w:t>模型的概念说明</w:t>
      </w:r>
    </w:p>
    <w:p>
      <w:pPr>
        <w:pStyle w:val="BodyText"/>
        <w:ind w:right="16"/>
        <w:spacing w:before="224" w:line="332" w:lineRule="auto"/>
        <w:rPr/>
      </w:pPr>
      <w:r>
        <w:rPr>
          <w:spacing w:val="2"/>
        </w:rPr>
        <w:t>这里所说的“大模型”主要指大型基础模型</w:t>
      </w:r>
      <w:r>
        <w:rPr>
          <w:spacing w:val="2"/>
        </w:rPr>
        <w:t xml:space="preserve"> </w:t>
      </w:r>
      <w:r>
        <w:rPr>
          <w:spacing w:val="2"/>
        </w:rPr>
        <w:t>(</w:t>
      </w:r>
      <w:r>
        <w:rPr>
          <w:spacing w:val="-50"/>
        </w:rPr>
        <w:t xml:space="preserve"> </w:t>
      </w:r>
      <w:r>
        <w:rPr>
          <w:rFonts w:ascii="SimSun" w:hAnsi="SimSun" w:eastAsia="SimSun" w:cs="SimSun"/>
          <w:b/>
          <w:bCs/>
        </w:rPr>
        <w:t>foundation</w:t>
      </w:r>
      <w:r>
        <w:rPr>
          <w:rFonts w:ascii="SimSun" w:hAnsi="SimSun" w:eastAsia="SimSun" w:cs="SimSun"/>
          <w:spacing w:val="2"/>
        </w:rPr>
        <w:t xml:space="preserve">   </w:t>
      </w:r>
      <w:r>
        <w:rPr>
          <w:rFonts w:ascii="SimSun" w:hAnsi="SimSun" w:eastAsia="SimSun" w:cs="SimSun"/>
          <w:b/>
          <w:bCs/>
        </w:rPr>
        <w:t>models</w:t>
      </w:r>
      <w:r>
        <w:rPr>
          <w:rFonts w:ascii="SimSun" w:hAnsi="SimSun" w:eastAsia="SimSun" w:cs="SimSun"/>
          <w:b/>
          <w:bCs/>
          <w:spacing w:val="2"/>
        </w:rPr>
        <w:t>),</w:t>
      </w:r>
      <w:r>
        <w:rPr>
          <w:spacing w:val="2"/>
        </w:rPr>
        <w:t>包括基于深度学习的巨量参数</w:t>
      </w:r>
      <w:r>
        <w:rPr/>
        <w:t xml:space="preserve"> </w:t>
      </w:r>
      <w:r>
        <w:rPr>
          <w:spacing w:val="12"/>
        </w:rPr>
        <w:t>模型，如</w:t>
      </w:r>
      <w:r>
        <w:rPr>
          <w:rFonts w:ascii="Arial" w:hAnsi="Arial" w:eastAsia="Arial" w:cs="Arial"/>
        </w:rPr>
        <w:t>AlphaFold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spacing w:val="12"/>
        </w:rPr>
        <w:t>系列(用于蛋白质及分子复合物结构预测)、扩散模型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12"/>
        </w:rPr>
        <w:t>(</w:t>
      </w:r>
      <w:r>
        <w:rPr>
          <w:rFonts w:ascii="Arial" w:hAnsi="Arial" w:eastAsia="Arial" w:cs="Arial"/>
        </w:rPr>
        <w:t>diffusion</w:t>
      </w:r>
      <w:r>
        <w:rPr>
          <w:rFonts w:ascii="Arial" w:hAnsi="Arial" w:eastAsia="Arial" w:cs="Arial"/>
          <w:spacing w:val="12"/>
        </w:rPr>
        <w:t xml:space="preserve">     </w:t>
      </w:r>
      <w:r>
        <w:rPr>
          <w:rFonts w:ascii="Arial" w:hAnsi="Arial" w:eastAsia="Arial" w:cs="Arial"/>
        </w:rPr>
        <w:t>models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</w:rPr>
        <w:t xml:space="preserve">    </w:t>
      </w:r>
      <w:r>
        <w:rPr>
          <w:spacing w:val="6"/>
        </w:rPr>
        <w:t>用于生成新分子结构)、大型语言模型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</w:t>
      </w:r>
      <w:r>
        <w:rPr>
          <w:rFonts w:ascii="Times New Roman" w:hAnsi="Times New Roman" w:eastAsia="Times New Roman" w:cs="Times New Roman"/>
        </w:rPr>
        <w:t>LLMs</w:t>
      </w:r>
      <w:r>
        <w:rPr>
          <w:rFonts w:ascii="Times New Roman" w:hAnsi="Times New Roman" w:eastAsia="Times New Roman" w:cs="Times New Roman"/>
          <w:spacing w:val="6"/>
        </w:rPr>
        <w:t>,    </w:t>
      </w:r>
      <w:r>
        <w:rPr>
          <w:spacing w:val="6"/>
        </w:rPr>
        <w:t>如在科学领域的</w:t>
      </w:r>
      <w:r>
        <w:rPr>
          <w:rFonts w:ascii="Times New Roman" w:hAnsi="Times New Roman" w:eastAsia="Times New Roman" w:cs="Times New Roman"/>
        </w:rPr>
        <w:t>Galactica</w:t>
      </w:r>
      <w:r>
        <w:rPr>
          <w:rFonts w:ascii="Times New Roman" w:hAnsi="Times New Roman" w:eastAsia="Times New Roman" w:cs="Times New Roman"/>
          <w:spacing w:val="6"/>
        </w:rPr>
        <w:t xml:space="preserve">   </w:t>
      </w:r>
      <w:r>
        <w:rPr>
          <w:spacing w:val="6"/>
        </w:rPr>
        <w:t>或专用生物</w:t>
      </w:r>
      <w:r>
        <w:rPr>
          <w:rFonts w:ascii="Times New Roman" w:hAnsi="Times New Roman" w:eastAsia="Times New Roman" w:cs="Times New Roman"/>
        </w:rPr>
        <w:t>LLMs</w:t>
      </w:r>
      <w:r>
        <w:rPr>
          <w:rFonts w:ascii="Times New Roman" w:hAnsi="Times New Roman" w:eastAsia="Times New Roman" w:cs="Times New Roman"/>
          <w:spacing w:val="6"/>
        </w:rPr>
        <w:t>)    </w:t>
      </w:r>
      <w:r>
        <w:rPr>
          <w:spacing w:val="6"/>
        </w:rPr>
        <w:t>以</w:t>
      </w:r>
      <w:r>
        <w:rPr>
          <w:spacing w:val="7"/>
        </w:rPr>
        <w:t xml:space="preserve">  </w:t>
      </w:r>
      <w:r>
        <w:rPr>
          <w:spacing w:val="16"/>
        </w:rPr>
        <w:t>及多模态基础模型。这些模型通常在海量数据(如蛋白序列、分子结构、文献和临床记录)</w:t>
      </w:r>
      <w:r>
        <w:rPr>
          <w:spacing w:val="15"/>
        </w:rPr>
        <w:t>上预</w:t>
      </w:r>
      <w:r>
        <w:rPr/>
        <w:t xml:space="preserve"> </w:t>
      </w:r>
      <w:r>
        <w:rPr>
          <w:spacing w:val="11"/>
        </w:rPr>
        <w:t>训练，能处理多种数据类型，并通过微调应用于特</w:t>
      </w:r>
      <w:r>
        <w:rPr>
          <w:spacing w:val="10"/>
        </w:rPr>
        <w:t>定任务。与传统机器学习不同，它们具有强大</w:t>
      </w:r>
      <w:r>
        <w:rPr/>
        <w:t xml:space="preserve"> </w:t>
      </w:r>
      <w:r>
        <w:rPr>
          <w:spacing w:val="9"/>
        </w:rPr>
        <w:t>的泛化能力和整合多源信息的能力，正在成为药物</w:t>
      </w:r>
      <w:r>
        <w:rPr>
          <w:spacing w:val="8"/>
        </w:rPr>
        <w:t>研究的新工具。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当前大型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AI</w:t>
      </w:r>
      <w:r>
        <w:rPr>
          <w:sz w:val="30"/>
          <w:szCs w:val="30"/>
          <w:b/>
          <w:bCs/>
          <w:spacing w:val="-5"/>
        </w:rPr>
        <w:t>模型在药物研究中的应用</w:t>
      </w:r>
    </w:p>
    <w:p>
      <w:pPr>
        <w:pStyle w:val="BodyText"/>
        <w:ind w:right="138"/>
        <w:spacing w:before="191" w:line="362" w:lineRule="auto"/>
        <w:rPr/>
      </w:pPr>
      <w:r>
        <w:rPr>
          <w:spacing w:val="10"/>
        </w:rPr>
        <w:t>目前，大型</w:t>
      </w:r>
      <w:r>
        <w:rPr>
          <w:rFonts w:ascii="Arial" w:hAnsi="Arial" w:eastAsia="Arial" w:cs="Arial"/>
        </w:rPr>
        <w:t>AI</w:t>
      </w:r>
      <w:r>
        <w:rPr>
          <w:spacing w:val="10"/>
        </w:rPr>
        <w:t>模型主要用于药物发现的早期阶段，能部分模拟和预测药物效果，但尚未实现完整</w:t>
      </w:r>
      <w:r>
        <w:rPr>
          <w:spacing w:val="12"/>
        </w:rPr>
        <w:t xml:space="preserve"> </w:t>
      </w:r>
      <w:r>
        <w:rPr>
          <w:spacing w:val="-5"/>
        </w:rPr>
        <w:t>的“全身级”药物效果模拟。主要应用包括：</w:t>
      </w:r>
    </w:p>
    <w:p>
      <w:pPr>
        <w:pStyle w:val="BodyText"/>
        <w:ind w:left="499" w:right="254" w:hanging="130"/>
        <w:spacing w:before="59" w:line="343" w:lineRule="auto"/>
        <w:rPr/>
      </w:pPr>
      <w:r>
        <w:rPr>
          <w:spacing w:val="6"/>
        </w:rPr>
        <w:t>·</w:t>
      </w:r>
      <w:r>
        <w:rPr>
          <w:spacing w:val="-92"/>
        </w:rPr>
        <w:t xml:space="preserve"> </w:t>
      </w:r>
      <w:r>
        <w:rPr>
          <w:spacing w:val="6"/>
        </w:rPr>
        <w:t>药物-靶点相互作用预测：模型可预测小分子药物与蛋白靶点的结合亲和力和结构。例如，</w:t>
      </w:r>
      <w:r>
        <w:rPr/>
        <w:t xml:space="preserve"> </w:t>
      </w:r>
      <w:r>
        <w:rPr>
          <w:rFonts w:ascii="SimSun" w:hAnsi="SimSun" w:eastAsia="SimSun" w:cs="SimSun"/>
        </w:rPr>
        <w:t>AlphaFold</w:t>
      </w:r>
      <w:r>
        <w:rPr>
          <w:rFonts w:ascii="SimSun" w:hAnsi="SimSun" w:eastAsia="SimSun" w:cs="SimSun"/>
          <w:spacing w:val="6"/>
        </w:rPr>
        <w:t xml:space="preserve">    </w:t>
      </w:r>
      <w:r>
        <w:rPr>
          <w:rFonts w:ascii="SimSun" w:hAnsi="SimSun" w:eastAsia="SimSun" w:cs="SimSun"/>
          <w:spacing w:val="14"/>
        </w:rPr>
        <w:t>3(2024</w:t>
      </w:r>
      <w:r>
        <w:rPr>
          <w:spacing w:val="14"/>
        </w:rPr>
        <w:t>年发布)能高精度预测蛋白质与配体(药物分子)、核酸等复合物结</w:t>
      </w:r>
      <w:r>
        <w:rPr/>
        <w:t xml:space="preserve">  </w:t>
      </w:r>
      <w:r>
        <w:rPr>
          <w:spacing w:val="7"/>
        </w:rPr>
        <w:t>构，帮助筛选潜在有效药物。</w:t>
      </w:r>
    </w:p>
    <w:p>
      <w:pPr>
        <w:pStyle w:val="BodyText"/>
        <w:ind w:left="499" w:right="92" w:hanging="130"/>
        <w:spacing w:before="114" w:line="280" w:lineRule="auto"/>
        <w:rPr/>
      </w:pPr>
      <w:r>
        <w:rPr>
          <w:spacing w:val="7"/>
        </w:rPr>
        <w:t>·</w:t>
      </w:r>
      <w:r>
        <w:rPr>
          <w:spacing w:val="-89"/>
        </w:rPr>
        <w:t xml:space="preserve"> </w:t>
      </w:r>
      <w:r>
        <w:rPr>
          <w:spacing w:val="7"/>
        </w:rPr>
        <w:t>药代动力学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7"/>
        </w:rPr>
        <w:t>(</w:t>
      </w:r>
      <w:r>
        <w:rPr>
          <w:rFonts w:ascii="Arial" w:hAnsi="Arial" w:eastAsia="Arial" w:cs="Arial"/>
        </w:rPr>
        <w:t>ADME</w:t>
      </w:r>
      <w:r>
        <w:rPr>
          <w:rFonts w:ascii="Arial" w:hAnsi="Arial" w:eastAsia="Arial" w:cs="Arial"/>
          <w:spacing w:val="7"/>
        </w:rPr>
        <w:t>)    </w:t>
      </w:r>
      <w:r>
        <w:rPr>
          <w:spacing w:val="7"/>
        </w:rPr>
        <w:t>性质预测：模型评估</w:t>
      </w:r>
      <w:r>
        <w:rPr>
          <w:spacing w:val="6"/>
        </w:rPr>
        <w:t>药物在体内的吸收、分布、代谢和排泄特性，减</w:t>
      </w:r>
      <w:r>
        <w:rPr/>
        <w:t xml:space="preserve"> </w:t>
      </w:r>
      <w:r>
        <w:rPr>
          <w:spacing w:val="6"/>
        </w:rPr>
        <w:t>少无效候选物。</w:t>
      </w:r>
    </w:p>
    <w:p>
      <w:pPr>
        <w:pStyle w:val="BodyText"/>
        <w:ind w:left="369"/>
        <w:spacing w:before="265" w:line="222" w:lineRule="auto"/>
        <w:rPr/>
      </w:pPr>
      <w:r>
        <w:rPr>
          <w:spacing w:val="3"/>
        </w:rPr>
        <w:t>·</w:t>
      </w:r>
      <w:r>
        <w:rPr>
          <w:spacing w:val="-89"/>
        </w:rPr>
        <w:t xml:space="preserve"> </w:t>
      </w:r>
      <w:r>
        <w:rPr>
          <w:spacing w:val="3"/>
        </w:rPr>
        <w:t>毒性与安全性评估：通过虚拟筛选预测潜</w:t>
      </w:r>
      <w:r>
        <w:rPr>
          <w:spacing w:val="2"/>
        </w:rPr>
        <w:t>在副作用。</w:t>
      </w:r>
    </w:p>
    <w:p>
      <w:pPr>
        <w:pStyle w:val="BodyText"/>
        <w:ind w:left="369"/>
        <w:spacing w:before="273" w:line="221" w:lineRule="auto"/>
        <w:rPr/>
      </w:pPr>
      <w:r>
        <w:rPr>
          <w:spacing w:val="9"/>
        </w:rPr>
        <w:t>·</w:t>
      </w:r>
      <w:r>
        <w:rPr>
          <w:spacing w:val="-89"/>
        </w:rPr>
        <w:t xml:space="preserve"> </w:t>
      </w:r>
      <w:r>
        <w:rPr>
          <w:spacing w:val="9"/>
        </w:rPr>
        <w:t>分子生成与优化：生成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(如扩散模型)可</w:t>
      </w:r>
      <w:r>
        <w:rPr>
          <w:spacing w:val="8"/>
        </w:rPr>
        <w:t>设计全新分子结构。</w:t>
      </w:r>
    </w:p>
    <w:p>
      <w:pPr>
        <w:spacing w:line="221" w:lineRule="auto"/>
        <w:sectPr>
          <w:pgSz w:w="12240" w:h="15840"/>
          <w:pgMar w:top="1114" w:right="1050" w:bottom="0" w:left="980" w:header="0" w:footer="0" w:gutter="0"/>
        </w:sectPr>
        <w:rPr/>
      </w:pPr>
    </w:p>
    <w:p>
      <w:pPr>
        <w:pStyle w:val="BodyText"/>
        <w:spacing w:before="63" w:line="342" w:lineRule="auto"/>
        <w:rPr/>
      </w:pPr>
      <w:r>
        <w:rPr>
          <w:spacing w:val="9"/>
        </w:rPr>
        <w:t>具体例子：</w:t>
      </w:r>
      <w:r>
        <w:rPr>
          <w:rFonts w:ascii="Arial" w:hAnsi="Arial" w:eastAsia="Arial" w:cs="Arial"/>
        </w:rPr>
        <w:t>AlphaFold</w:t>
      </w:r>
      <w:r>
        <w:rPr>
          <w:rFonts w:ascii="Arial" w:hAnsi="Arial" w:eastAsia="Arial" w:cs="Arial"/>
          <w:spacing w:val="9"/>
        </w:rPr>
        <w:t xml:space="preserve">   3</w:t>
      </w:r>
      <w:r>
        <w:rPr>
          <w:spacing w:val="9"/>
        </w:rPr>
        <w:t>已被广泛用于药物设计，帮助研究者快速评估候选药物与靶蛋白的结合模</w:t>
      </w:r>
      <w:r>
        <w:rPr>
          <w:spacing w:val="1"/>
        </w:rPr>
        <w:t xml:space="preserve"> </w:t>
      </w:r>
      <w:r>
        <w:rPr>
          <w:spacing w:val="10"/>
        </w:rPr>
        <w:t>式；另一例子是</w:t>
      </w:r>
      <w:r>
        <w:rPr>
          <w:rFonts w:ascii="Arial" w:hAnsi="Arial" w:eastAsia="Arial" w:cs="Arial"/>
        </w:rPr>
        <w:t>Insilico</w:t>
      </w:r>
      <w:r>
        <w:rPr>
          <w:rFonts w:ascii="Arial" w:hAnsi="Arial" w:eastAsia="Arial" w:cs="Arial"/>
          <w:spacing w:val="10"/>
        </w:rPr>
        <w:t xml:space="preserve">    </w:t>
      </w:r>
      <w:r>
        <w:rPr>
          <w:rFonts w:ascii="Arial" w:hAnsi="Arial" w:eastAsia="Arial" w:cs="Arial"/>
        </w:rPr>
        <w:t>Medicine</w:t>
      </w:r>
      <w:r>
        <w:rPr>
          <w:spacing w:val="10"/>
        </w:rPr>
        <w:t>等公司开发的生成模型，已进入临床前阶</w:t>
      </w:r>
      <w:r>
        <w:rPr>
          <w:spacing w:val="9"/>
        </w:rPr>
        <w:t>段，用于快速产生针</w:t>
      </w:r>
      <w:r>
        <w:rPr/>
        <w:t xml:space="preserve">  </w:t>
      </w:r>
      <w:r>
        <w:rPr>
          <w:spacing w:val="13"/>
        </w:rPr>
        <w:t>对特定疾病的候选药物。这些应用显著缩短了从靶点识别到先导化合物的周期(从几年</w:t>
      </w:r>
      <w:r>
        <w:rPr>
          <w:spacing w:val="12"/>
        </w:rPr>
        <w:t>减至几个</w:t>
      </w:r>
      <w:r>
        <w:rPr/>
        <w:t xml:space="preserve">  </w:t>
      </w:r>
      <w:r>
        <w:rPr>
          <w:spacing w:val="18"/>
        </w:rPr>
        <w:t>月),但距离系统性评价完整药物效果(如在人体内的长期疗效和安全性)仍有差距。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大模型在实现系统性评价方面的潜力</w:t>
      </w:r>
    </w:p>
    <w:p>
      <w:pPr>
        <w:pStyle w:val="BodyText"/>
        <w:spacing w:before="243" w:line="213" w:lineRule="auto"/>
        <w:rPr/>
      </w:pPr>
      <w:r>
        <w:rPr>
          <w:spacing w:val="11"/>
        </w:rPr>
        <w:t>传统方法往往孤立分析单一数据源，而大型</w:t>
      </w:r>
      <w:r>
        <w:rPr>
          <w:rFonts w:ascii="SimSun" w:hAnsi="SimSun" w:eastAsia="SimSun" w:cs="SimSun"/>
        </w:rPr>
        <w:t>AI</w:t>
      </w:r>
      <w:r>
        <w:rPr>
          <w:spacing w:val="11"/>
        </w:rPr>
        <w:t>模型擅长多模态数据整合，能同时处理结构数据</w:t>
      </w:r>
    </w:p>
    <w:p>
      <w:pPr>
        <w:pStyle w:val="BodyText"/>
        <w:ind w:right="61" w:firstLine="149"/>
        <w:spacing w:before="152" w:line="325" w:lineRule="auto"/>
        <w:rPr/>
      </w:pPr>
      <w:r>
        <w:rPr>
          <w:spacing w:val="20"/>
        </w:rPr>
        <w:t>(蛋白3</w:t>
      </w:r>
      <w:r>
        <w:rPr>
          <w:rFonts w:ascii="SimSun" w:hAnsi="SimSun" w:eastAsia="SimSun" w:cs="SimSun"/>
          <w:spacing w:val="20"/>
        </w:rPr>
        <w:t>D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20"/>
        </w:rPr>
        <w:t>模型)、序列数据(基因组)、文本数据(文献)和数值数据(临床指标)。通过多组学</w:t>
      </w:r>
      <w:r>
        <w:rPr/>
        <w:t xml:space="preserve">  </w:t>
      </w:r>
      <w:r>
        <w:rPr>
          <w:spacing w:val="7"/>
        </w:rPr>
        <w:t>整合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>(</w:t>
      </w:r>
      <w:r>
        <w:rPr>
          <w:rFonts w:ascii="Arial" w:hAnsi="Arial" w:eastAsia="Arial" w:cs="Arial"/>
        </w:rPr>
        <w:t>multi</w:t>
      </w:r>
      <w:r>
        <w:rPr>
          <w:rFonts w:ascii="Arial" w:hAnsi="Arial" w:eastAsia="Arial" w:cs="Arial"/>
          <w:spacing w:val="7"/>
        </w:rPr>
        <w:t>-</w:t>
      </w:r>
      <w:r>
        <w:rPr>
          <w:rFonts w:ascii="Arial" w:hAnsi="Arial" w:eastAsia="Arial" w:cs="Arial"/>
        </w:rPr>
        <w:t>omics</w:t>
      </w:r>
      <w:r>
        <w:rPr>
          <w:rFonts w:ascii="Arial" w:hAnsi="Arial" w:eastAsia="Arial" w:cs="Arial"/>
          <w:spacing w:val="7"/>
        </w:rPr>
        <w:t xml:space="preserve">         </w:t>
      </w:r>
      <w:r>
        <w:rPr>
          <w:rFonts w:ascii="Arial" w:hAnsi="Arial" w:eastAsia="Arial" w:cs="Arial"/>
        </w:rPr>
        <w:t>integration</w:t>
      </w:r>
      <w:r>
        <w:rPr>
          <w:rFonts w:ascii="Arial" w:hAnsi="Arial" w:eastAsia="Arial" w:cs="Arial"/>
          <w:spacing w:val="7"/>
        </w:rPr>
        <w:t>), </w:t>
      </w:r>
      <w:r>
        <w:rPr>
          <w:spacing w:val="7"/>
        </w:rPr>
        <w:t>模型可构建更全面的生物网络视图</w:t>
      </w:r>
      <w:r>
        <w:rPr>
          <w:spacing w:val="6"/>
        </w:rPr>
        <w:t>，例如同时考虑基因表达、</w:t>
      </w:r>
      <w:r>
        <w:rPr/>
        <w:t xml:space="preserve"> </w:t>
      </w:r>
      <w:r>
        <w:rPr>
          <w:spacing w:val="10"/>
        </w:rPr>
        <w:t>蛋白交互和代谢通路变化，从而更系统地预测药物对整个生物系统的扰动。这比传统方法更接近</w:t>
      </w:r>
      <w:r>
        <w:rPr>
          <w:spacing w:val="7"/>
        </w:rPr>
        <w:t xml:space="preserve"> </w:t>
      </w:r>
      <w:r>
        <w:rPr>
          <w:spacing w:val="-1"/>
        </w:rPr>
        <w:t>人体真实复杂性，有望实现“虚拟筛选”向“虚拟评估”的转变，提供比碎片</w:t>
      </w:r>
      <w:r>
        <w:rPr>
          <w:spacing w:val="-2"/>
        </w:rPr>
        <w:t>化实验更连贯的药物效</w:t>
      </w:r>
      <w:r>
        <w:rPr/>
        <w:t xml:space="preserve">  </w:t>
      </w:r>
      <w:r>
        <w:rPr>
          <w:spacing w:val="3"/>
        </w:rPr>
        <w:t>果画像。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大模型在处理个体差异方面的作用</w:t>
      </w:r>
    </w:p>
    <w:p>
      <w:pPr>
        <w:pStyle w:val="BodyText"/>
        <w:ind w:right="9"/>
        <w:spacing w:before="253" w:line="326" w:lineRule="auto"/>
        <w:rPr/>
      </w:pPr>
      <w:r>
        <w:rPr>
          <w:spacing w:val="14"/>
        </w:rPr>
        <w:t>个体药物反应差异主要源于遗传变异(如药物</w:t>
      </w:r>
      <w:r>
        <w:rPr>
          <w:spacing w:val="13"/>
        </w:rPr>
        <w:t>代谢酶基因多态性)。大型</w:t>
      </w:r>
      <w:r>
        <w:rPr>
          <w:rFonts w:ascii="SimSun" w:hAnsi="SimSun" w:eastAsia="SimSun" w:cs="SimSun"/>
        </w:rPr>
        <w:t>AI</w:t>
      </w:r>
      <w:r>
        <w:rPr>
          <w:spacing w:val="13"/>
        </w:rPr>
        <w:t>模型若融入个人多组学</w:t>
      </w:r>
      <w:r>
        <w:rPr/>
        <w:t xml:space="preserve"> </w:t>
      </w:r>
      <w:r>
        <w:rPr>
          <w:spacing w:val="16"/>
        </w:rPr>
        <w:t>数据(如全基因组测序、转录组和表观遗传数据),可训练出</w:t>
      </w:r>
      <w:r>
        <w:rPr>
          <w:spacing w:val="15"/>
        </w:rPr>
        <w:t>预测个体药物响应的模型。例如，通</w:t>
      </w:r>
      <w:r>
        <w:rPr/>
        <w:t xml:space="preserve"> </w:t>
      </w:r>
      <w:r>
        <w:rPr>
          <w:spacing w:val="10"/>
        </w:rPr>
        <w:t>过患者特异性数据微调模型，能识别特定基因型下药物的疗效或毒性风险，支持个性化医学。这</w:t>
      </w:r>
      <w:r>
        <w:rPr>
          <w:spacing w:val="6"/>
        </w:rPr>
        <w:t xml:space="preserve">  </w:t>
      </w:r>
      <w:r>
        <w:rPr>
          <w:spacing w:val="10"/>
        </w:rPr>
        <w:t>在肿瘤药物响应预测中已有初步应用，帮助解释为什么某些患者对同一药物耐药或产生严重副作</w:t>
      </w:r>
      <w:r>
        <w:rPr>
          <w:spacing w:val="5"/>
        </w:rPr>
        <w:t xml:space="preserve">  </w:t>
      </w:r>
      <w:r>
        <w:rPr>
          <w:spacing w:val="-9"/>
        </w:rPr>
        <w:t>用，未来可能实现“精准给药”。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当前面临的挑战</w:t>
      </w:r>
    </w:p>
    <w:p>
      <w:pPr>
        <w:pStyle w:val="BodyText"/>
        <w:spacing w:before="239" w:line="213" w:lineRule="auto"/>
        <w:rPr/>
      </w:pPr>
      <w:r>
        <w:rPr>
          <w:spacing w:val="10"/>
        </w:rPr>
        <w:t>尽管前景广阔，目前将大型</w:t>
      </w:r>
      <w:r>
        <w:rPr>
          <w:rFonts w:ascii="Arial" w:hAnsi="Arial" w:eastAsia="Arial" w:cs="Arial"/>
        </w:rPr>
        <w:t>AI</w:t>
      </w:r>
      <w:r>
        <w:rPr>
          <w:spacing w:val="10"/>
        </w:rPr>
        <w:t>模型用于系统性药物效果模拟仍面临多重困难：</w:t>
      </w:r>
    </w:p>
    <w:p>
      <w:pPr>
        <w:pStyle w:val="BodyText"/>
        <w:ind w:left="509" w:right="99" w:hanging="140"/>
        <w:spacing w:before="275" w:line="275" w:lineRule="auto"/>
        <w:rPr/>
      </w:pPr>
      <w:r>
        <w:rPr>
          <w:spacing w:val="8"/>
        </w:rPr>
        <w:t>·</w:t>
      </w:r>
      <w:r>
        <w:rPr>
          <w:spacing w:val="-94"/>
        </w:rPr>
        <w:t xml:space="preserve"> </w:t>
      </w:r>
      <w:r>
        <w:rPr>
          <w:spacing w:val="8"/>
        </w:rPr>
        <w:t>数据问题：高质量、多样化的训练数据不足，尤其是稀有疾病</w:t>
      </w:r>
      <w:r>
        <w:rPr>
          <w:spacing w:val="7"/>
        </w:rPr>
        <w:t>或特定人群数据；现有数据常</w:t>
      </w:r>
      <w:r>
        <w:rPr/>
        <w:t xml:space="preserve"> </w:t>
      </w:r>
      <w:r>
        <w:rPr>
          <w:spacing w:val="9"/>
        </w:rPr>
        <w:t>存在偏差，导致模型泛化能力差。</w:t>
      </w:r>
    </w:p>
    <w:p>
      <w:pPr>
        <w:pStyle w:val="BodyText"/>
        <w:ind w:left="369"/>
        <w:spacing w:before="275" w:line="213" w:lineRule="auto"/>
        <w:rPr/>
      </w:pPr>
      <w:r>
        <w:rPr>
          <w:spacing w:val="3"/>
        </w:rPr>
        <w:t>·模型可解释性：许多大模型是“黑箱”,难以解释预测依据，影响科研和监管信任。</w:t>
      </w:r>
    </w:p>
    <w:p>
      <w:pPr>
        <w:pStyle w:val="BodyText"/>
        <w:ind w:left="369"/>
        <w:spacing w:before="274" w:line="213" w:lineRule="auto"/>
        <w:rPr/>
      </w:pPr>
      <w:r>
        <w:rPr>
          <w:spacing w:val="4"/>
        </w:rPr>
        <w:t>·</w:t>
      </w:r>
      <w:r>
        <w:rPr>
          <w:spacing w:val="-96"/>
        </w:rPr>
        <w:t xml:space="preserve"> </w:t>
      </w:r>
      <w:r>
        <w:rPr>
          <w:spacing w:val="4"/>
        </w:rPr>
        <w:t>计算资源：训练和运行需巨大算力，限制中小机构应用。</w:t>
      </w:r>
    </w:p>
    <w:p>
      <w:pPr>
        <w:pStyle w:val="BodyText"/>
        <w:ind w:left="509" w:right="17" w:hanging="140"/>
        <w:spacing w:before="275" w:line="275" w:lineRule="auto"/>
        <w:rPr/>
      </w:pPr>
      <w:r>
        <w:rPr>
          <w:spacing w:val="7"/>
        </w:rPr>
        <w:t>·</w:t>
      </w:r>
      <w:r>
        <w:rPr>
          <w:spacing w:val="-96"/>
        </w:rPr>
        <w:t xml:space="preserve"> </w:t>
      </w:r>
      <w:r>
        <w:rPr>
          <w:spacing w:val="7"/>
        </w:rPr>
        <w:t>距离临床应用远：当前预测主要停留在分子/细胞水平，难以准确模拟</w:t>
      </w:r>
      <w:r>
        <w:rPr>
          <w:spacing w:val="6"/>
        </w:rPr>
        <w:t>人体全身动态过程；缺</w:t>
      </w:r>
      <w:r>
        <w:rPr/>
        <w:t xml:space="preserve"> </w:t>
      </w:r>
      <w:r>
        <w:rPr>
          <w:spacing w:val="9"/>
        </w:rPr>
        <w:t>乏充分实验验证，监管机构对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9"/>
        </w:rPr>
        <w:t>辅助药物评估</w:t>
      </w:r>
      <w:r>
        <w:rPr>
          <w:spacing w:val="8"/>
        </w:rPr>
        <w:t>的审批标准尚不成熟。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未来发展展望</w:t>
      </w:r>
    </w:p>
    <w:p>
      <w:pPr>
        <w:spacing w:line="221" w:lineRule="auto"/>
        <w:sectPr>
          <w:pgSz w:w="12240" w:h="15840"/>
          <w:pgMar w:top="1182" w:right="1023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right="4"/>
        <w:spacing w:before="43" w:line="340" w:lineRule="auto"/>
        <w:rPr/>
      </w:pPr>
      <w:r>
        <w:rPr>
          <w:spacing w:val="8"/>
        </w:rPr>
        <w:t>基于当前趋势，这个领域未来将向更全面的</w:t>
      </w:r>
      <w:r>
        <w:rPr>
          <w:rFonts w:ascii="SimSun" w:hAnsi="SimSun" w:eastAsia="SimSun" w:cs="SimSun"/>
        </w:rPr>
        <w:t>in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</w:rPr>
        <w:t>silico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spacing w:val="8"/>
        </w:rPr>
        <w:t>(计算机模拟)药物评价方向演进，包括虚</w:t>
      </w:r>
      <w:r>
        <w:rPr>
          <w:spacing w:val="9"/>
        </w:rPr>
        <w:t xml:space="preserve">  </w:t>
      </w:r>
      <w:r>
        <w:rPr>
          <w:spacing w:val="7"/>
        </w:rPr>
        <w:t>拟细胞/器官模型、数字孪生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(</w:t>
      </w:r>
      <w:r>
        <w:rPr>
          <w:rFonts w:ascii="SimSun" w:hAnsi="SimSun" w:eastAsia="SimSun" w:cs="SimSun"/>
        </w:rPr>
        <w:t>digital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</w:rPr>
        <w:t>twins</w:t>
      </w:r>
      <w:r>
        <w:rPr>
          <w:rFonts w:ascii="SimSun" w:hAnsi="SimSun" w:eastAsia="SimSun" w:cs="SimSun"/>
          <w:spacing w:val="7"/>
        </w:rPr>
        <w:t>)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7"/>
        </w:rPr>
        <w:t>和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驱动的虚拟</w:t>
      </w:r>
      <w:r>
        <w:rPr>
          <w:spacing w:val="6"/>
        </w:rPr>
        <w:t>临床试验，可能大幅减少动物实验</w:t>
      </w:r>
      <w:r>
        <w:rPr/>
        <w:t xml:space="preserve">  </w:t>
      </w:r>
      <w:r>
        <w:rPr>
          <w:spacing w:val="10"/>
        </w:rPr>
        <w:t>和真实试验规模，实现更快、更安全的药物评估。同时，多模态基础模型将继续发展，支持从靶</w:t>
      </w:r>
      <w:r>
        <w:rPr>
          <w:spacing w:val="8"/>
        </w:rPr>
        <w:t xml:space="preserve">  </w:t>
      </w:r>
      <w:r>
        <w:rPr>
          <w:spacing w:val="10"/>
        </w:rPr>
        <w:t>点发现到个体化疗效预测的全流程整合。预计到2030年左右，</w:t>
      </w:r>
      <w:r>
        <w:rPr>
          <w:spacing w:val="2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10"/>
        </w:rPr>
        <w:t>可能常态化用于药物重定位和个</w:t>
      </w:r>
      <w:r>
        <w:rPr/>
        <w:t xml:space="preserve"> </w:t>
      </w:r>
      <w:r>
        <w:rPr>
          <w:spacing w:val="3"/>
        </w:rPr>
        <w:t>性化方案设计。</w:t>
      </w:r>
    </w:p>
    <w:p>
      <w:pPr>
        <w:pStyle w:val="BodyText"/>
        <w:spacing w:before="102" w:line="342" w:lineRule="auto"/>
        <w:jc w:val="both"/>
        <w:rPr/>
      </w:pPr>
      <w:r>
        <w:rPr>
          <w:spacing w:val="15"/>
        </w:rPr>
        <w:t>然而，新问题也将出现：数据隐私与伦理(如患者基因数据使用)、模型偏差导致的不公平(如对</w:t>
      </w:r>
      <w:r>
        <w:rPr>
          <w:spacing w:val="18"/>
        </w:rPr>
        <w:t xml:space="preserve"> </w:t>
      </w:r>
      <w:r>
        <w:rPr>
          <w:spacing w:val="10"/>
        </w:rPr>
        <w:t>少数族群预测不准)、监管框架滞后，以及过度依赖</w:t>
      </w:r>
      <w:r>
        <w:rPr>
          <w:rFonts w:ascii="SimSun" w:hAnsi="SimSun" w:eastAsia="SimSun" w:cs="SimSun"/>
        </w:rPr>
        <w:t>Al</w:t>
      </w:r>
      <w:r>
        <w:rPr>
          <w:spacing w:val="10"/>
        </w:rPr>
        <w:t>可能削弱传统实验验证。总体而言，随着数</w:t>
      </w:r>
      <w:r>
        <w:rPr>
          <w:spacing w:val="17"/>
        </w:rPr>
        <w:t xml:space="preserve"> </w:t>
      </w:r>
      <w:r>
        <w:rPr>
          <w:spacing w:val="11"/>
        </w:rPr>
        <w:t>据积累、算法改进和跨学科合作，这个方向有望显</w:t>
      </w:r>
      <w:r>
        <w:rPr>
          <w:spacing w:val="10"/>
        </w:rPr>
        <w:t>著提升药物研发效率，并更好地应对个体差异</w:t>
      </w:r>
      <w:r>
        <w:rPr/>
        <w:t xml:space="preserve">  </w:t>
      </w:r>
      <w:r>
        <w:rPr>
          <w:spacing w:val="4"/>
        </w:rPr>
        <w:t>带来的挑战。</w:t>
      </w:r>
    </w:p>
    <w:sectPr>
      <w:pgSz w:w="12240" w:h="15840"/>
      <w:pgMar w:top="1241" w:right="104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2026-03-16T00:00:14</vt:filetime>
  </property>
  <property fmtid="{D5CDD505-2E9C-101B-9397-08002B2CF9AE}" pid="4" name="UsrData">
    <vt:lpwstr>69b6d78b5b4fbf001fcce018wl</vt:lpwstr>
  </property>
</Properties>
</file>