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47"/>
        <w:spacing w:before="89" w:line="218" w:lineRule="auto"/>
        <w:outlineLvl w:val="0"/>
        <w:rPr>
          <w:sz w:val="44"/>
          <w:szCs w:val="44"/>
        </w:rPr>
      </w:pPr>
      <w:r>
        <w:rPr>
          <w:sz w:val="44"/>
          <w:szCs w:val="44"/>
          <w:spacing w:val="8"/>
        </w:rPr>
        <w:t>关于大模型赋能药物系统性评估与个体化响应的前</w:t>
      </w:r>
      <w:r>
        <w:rPr>
          <w:sz w:val="44"/>
          <w:szCs w:val="44"/>
          <w:spacing w:val="8"/>
        </w:rPr>
        <w:t xml:space="preserve"> </w:t>
      </w:r>
      <w:r>
        <w:rPr>
          <w:sz w:val="44"/>
          <w:szCs w:val="44"/>
          <w:spacing w:val="9"/>
        </w:rPr>
        <w:t>沿技术研判与发展路线图</w:t>
      </w:r>
    </w:p>
    <w:p>
      <w:pPr>
        <w:spacing w:line="407" w:lineRule="auto"/>
        <w:rPr>
          <w:rFonts w:ascii="Arial"/>
          <w:sz w:val="21"/>
        </w:rPr>
      </w:pPr>
      <w:r/>
    </w:p>
    <w:p>
      <w:pPr>
        <w:pStyle w:val="BodyText"/>
        <w:ind w:left="5"/>
        <w:spacing w:before="117" w:line="223" w:lineRule="auto"/>
        <w:outlineLvl w:val="1"/>
        <w:rPr>
          <w:sz w:val="36"/>
          <w:szCs w:val="36"/>
        </w:rPr>
      </w:pPr>
      <w:r>
        <w:rPr>
          <w:sz w:val="36"/>
          <w:szCs w:val="36"/>
          <w:b/>
          <w:bCs/>
          <w:spacing w:val="-4"/>
        </w:rPr>
        <w:t>一、引言</w:t>
      </w:r>
    </w:p>
    <w:p>
      <w:pPr>
        <w:pStyle w:val="BodyText"/>
        <w:ind w:left="194"/>
        <w:spacing w:before="189" w:line="221" w:lineRule="auto"/>
        <w:outlineLvl w:val="2"/>
        <w:rPr>
          <w:sz w:val="30"/>
          <w:szCs w:val="30"/>
        </w:rPr>
      </w:pPr>
      <w:r>
        <w:rPr>
          <w:sz w:val="30"/>
          <w:szCs w:val="30"/>
          <w:b/>
          <w:bCs/>
          <w:spacing w:val="8"/>
        </w:rPr>
        <w:t>(一)研究背景与意义</w:t>
      </w:r>
    </w:p>
    <w:p>
      <w:pPr>
        <w:pStyle w:val="BodyText"/>
        <w:ind w:left="3"/>
        <w:spacing w:before="189" w:line="221" w:lineRule="auto"/>
        <w:outlineLvl w:val="3"/>
        <w:rPr/>
      </w:pPr>
      <w:r>
        <w:rPr>
          <w:rFonts w:ascii="SimSun" w:hAnsi="SimSun" w:eastAsia="SimSun" w:cs="SimSun"/>
          <w:b/>
          <w:bCs/>
          <w:spacing w:val="-5"/>
        </w:rPr>
        <w:t>1.</w:t>
      </w:r>
      <w:r>
        <w:rPr>
          <w:b/>
          <w:bCs/>
          <w:spacing w:val="-5"/>
        </w:rPr>
        <w:t>传统药物系统性评估的瓶颈分析</w:t>
      </w:r>
    </w:p>
    <w:p>
      <w:pPr>
        <w:pStyle w:val="BodyText"/>
        <w:ind w:right="82"/>
        <w:spacing w:before="233" w:line="307" w:lineRule="auto"/>
        <w:rPr/>
      </w:pPr>
      <w:r>
        <w:rPr/>
        <w:t>传统药物系统性评估方法主要依赖于体外实验、动物模型以及临床试验序列，通常情况下，这可</w:t>
      </w:r>
      <w:r>
        <w:rPr>
          <w:spacing w:val="12"/>
        </w:rPr>
        <w:t xml:space="preserve"> </w:t>
      </w:r>
      <w:r>
        <w:rPr>
          <w:spacing w:val="1"/>
        </w:rPr>
        <w:t>能导致评估过程的碎片化和低效性。据美国食品和药物管理局</w:t>
      </w:r>
      <w:r>
        <w:rPr>
          <w:spacing w:val="1"/>
        </w:rPr>
        <w:t xml:space="preserve"> </w:t>
      </w:r>
      <w:r>
        <w:rPr>
          <w:rFonts w:ascii="Times New Roman" w:hAnsi="Times New Roman" w:eastAsia="Times New Roman" w:cs="Times New Roman"/>
          <w:spacing w:val="1"/>
        </w:rPr>
        <w:t>(</w:t>
      </w:r>
      <w:r>
        <w:rPr>
          <w:rFonts w:ascii="Times New Roman" w:hAnsi="Times New Roman" w:eastAsia="Times New Roman" w:cs="Times New Roman"/>
        </w:rPr>
        <w:t>FDA</w:t>
      </w:r>
      <w:r>
        <w:rPr>
          <w:rFonts w:ascii="Times New Roman" w:hAnsi="Times New Roman" w:eastAsia="Times New Roman" w:cs="Times New Roman"/>
          <w:spacing w:val="1"/>
        </w:rPr>
        <w:t>)  </w:t>
      </w:r>
      <w:r>
        <w:rPr>
          <w:rFonts w:ascii="Times New Roman" w:hAnsi="Times New Roman" w:eastAsia="Times New Roman" w:cs="Times New Roman"/>
        </w:rPr>
        <w:t xml:space="preserve"> </w:t>
      </w:r>
      <w:r>
        <w:rPr/>
        <w:t>在《人工智能用于药物开</w:t>
      </w:r>
      <w:r>
        <w:rPr/>
        <w:t xml:space="preserve"> </w:t>
      </w:r>
      <w:r>
        <w:rPr/>
        <w:t>发的指导草案》中指出，传统方法在处理复杂生物系统时往往面临</w:t>
      </w:r>
      <w:r>
        <w:rPr>
          <w:spacing w:val="-1"/>
        </w:rPr>
        <w:t>数据孤岛和预测准确性不足的</w:t>
      </w:r>
      <w:r>
        <w:rPr/>
        <w:t xml:space="preserve"> </w:t>
      </w:r>
      <w:r>
        <w:rPr>
          <w:spacing w:val="1"/>
        </w:rPr>
        <w:t>问题。具体而言，这些瓶颈包括：多组学整合</w:t>
      </w:r>
      <w:r>
        <w:rPr>
          <w:spacing w:val="1"/>
        </w:rPr>
        <w:t xml:space="preserve"> </w:t>
      </w:r>
      <w:r>
        <w:rPr>
          <w:rFonts w:ascii="SimSun" w:hAnsi="SimSun" w:eastAsia="SimSun" w:cs="SimSun"/>
          <w:spacing w:val="1"/>
        </w:rPr>
        <w:t>(</w:t>
      </w:r>
      <w:r>
        <w:rPr>
          <w:rFonts w:ascii="SimSun" w:hAnsi="SimSun" w:eastAsia="SimSun" w:cs="SimSun"/>
        </w:rPr>
        <w:t>multi</w:t>
      </w:r>
      <w:r>
        <w:rPr>
          <w:rFonts w:ascii="SimSun" w:hAnsi="SimSun" w:eastAsia="SimSun" w:cs="SimSun"/>
          <w:spacing w:val="1"/>
        </w:rPr>
        <w:t>-</w:t>
      </w:r>
      <w:r>
        <w:rPr>
          <w:rFonts w:ascii="SimSun" w:hAnsi="SimSun" w:eastAsia="SimSun" w:cs="SimSun"/>
        </w:rPr>
        <w:t>omics</w:t>
      </w:r>
      <w:r>
        <w:rPr>
          <w:rFonts w:ascii="SimSun" w:hAnsi="SimSun" w:eastAsia="SimSun" w:cs="SimSun"/>
          <w:spacing w:val="1"/>
        </w:rPr>
        <w:t xml:space="preserve"> </w:t>
      </w:r>
      <w:r>
        <w:rPr>
          <w:rFonts w:ascii="SimSun" w:hAnsi="SimSun" w:eastAsia="SimSun" w:cs="SimSun"/>
        </w:rPr>
        <w:t>integration</w:t>
      </w:r>
      <w:r>
        <w:rPr>
          <w:rFonts w:ascii="SimSun" w:hAnsi="SimSun" w:eastAsia="SimSun" w:cs="SimSun"/>
          <w:spacing w:val="1"/>
        </w:rPr>
        <w:t>,</w:t>
      </w:r>
      <w:r>
        <w:rPr>
          <w:spacing w:val="1"/>
        </w:rPr>
        <w:t>指基因组学、转录组</w:t>
      </w:r>
      <w:r>
        <w:rPr>
          <w:spacing w:val="15"/>
        </w:rPr>
        <w:t xml:space="preserve"> </w:t>
      </w:r>
      <w:r>
        <w:rPr>
          <w:spacing w:val="3"/>
        </w:rPr>
        <w:t>学、蛋白质组学等多层次生物数据的融合分析)的缺失</w:t>
      </w:r>
      <w:r>
        <w:rPr>
          <w:spacing w:val="2"/>
        </w:rPr>
        <w:t>，导致难以捕捉药物与机体交互的全景；</w:t>
      </w:r>
    </w:p>
    <w:p>
      <w:pPr>
        <w:pStyle w:val="BodyText"/>
        <w:spacing w:before="3" w:line="322" w:lineRule="auto"/>
        <w:rPr/>
      </w:pPr>
      <w:r>
        <w:rPr>
          <w:spacing w:val="4"/>
        </w:rPr>
        <w:t>药物表型</w:t>
      </w:r>
      <w:r>
        <w:rPr>
          <w:spacing w:val="4"/>
        </w:rPr>
        <w:t xml:space="preserve"> </w:t>
      </w:r>
      <w:r>
        <w:rPr>
          <w:rFonts w:ascii="Arial" w:hAnsi="Arial" w:eastAsia="Arial" w:cs="Arial"/>
          <w:spacing w:val="4"/>
        </w:rPr>
        <w:t>(</w:t>
      </w:r>
      <w:r>
        <w:rPr>
          <w:rFonts w:ascii="Arial" w:hAnsi="Arial" w:eastAsia="Arial" w:cs="Arial"/>
        </w:rPr>
        <w:t>drug</w:t>
      </w:r>
      <w:r>
        <w:rPr>
          <w:rFonts w:ascii="Arial" w:hAnsi="Arial" w:eastAsia="Arial" w:cs="Arial"/>
          <w:spacing w:val="4"/>
        </w:rPr>
        <w:t xml:space="preserve">    </w:t>
      </w:r>
      <w:r>
        <w:rPr>
          <w:rFonts w:ascii="Arial" w:hAnsi="Arial" w:eastAsia="Arial" w:cs="Arial"/>
        </w:rPr>
        <w:t>phenotype</w:t>
      </w:r>
      <w:r>
        <w:rPr>
          <w:rFonts w:ascii="Arial" w:hAnsi="Arial" w:eastAsia="Arial" w:cs="Arial"/>
          <w:spacing w:val="4"/>
        </w:rPr>
        <w:t>,</w:t>
      </w:r>
      <w:r>
        <w:rPr>
          <w:rFonts w:ascii="Arial" w:hAnsi="Arial" w:eastAsia="Arial" w:cs="Arial"/>
          <w:spacing w:val="50"/>
          <w:w w:val="101"/>
        </w:rPr>
        <w:t xml:space="preserve"> </w:t>
      </w:r>
      <w:r>
        <w:rPr>
          <w:spacing w:val="4"/>
        </w:rPr>
        <w:t>指药物在生物系统中表现出的整体效应特征)的评估依赖于经验主</w:t>
      </w:r>
      <w:r>
        <w:rPr/>
        <w:t xml:space="preserve"> </w:t>
      </w:r>
      <w:r>
        <w:rPr>
          <w:spacing w:val="1"/>
        </w:rPr>
        <w:t>义，易受主观偏差影响；以及</w:t>
      </w:r>
      <w:r>
        <w:rPr>
          <w:rFonts w:ascii="Times New Roman" w:hAnsi="Times New Roman" w:eastAsia="Times New Roman" w:cs="Times New Roman"/>
        </w:rPr>
        <w:t>ADMET</w:t>
      </w:r>
      <w:r>
        <w:rPr>
          <w:spacing w:val="1"/>
        </w:rPr>
        <w:t>预测</w:t>
      </w:r>
      <w:r>
        <w:rPr>
          <w:spacing w:val="-15"/>
        </w:rPr>
        <w:t xml:space="preserve"> </w:t>
      </w:r>
      <w:r>
        <w:rPr>
          <w:rFonts w:ascii="Times New Roman" w:hAnsi="Times New Roman" w:eastAsia="Times New Roman" w:cs="Times New Roman"/>
          <w:spacing w:val="1"/>
        </w:rPr>
        <w:t>(</w:t>
      </w:r>
      <w:r>
        <w:rPr>
          <w:rFonts w:ascii="Times New Roman" w:hAnsi="Times New Roman" w:eastAsia="Times New Roman" w:cs="Times New Roman"/>
        </w:rPr>
        <w:t>ADMET</w:t>
      </w:r>
      <w:r>
        <w:rPr>
          <w:rFonts w:ascii="Times New Roman" w:hAnsi="Times New Roman" w:eastAsia="Times New Roman" w:cs="Times New Roman"/>
          <w:spacing w:val="1"/>
        </w:rPr>
        <w:t xml:space="preserve">      </w:t>
      </w:r>
      <w:r>
        <w:rPr>
          <w:rFonts w:ascii="Times New Roman" w:hAnsi="Times New Roman" w:eastAsia="Times New Roman" w:cs="Times New Roman"/>
        </w:rPr>
        <w:t>prediction</w:t>
      </w:r>
      <w:r>
        <w:rPr>
          <w:rFonts w:ascii="Times New Roman" w:hAnsi="Times New Roman" w:eastAsia="Times New Roman" w:cs="Times New Roman"/>
          <w:spacing w:val="1"/>
        </w:rPr>
        <w:t>,</w:t>
      </w:r>
      <w:r>
        <w:rPr>
          <w:rFonts w:ascii="Times New Roman" w:hAnsi="Times New Roman" w:eastAsia="Times New Roman" w:cs="Times New Roman"/>
          <w:spacing w:val="38"/>
        </w:rPr>
        <w:t xml:space="preserve"> </w:t>
      </w:r>
      <w:r>
        <w:rPr>
          <w:spacing w:val="1"/>
        </w:rPr>
        <w:t>指吸收、分布、代谢、排泄和</w:t>
      </w:r>
      <w:r>
        <w:rPr/>
        <w:t xml:space="preserve"> </w:t>
      </w:r>
      <w:r>
        <w:rPr>
          <w:spacing w:val="3"/>
        </w:rPr>
        <w:t>毒性预测)的局限性，通常无法充分模拟人体异质性。</w:t>
      </w:r>
    </w:p>
    <w:p>
      <w:pPr>
        <w:pStyle w:val="BodyText"/>
        <w:ind w:left="153"/>
        <w:spacing w:before="306" w:line="222" w:lineRule="auto"/>
        <w:outlineLvl w:val="3"/>
        <w:rPr/>
      </w:pPr>
      <w:r>
        <w:rPr>
          <w:b/>
          <w:bCs/>
          <w:spacing w:val="4"/>
        </w:rPr>
        <w:t>(1)潜在局限与实施挑战</w:t>
      </w:r>
    </w:p>
    <w:p>
      <w:pPr>
        <w:pStyle w:val="BodyText"/>
        <w:ind w:right="117"/>
        <w:spacing w:before="213" w:line="328" w:lineRule="auto"/>
        <w:jc w:val="both"/>
        <w:rPr/>
      </w:pPr>
      <w:r>
        <w:rPr/>
        <w:t>尽管传统方法在历史中发挥了关键作用，但其适用条件通常局限于标准化场景，有待进一步的实</w:t>
      </w:r>
      <w:r>
        <w:rPr>
          <w:spacing w:val="14"/>
        </w:rPr>
        <w:t xml:space="preserve"> </w:t>
      </w:r>
      <w:r>
        <w:rPr/>
        <w:t>证研究验证在复杂疾病模型中的可靠性。一种可行的路径是逐步引入</w:t>
      </w:r>
      <w:r>
        <w:rPr>
          <w:spacing w:val="-1"/>
        </w:rPr>
        <w:t>辅助工具以缓解这些挑战，</w:t>
      </w:r>
      <w:r>
        <w:rPr/>
        <w:t xml:space="preserve"> </w:t>
      </w:r>
      <w:r>
        <w:rPr>
          <w:spacing w:val="-2"/>
        </w:rPr>
        <w:t>但实施中可能面临数据标准化和伦理审查的障碍。</w:t>
      </w:r>
    </w:p>
    <w:p>
      <w:pPr>
        <w:pStyle w:val="BodyText"/>
        <w:ind w:left="3"/>
        <w:spacing w:before="201" w:line="222" w:lineRule="auto"/>
        <w:outlineLvl w:val="3"/>
        <w:rPr/>
      </w:pPr>
      <w:r>
        <w:rPr>
          <w:rFonts w:ascii="SimSun" w:hAnsi="SimSun" w:eastAsia="SimSun" w:cs="SimSun"/>
          <w:b/>
          <w:bCs/>
          <w:spacing w:val="-1"/>
        </w:rPr>
        <w:t>2.</w:t>
      </w:r>
      <w:r>
        <w:rPr>
          <w:b/>
          <w:bCs/>
          <w:spacing w:val="-1"/>
        </w:rPr>
        <w:t>大模型引入的战略意义</w:t>
      </w:r>
    </w:p>
    <w:p>
      <w:pPr>
        <w:pStyle w:val="BodyText"/>
        <w:ind w:right="54"/>
        <w:spacing w:before="177" w:line="329" w:lineRule="auto"/>
        <w:jc w:val="both"/>
        <w:rPr/>
      </w:pPr>
      <w:r>
        <w:rPr>
          <w:spacing w:val="2"/>
        </w:rPr>
        <w:t>引入大模型</w:t>
      </w:r>
      <w:r>
        <w:rPr>
          <w:spacing w:val="-6"/>
        </w:rPr>
        <w:t xml:space="preserve"> </w:t>
      </w:r>
      <w:r>
        <w:rPr>
          <w:rFonts w:ascii="Arial" w:hAnsi="Arial" w:eastAsia="Arial" w:cs="Arial"/>
          <w:spacing w:val="2"/>
        </w:rPr>
        <w:t>(</w:t>
      </w:r>
      <w:r>
        <w:rPr>
          <w:rFonts w:ascii="Arial" w:hAnsi="Arial" w:eastAsia="Arial" w:cs="Arial"/>
        </w:rPr>
        <w:t>large</w:t>
      </w:r>
      <w:r>
        <w:rPr>
          <w:rFonts w:ascii="Arial" w:hAnsi="Arial" w:eastAsia="Arial" w:cs="Arial"/>
          <w:spacing w:val="2"/>
        </w:rPr>
        <w:t xml:space="preserve">    </w:t>
      </w:r>
      <w:r>
        <w:rPr>
          <w:rFonts w:ascii="Arial" w:hAnsi="Arial" w:eastAsia="Arial" w:cs="Arial"/>
        </w:rPr>
        <w:t>models</w:t>
      </w:r>
      <w:r>
        <w:rPr>
          <w:rFonts w:ascii="Arial" w:hAnsi="Arial" w:eastAsia="Arial" w:cs="Arial"/>
          <w:spacing w:val="2"/>
        </w:rPr>
        <w:t>, </w:t>
      </w:r>
      <w:r>
        <w:rPr>
          <w:spacing w:val="2"/>
        </w:rPr>
        <w:t>指训练于海量数据的深度学习架构，如</w:t>
      </w:r>
      <w:r>
        <w:rPr>
          <w:rFonts w:ascii="Arial" w:hAnsi="Arial" w:eastAsia="Arial" w:cs="Arial"/>
        </w:rPr>
        <w:t>Transformer</w:t>
      </w:r>
      <w:r>
        <w:rPr>
          <w:rFonts w:ascii="Arial" w:hAnsi="Arial" w:eastAsia="Arial" w:cs="Arial"/>
          <w:spacing w:val="2"/>
        </w:rPr>
        <w:t>-</w:t>
      </w:r>
      <w:r>
        <w:rPr>
          <w:rFonts w:ascii="Arial" w:hAnsi="Arial" w:eastAsia="Arial" w:cs="Arial"/>
        </w:rPr>
        <w:t>based</w:t>
      </w:r>
      <w:r>
        <w:rPr>
          <w:rFonts w:ascii="Arial" w:hAnsi="Arial" w:eastAsia="Arial" w:cs="Arial"/>
          <w:spacing w:val="2"/>
        </w:rPr>
        <w:t xml:space="preserve">  </w:t>
      </w:r>
      <w:r>
        <w:rPr>
          <w:spacing w:val="2"/>
        </w:rPr>
        <w:t>模型)</w:t>
      </w:r>
      <w:r>
        <w:rPr/>
        <w:t xml:space="preserve">  </w:t>
      </w:r>
      <w:r>
        <w:rPr>
          <w:spacing w:val="1"/>
        </w:rPr>
        <w:t>可能表明一种转变范式的方式。根据</w:t>
      </w:r>
      <w:r>
        <w:rPr>
          <w:rFonts w:ascii="Times New Roman" w:hAnsi="Times New Roman" w:eastAsia="Times New Roman" w:cs="Times New Roman"/>
        </w:rPr>
        <w:t>Nature</w:t>
      </w:r>
      <w:r>
        <w:rPr>
          <w:rFonts w:ascii="Times New Roman" w:hAnsi="Times New Roman" w:eastAsia="Times New Roman" w:cs="Times New Roman"/>
          <w:spacing w:val="35"/>
        </w:rPr>
        <w:t xml:space="preserve"> </w:t>
      </w:r>
      <w:r>
        <w:rPr>
          <w:spacing w:val="1"/>
        </w:rPr>
        <w:t>期刊的一篇研</w:t>
      </w:r>
      <w:r>
        <w:rPr/>
        <w:t>究强调，大模型在药物再利用中的零样</w:t>
      </w:r>
      <w:r>
        <w:rPr/>
        <w:t xml:space="preserve"> </w:t>
      </w:r>
      <w:r>
        <w:rPr>
          <w:spacing w:val="2"/>
        </w:rPr>
        <w:t>本学习能力可显著提升评估效率。这通常情况下有助于实现从经验驱动向数据驱</w:t>
      </w:r>
      <w:r>
        <w:rPr>
          <w:spacing w:val="1"/>
        </w:rPr>
        <w:t>动的跃迁，为行</w:t>
      </w:r>
      <w:r>
        <w:rPr/>
        <w:t xml:space="preserve"> </w:t>
      </w:r>
      <w:r>
        <w:rPr>
          <w:spacing w:val="-3"/>
        </w:rPr>
        <w:t>业监管机构提供更可靠的决策参考。</w:t>
      </w:r>
    </w:p>
    <w:p>
      <w:pPr>
        <w:spacing w:line="263" w:lineRule="auto"/>
        <w:rPr>
          <w:rFonts w:ascii="Arial"/>
          <w:sz w:val="21"/>
        </w:rPr>
      </w:pPr>
      <w:r/>
    </w:p>
    <w:p>
      <w:pPr>
        <w:pStyle w:val="BodyText"/>
        <w:ind w:left="194"/>
        <w:spacing w:before="98" w:line="221" w:lineRule="auto"/>
        <w:outlineLvl w:val="2"/>
        <w:rPr>
          <w:sz w:val="30"/>
          <w:szCs w:val="30"/>
        </w:rPr>
      </w:pPr>
      <w:r>
        <w:rPr>
          <w:sz w:val="30"/>
          <w:szCs w:val="30"/>
          <w:b/>
          <w:bCs/>
          <w:spacing w:val="3"/>
        </w:rPr>
        <w:t>(二)大模型在药物领域的界定与引入逻辑</w:t>
      </w:r>
    </w:p>
    <w:p>
      <w:pPr>
        <w:spacing w:line="221" w:lineRule="auto"/>
        <w:sectPr>
          <w:pgSz w:w="12240" w:h="15840"/>
          <w:pgMar w:top="1185" w:right="1046" w:bottom="0" w:left="980" w:header="0" w:footer="0" w:gutter="0"/>
        </w:sectPr>
        <w:rPr>
          <w:sz w:val="30"/>
          <w:szCs w:val="30"/>
        </w:rPr>
      </w:pPr>
    </w:p>
    <w:p>
      <w:pPr>
        <w:pStyle w:val="BodyText"/>
        <w:spacing w:before="46" w:line="213" w:lineRule="auto"/>
        <w:rPr>
          <w:sz w:val="23"/>
          <w:szCs w:val="23"/>
        </w:rPr>
      </w:pPr>
      <w:r>
        <w:rPr>
          <w:sz w:val="23"/>
          <w:szCs w:val="23"/>
          <w:spacing w:val="10"/>
        </w:rPr>
        <w:t>大模型在该领域的引入逻辑源于其在处理多模态数据的强大能力，通常可通过因果图模型</w:t>
      </w:r>
    </w:p>
    <w:p>
      <w:pPr>
        <w:pStyle w:val="BodyText"/>
        <w:ind w:firstLine="149"/>
        <w:spacing w:before="141" w:line="343" w:lineRule="auto"/>
        <w:rPr>
          <w:sz w:val="23"/>
          <w:szCs w:val="23"/>
        </w:rPr>
      </w:pP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causal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graph</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models</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31"/>
        </w:rPr>
        <w:t xml:space="preserve"> </w:t>
      </w:r>
      <w:r>
        <w:rPr>
          <w:sz w:val="23"/>
          <w:szCs w:val="23"/>
          <w:spacing w:val="11"/>
        </w:rPr>
        <w:t>指用于推断因果关系的图形化概</w:t>
      </w:r>
      <w:r>
        <w:rPr>
          <w:sz w:val="23"/>
          <w:szCs w:val="23"/>
          <w:spacing w:val="10"/>
        </w:rPr>
        <w:t>率模型)来模拟药物机体影响的动态</w:t>
      </w:r>
      <w:r>
        <w:rPr>
          <w:sz w:val="23"/>
          <w:szCs w:val="23"/>
        </w:rPr>
        <w:t xml:space="preserve">  </w:t>
      </w:r>
      <w:r>
        <w:rPr>
          <w:sz w:val="23"/>
          <w:szCs w:val="23"/>
          <w:spacing w:val="9"/>
        </w:rPr>
        <w:t>过程。据国际制药工程协会</w:t>
      </w:r>
      <w:r>
        <w:rPr>
          <w:sz w:val="23"/>
          <w:szCs w:val="23"/>
          <w:spacing w:val="9"/>
        </w:rPr>
        <w:t xml:space="preserve"> </w:t>
      </w:r>
      <w:r>
        <w:rPr>
          <w:rFonts w:ascii="SimSun" w:hAnsi="SimSun" w:eastAsia="SimSun" w:cs="SimSun"/>
          <w:sz w:val="23"/>
          <w:szCs w:val="23"/>
          <w:spacing w:val="9"/>
        </w:rPr>
        <w:t>(</w:t>
      </w:r>
      <w:r>
        <w:rPr>
          <w:rFonts w:ascii="SimSun" w:hAnsi="SimSun" w:eastAsia="SimSun" w:cs="SimSun"/>
          <w:sz w:val="23"/>
          <w:szCs w:val="23"/>
        </w:rPr>
        <w:t>ISPE</w:t>
      </w:r>
      <w:r>
        <w:rPr>
          <w:rFonts w:ascii="SimSun" w:hAnsi="SimSun" w:eastAsia="SimSun" w:cs="SimSun"/>
          <w:sz w:val="23"/>
          <w:szCs w:val="23"/>
          <w:spacing w:val="9"/>
        </w:rPr>
        <w:t>)</w:t>
      </w:r>
      <w:r>
        <w:rPr>
          <w:rFonts w:ascii="SimSun" w:hAnsi="SimSun" w:eastAsia="SimSun" w:cs="SimSun"/>
          <w:sz w:val="23"/>
          <w:szCs w:val="23"/>
          <w:spacing w:val="127"/>
        </w:rPr>
        <w:t xml:space="preserve"> </w:t>
      </w:r>
      <w:r>
        <w:rPr>
          <w:sz w:val="23"/>
          <w:szCs w:val="23"/>
          <w:spacing w:val="9"/>
        </w:rPr>
        <w:t>的《人工智能</w:t>
      </w:r>
      <w:r>
        <w:rPr>
          <w:rFonts w:ascii="SimSun" w:hAnsi="SimSun" w:eastAsia="SimSun" w:cs="SimSun"/>
          <w:sz w:val="23"/>
          <w:szCs w:val="23"/>
        </w:rPr>
        <w:t>GAMP</w:t>
      </w:r>
      <w:r>
        <w:rPr>
          <w:rFonts w:ascii="SimSun" w:hAnsi="SimSun" w:eastAsia="SimSun" w:cs="SimSun"/>
          <w:sz w:val="23"/>
          <w:szCs w:val="23"/>
          <w:spacing w:val="9"/>
        </w:rPr>
        <w:t xml:space="preserve">  </w:t>
      </w:r>
      <w:r>
        <w:rPr>
          <w:sz w:val="23"/>
          <w:szCs w:val="23"/>
          <w:spacing w:val="9"/>
        </w:rPr>
        <w:t>指南》认为，这种引入可优化制药流程</w:t>
      </w:r>
      <w:r>
        <w:rPr>
          <w:sz w:val="23"/>
          <w:szCs w:val="23"/>
        </w:rPr>
        <w:t xml:space="preserve"> </w:t>
      </w:r>
      <w:r>
        <w:rPr>
          <w:sz w:val="23"/>
          <w:szCs w:val="23"/>
          <w:spacing w:val="11"/>
        </w:rPr>
        <w:t>中的质量控制。潜在价值在于助力转化医学</w:t>
      </w:r>
      <w:r>
        <w:rPr>
          <w:sz w:val="23"/>
          <w:szCs w:val="23"/>
          <w:spacing w:val="11"/>
        </w:rPr>
        <w:t xml:space="preserve"> </w:t>
      </w:r>
      <w:r>
        <w:rPr>
          <w:rFonts w:ascii="SimSun" w:hAnsi="SimSun" w:eastAsia="SimSun" w:cs="SimSun"/>
          <w:sz w:val="23"/>
          <w:szCs w:val="23"/>
          <w:spacing w:val="11"/>
        </w:rPr>
        <w:t>(</w:t>
      </w:r>
      <w:r>
        <w:rPr>
          <w:rFonts w:ascii="SimSun" w:hAnsi="SimSun" w:eastAsia="SimSun" w:cs="SimSun"/>
          <w:sz w:val="23"/>
          <w:szCs w:val="23"/>
        </w:rPr>
        <w:t>translational</w:t>
      </w:r>
      <w:r>
        <w:rPr>
          <w:rFonts w:ascii="SimSun" w:hAnsi="SimSun" w:eastAsia="SimSun" w:cs="SimSun"/>
          <w:sz w:val="23"/>
          <w:szCs w:val="23"/>
          <w:spacing w:val="73"/>
        </w:rPr>
        <w:t xml:space="preserve"> </w:t>
      </w:r>
      <w:r>
        <w:rPr>
          <w:rFonts w:ascii="SimSun" w:hAnsi="SimSun" w:eastAsia="SimSun" w:cs="SimSun"/>
          <w:sz w:val="23"/>
          <w:szCs w:val="23"/>
        </w:rPr>
        <w:t>medicine</w:t>
      </w:r>
      <w:r>
        <w:rPr>
          <w:rFonts w:ascii="SimSun" w:hAnsi="SimSun" w:eastAsia="SimSun" w:cs="SimSun"/>
          <w:sz w:val="23"/>
          <w:szCs w:val="23"/>
          <w:spacing w:val="11"/>
        </w:rPr>
        <w:t>,</w:t>
      </w:r>
      <w:r>
        <w:rPr>
          <w:sz w:val="23"/>
          <w:szCs w:val="23"/>
          <w:spacing w:val="11"/>
        </w:rPr>
        <w:t>指从基础研究到临床应用</w:t>
      </w:r>
      <w:r>
        <w:rPr>
          <w:sz w:val="23"/>
          <w:szCs w:val="23"/>
        </w:rPr>
        <w:t xml:space="preserve"> </w:t>
      </w:r>
      <w:r>
        <w:rPr>
          <w:sz w:val="23"/>
          <w:szCs w:val="23"/>
          <w:spacing w:val="13"/>
        </w:rPr>
        <w:t>的桥接过程),从而桥接实验室发现与患者响应。</w:t>
      </w:r>
    </w:p>
    <w:p>
      <w:pPr>
        <w:spacing w:line="427" w:lineRule="auto"/>
        <w:rPr>
          <w:rFonts w:ascii="Arial"/>
          <w:sz w:val="21"/>
        </w:rPr>
      </w:pPr>
      <w:r/>
    </w:p>
    <w:p>
      <w:pPr>
        <w:pStyle w:val="BodyText"/>
        <w:ind w:left="5"/>
        <w:spacing w:before="117" w:line="218" w:lineRule="auto"/>
        <w:outlineLvl w:val="1"/>
        <w:rPr>
          <w:sz w:val="36"/>
          <w:szCs w:val="36"/>
        </w:rPr>
      </w:pPr>
      <w:r>
        <w:rPr>
          <w:sz w:val="36"/>
          <w:szCs w:val="36"/>
          <w:b/>
          <w:bCs/>
          <w:spacing w:val="-8"/>
        </w:rPr>
        <w:t>二、技术可行性与当前实践</w:t>
      </w:r>
    </w:p>
    <w:p>
      <w:pPr>
        <w:pStyle w:val="BodyText"/>
        <w:ind w:left="154"/>
        <w:spacing w:before="230" w:line="222" w:lineRule="auto"/>
        <w:outlineLvl w:val="2"/>
        <w:rPr>
          <w:sz w:val="30"/>
          <w:szCs w:val="30"/>
        </w:rPr>
      </w:pPr>
      <w:r>
        <w:rPr>
          <w:sz w:val="30"/>
          <w:szCs w:val="30"/>
          <w:b/>
          <w:bCs/>
          <w:spacing w:val="3"/>
        </w:rPr>
        <w:t>(一)大模型模拟药物机体影响的技术可行性</w:t>
      </w:r>
    </w:p>
    <w:p>
      <w:pPr>
        <w:pStyle w:val="BodyText"/>
        <w:ind w:right="118"/>
        <w:spacing w:before="199" w:line="339" w:lineRule="auto"/>
        <w:jc w:val="both"/>
        <w:rPr>
          <w:sz w:val="23"/>
          <w:szCs w:val="23"/>
        </w:rPr>
      </w:pPr>
      <w:r>
        <w:rPr>
          <w:sz w:val="23"/>
          <w:szCs w:val="23"/>
          <w:spacing w:val="10"/>
        </w:rPr>
        <w:t>大模型的技术可行性通常体现在其整合多组学数据的能力上，这可能表明一种高效的系统性评估</w:t>
      </w:r>
      <w:r>
        <w:rPr>
          <w:sz w:val="23"/>
          <w:szCs w:val="23"/>
          <w:spacing w:val="12"/>
        </w:rPr>
        <w:t xml:space="preserve"> </w:t>
      </w:r>
      <w:r>
        <w:rPr>
          <w:sz w:val="23"/>
          <w:szCs w:val="23"/>
          <w:spacing w:val="11"/>
        </w:rPr>
        <w:t>路径。根据</w:t>
      </w:r>
      <w:r>
        <w:rPr>
          <w:rFonts w:ascii="SimSun" w:hAnsi="SimSun" w:eastAsia="SimSun" w:cs="SimSun"/>
          <w:sz w:val="23"/>
          <w:szCs w:val="23"/>
        </w:rPr>
        <w:t>ACS</w:t>
      </w:r>
      <w:r>
        <w:rPr>
          <w:rFonts w:ascii="SimSun" w:hAnsi="SimSun" w:eastAsia="SimSun" w:cs="SimSun"/>
          <w:sz w:val="23"/>
          <w:szCs w:val="23"/>
          <w:spacing w:val="36"/>
        </w:rPr>
        <w:t xml:space="preserve">   </w:t>
      </w:r>
      <w:r>
        <w:rPr>
          <w:rFonts w:ascii="SimSun" w:hAnsi="SimSun" w:eastAsia="SimSun" w:cs="SimSun"/>
          <w:sz w:val="23"/>
          <w:szCs w:val="23"/>
        </w:rPr>
        <w:t>Omega</w:t>
      </w:r>
      <w:r>
        <w:rPr>
          <w:sz w:val="23"/>
          <w:szCs w:val="23"/>
          <w:spacing w:val="11"/>
        </w:rPr>
        <w:t>期刊的一篇综述指出，</w:t>
      </w:r>
      <w:r>
        <w:rPr>
          <w:rFonts w:ascii="SimSun" w:hAnsi="SimSun" w:eastAsia="SimSun" w:cs="SimSun"/>
          <w:sz w:val="23"/>
          <w:szCs w:val="23"/>
        </w:rPr>
        <w:t>AI</w:t>
      </w:r>
      <w:r>
        <w:rPr>
          <w:sz w:val="23"/>
          <w:szCs w:val="23"/>
          <w:spacing w:val="11"/>
        </w:rPr>
        <w:t>驱动的方法已在药物发现管道中展现</w:t>
      </w:r>
      <w:r>
        <w:rPr>
          <w:sz w:val="23"/>
          <w:szCs w:val="23"/>
          <w:spacing w:val="10"/>
        </w:rPr>
        <w:t>出加速潜</w:t>
      </w:r>
      <w:r>
        <w:rPr>
          <w:sz w:val="23"/>
          <w:szCs w:val="23"/>
          <w:spacing w:val="2"/>
        </w:rPr>
        <w:t xml:space="preserve"> </w:t>
      </w:r>
      <w:r>
        <w:rPr>
          <w:sz w:val="23"/>
          <w:szCs w:val="23"/>
          <w:spacing w:val="13"/>
        </w:rPr>
        <w:t>力。例如，通过数字孪生</w:t>
      </w:r>
      <w:r>
        <w:rPr>
          <w:sz w:val="23"/>
          <w:szCs w:val="23"/>
          <w:spacing w:val="-3"/>
        </w:rPr>
        <w:t xml:space="preserve">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digital</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twins</w:t>
      </w:r>
      <w:r>
        <w:rPr>
          <w:rFonts w:ascii="Times New Roman" w:hAnsi="Times New Roman" w:eastAsia="Times New Roman" w:cs="Times New Roman"/>
          <w:sz w:val="23"/>
          <w:szCs w:val="23"/>
          <w:spacing w:val="13"/>
        </w:rPr>
        <w:t>,  </w:t>
      </w:r>
      <w:r>
        <w:rPr>
          <w:sz w:val="23"/>
          <w:szCs w:val="23"/>
          <w:spacing w:val="13"/>
        </w:rPr>
        <w:t>指虚拟复制实体系统的动态模拟模型)技术，大模型</w:t>
      </w:r>
      <w:r>
        <w:rPr>
          <w:sz w:val="23"/>
          <w:szCs w:val="23"/>
        </w:rPr>
        <w:t xml:space="preserve"> </w:t>
      </w:r>
      <w:r>
        <w:rPr>
          <w:sz w:val="23"/>
          <w:szCs w:val="23"/>
          <w:spacing w:val="8"/>
        </w:rPr>
        <w:t>可构建个体化机体模型以预测药物响应。</w:t>
      </w:r>
    </w:p>
    <w:p>
      <w:pPr>
        <w:pStyle w:val="BodyText"/>
        <w:ind w:left="3"/>
        <w:spacing w:before="218" w:line="221" w:lineRule="auto"/>
        <w:outlineLvl w:val="4"/>
        <w:rPr>
          <w:sz w:val="23"/>
          <w:szCs w:val="23"/>
        </w:rPr>
      </w:pPr>
      <w:r>
        <w:rPr>
          <w:rFonts w:ascii="SimSun" w:hAnsi="SimSun" w:eastAsia="SimSun" w:cs="SimSun"/>
          <w:sz w:val="23"/>
          <w:szCs w:val="23"/>
          <w:b/>
          <w:bCs/>
          <w:spacing w:val="6"/>
        </w:rPr>
        <w:t>1.</w:t>
      </w:r>
      <w:r>
        <w:rPr>
          <w:sz w:val="23"/>
          <w:szCs w:val="23"/>
          <w:b/>
          <w:bCs/>
          <w:spacing w:val="6"/>
        </w:rPr>
        <w:t>多组学整合与</w:t>
      </w:r>
      <w:r>
        <w:rPr>
          <w:rFonts w:ascii="SimSun" w:hAnsi="SimSun" w:eastAsia="SimSun" w:cs="SimSun"/>
          <w:sz w:val="23"/>
          <w:szCs w:val="23"/>
          <w:b/>
          <w:bCs/>
        </w:rPr>
        <w:t>ADMET</w:t>
      </w:r>
      <w:r>
        <w:rPr>
          <w:rFonts w:ascii="SimSun" w:hAnsi="SimSun" w:eastAsia="SimSun" w:cs="SimSun"/>
          <w:sz w:val="23"/>
          <w:szCs w:val="23"/>
          <w:spacing w:val="39"/>
        </w:rPr>
        <w:t xml:space="preserve">  </w:t>
      </w:r>
      <w:r>
        <w:rPr>
          <w:sz w:val="23"/>
          <w:szCs w:val="23"/>
          <w:b/>
          <w:bCs/>
          <w:spacing w:val="6"/>
        </w:rPr>
        <w:t>预测的应用</w:t>
      </w:r>
    </w:p>
    <w:p>
      <w:pPr>
        <w:pStyle w:val="BodyText"/>
        <w:spacing w:before="218" w:line="213" w:lineRule="auto"/>
        <w:jc w:val="right"/>
        <w:rPr>
          <w:rFonts w:ascii="SimSun" w:hAnsi="SimSun" w:eastAsia="SimSun" w:cs="SimSun"/>
          <w:sz w:val="23"/>
          <w:szCs w:val="23"/>
        </w:rPr>
      </w:pPr>
      <w:r>
        <w:rPr>
          <w:sz w:val="23"/>
          <w:szCs w:val="23"/>
          <w:spacing w:val="11"/>
        </w:rPr>
        <w:t>在多组学整合中，大模型可融合异源数据以提升</w:t>
      </w:r>
      <w:r>
        <w:rPr>
          <w:rFonts w:ascii="SimSun" w:hAnsi="SimSun" w:eastAsia="SimSun" w:cs="SimSun"/>
          <w:sz w:val="23"/>
          <w:szCs w:val="23"/>
        </w:rPr>
        <w:t>ADMET</w:t>
      </w:r>
      <w:r>
        <w:rPr>
          <w:rFonts w:ascii="SimSun" w:hAnsi="SimSun" w:eastAsia="SimSun" w:cs="SimSun"/>
          <w:sz w:val="23"/>
          <w:szCs w:val="23"/>
          <w:spacing w:val="11"/>
        </w:rPr>
        <w:t xml:space="preserve">  </w:t>
      </w:r>
      <w:r>
        <w:rPr>
          <w:sz w:val="23"/>
          <w:szCs w:val="23"/>
          <w:spacing w:val="11"/>
        </w:rPr>
        <w:t>预测的精度。通常情</w:t>
      </w:r>
      <w:r>
        <w:rPr>
          <w:sz w:val="23"/>
          <w:szCs w:val="23"/>
          <w:spacing w:val="10"/>
        </w:rPr>
        <w:t>况下，这涉及循证</w:t>
      </w:r>
      <w:r>
        <w:rPr>
          <w:rFonts w:ascii="SimSun" w:hAnsi="SimSun" w:eastAsia="SimSun" w:cs="SimSun"/>
          <w:sz w:val="23"/>
          <w:szCs w:val="23"/>
        </w:rPr>
        <w:t>AI</w:t>
      </w:r>
    </w:p>
    <w:p>
      <w:pPr>
        <w:pStyle w:val="BodyText"/>
        <w:ind w:left="149"/>
        <w:spacing w:before="161" w:line="212" w:lineRule="auto"/>
        <w:rPr>
          <w:sz w:val="23"/>
          <w:szCs w:val="23"/>
        </w:rPr>
      </w:pP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evidence</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based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AI</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41"/>
          <w:w w:val="101"/>
        </w:rPr>
        <w:t xml:space="preserve"> </w:t>
      </w:r>
      <w:r>
        <w:rPr>
          <w:sz w:val="23"/>
          <w:szCs w:val="23"/>
          <w:spacing w:val="11"/>
        </w:rPr>
        <w:t>指基于实证数据的</w:t>
      </w:r>
      <w:r>
        <w:rPr>
          <w:rFonts w:ascii="Times New Roman" w:hAnsi="Times New Roman" w:eastAsia="Times New Roman" w:cs="Times New Roman"/>
          <w:sz w:val="23"/>
          <w:szCs w:val="23"/>
        </w:rPr>
        <w:t>Al</w:t>
      </w:r>
      <w:r>
        <w:rPr>
          <w:sz w:val="23"/>
          <w:szCs w:val="23"/>
          <w:spacing w:val="11"/>
        </w:rPr>
        <w:t>决策框架)的运用</w:t>
      </w:r>
      <w:r>
        <w:rPr>
          <w:sz w:val="23"/>
          <w:szCs w:val="23"/>
          <w:spacing w:val="10"/>
        </w:rPr>
        <w:t>，以消解数据噪声。</w:t>
      </w:r>
    </w:p>
    <w:p>
      <w:pPr>
        <w:spacing w:line="310" w:lineRule="auto"/>
        <w:rPr>
          <w:rFonts w:ascii="Arial"/>
          <w:sz w:val="21"/>
        </w:rPr>
      </w:pPr>
      <w:r/>
    </w:p>
    <w:p>
      <w:pPr>
        <w:pStyle w:val="BodyText"/>
        <w:ind w:left="153"/>
        <w:spacing w:before="75" w:line="222" w:lineRule="auto"/>
        <w:outlineLvl w:val="4"/>
        <w:rPr>
          <w:sz w:val="23"/>
          <w:szCs w:val="23"/>
        </w:rPr>
      </w:pPr>
      <w:r>
        <w:rPr>
          <w:sz w:val="23"/>
          <w:szCs w:val="23"/>
          <w:b/>
          <w:bCs/>
          <w:spacing w:val="13"/>
        </w:rPr>
        <w:t>(1)潜在局限与实施挑战</w:t>
      </w:r>
    </w:p>
    <w:p>
      <w:pPr>
        <w:pStyle w:val="BodyText"/>
        <w:ind w:right="123"/>
        <w:spacing w:before="227" w:line="326" w:lineRule="auto"/>
        <w:rPr>
          <w:sz w:val="23"/>
          <w:szCs w:val="23"/>
        </w:rPr>
      </w:pPr>
      <w:r>
        <w:rPr>
          <w:sz w:val="23"/>
          <w:szCs w:val="23"/>
          <w:spacing w:val="10"/>
        </w:rPr>
        <w:t>然而，该技术的适用条件前提于高质量数据集的可用性，潜在挑战包括计算资源消耗和模型泛化</w:t>
      </w:r>
      <w:r>
        <w:rPr>
          <w:sz w:val="23"/>
          <w:szCs w:val="23"/>
          <w:spacing w:val="8"/>
        </w:rPr>
        <w:t xml:space="preserve"> </w:t>
      </w:r>
      <w:r>
        <w:rPr>
          <w:sz w:val="23"/>
          <w:szCs w:val="23"/>
          <w:spacing w:val="7"/>
        </w:rPr>
        <w:t>性的验证，有待进一步的实证研究。</w:t>
      </w:r>
    </w:p>
    <w:p>
      <w:pPr>
        <w:pStyle w:val="BodyText"/>
        <w:ind w:right="1987"/>
        <w:spacing w:before="138" w:line="450" w:lineRule="auto"/>
        <w:rPr>
          <w:sz w:val="23"/>
          <w:szCs w:val="23"/>
        </w:rPr>
      </w:pPr>
      <w:r>
        <w:rPr>
          <w:sz w:val="23"/>
          <w:szCs w:val="23"/>
          <w:spacing w:val="8"/>
        </w:rPr>
        <w:t>如图1所示，大模型模拟药物机体影响的集成信息流与多模态融合架构示意图。</w:t>
      </w:r>
      <w:r>
        <w:rPr>
          <w:sz w:val="23"/>
          <w:szCs w:val="23"/>
          <w:spacing w:val="9"/>
        </w:rPr>
        <w:t xml:space="preserve"> </w:t>
      </w:r>
      <w:r>
        <w:rPr>
          <w:sz w:val="23"/>
          <w:szCs w:val="23"/>
          <w:spacing w:val="13"/>
        </w:rPr>
        <w:t>图1:大模型模拟药物机体影响的集成信息流与多模态融合架构示意图</w:t>
      </w:r>
    </w:p>
    <w:p>
      <w:pPr>
        <w:pStyle w:val="BodyText"/>
        <w:ind w:left="3"/>
        <w:spacing w:before="34" w:line="223" w:lineRule="auto"/>
        <w:rPr>
          <w:sz w:val="23"/>
          <w:szCs w:val="23"/>
        </w:rPr>
      </w:pPr>
      <w:r>
        <w:rPr>
          <w:sz w:val="23"/>
          <w:szCs w:val="23"/>
          <w:b/>
          <w:bCs/>
          <w:spacing w:val="-9"/>
        </w:rPr>
        <w:t>层级</w:t>
      </w:r>
      <w:r>
        <w:rPr>
          <w:sz w:val="23"/>
          <w:szCs w:val="23"/>
          <w:spacing w:val="-9"/>
        </w:rPr>
        <w:t xml:space="preserve">    </w:t>
      </w:r>
      <w:r>
        <w:rPr>
          <w:sz w:val="23"/>
          <w:szCs w:val="23"/>
          <w:b/>
          <w:bCs/>
          <w:spacing w:val="-9"/>
        </w:rPr>
        <w:t>组件</w:t>
      </w:r>
      <w:r>
        <w:rPr>
          <w:sz w:val="23"/>
          <w:szCs w:val="23"/>
          <w:spacing w:val="-9"/>
        </w:rPr>
        <w:t xml:space="preserve">                 </w:t>
      </w:r>
      <w:r>
        <w:rPr>
          <w:sz w:val="23"/>
          <w:szCs w:val="23"/>
          <w:spacing w:val="-10"/>
        </w:rPr>
        <w:t xml:space="preserve">           </w:t>
      </w:r>
      <w:r>
        <w:rPr>
          <w:sz w:val="23"/>
          <w:szCs w:val="23"/>
          <w:b/>
          <w:bCs/>
          <w:spacing w:val="-10"/>
        </w:rPr>
        <w:t>描述</w:t>
      </w:r>
    </w:p>
    <w:p>
      <w:pPr>
        <w:pStyle w:val="BodyText"/>
        <w:spacing w:before="316" w:line="221" w:lineRule="auto"/>
        <w:rPr>
          <w:sz w:val="23"/>
          <w:szCs w:val="23"/>
        </w:rPr>
      </w:pPr>
      <w:r>
        <w:rPr>
          <w:sz w:val="23"/>
          <w:szCs w:val="23"/>
          <w:spacing w:val="-13"/>
        </w:rPr>
        <w:t>输入层</w:t>
      </w:r>
      <w:r>
        <w:rPr>
          <w:sz w:val="23"/>
          <w:szCs w:val="23"/>
          <w:spacing w:val="-13"/>
        </w:rPr>
        <w:t xml:space="preserve">  </w:t>
      </w:r>
      <w:r>
        <w:rPr>
          <w:sz w:val="23"/>
          <w:szCs w:val="23"/>
          <w:spacing w:val="-13"/>
        </w:rPr>
        <w:t>多组学数据(基因组、蛋白质组)</w:t>
      </w:r>
      <w:r>
        <w:rPr>
          <w:sz w:val="23"/>
          <w:szCs w:val="23"/>
          <w:spacing w:val="-13"/>
        </w:rPr>
        <w:t xml:space="preserve">   </w:t>
      </w:r>
      <w:r>
        <w:rPr>
          <w:sz w:val="23"/>
          <w:szCs w:val="23"/>
          <w:spacing w:val="-13"/>
        </w:rPr>
        <w:t>采集原始生物标志物数据</w:t>
      </w:r>
    </w:p>
    <w:p>
      <w:pPr>
        <w:spacing w:line="57" w:lineRule="exact"/>
        <w:rPr/>
      </w:pPr>
      <w:r/>
    </w:p>
    <w:tbl>
      <w:tblPr>
        <w:tblStyle w:val="TableNormal"/>
        <w:tblW w:w="704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9"/>
        <w:gridCol w:w="2740"/>
        <w:gridCol w:w="3560"/>
      </w:tblGrid>
      <w:tr>
        <w:trPr>
          <w:trHeight w:val="607" w:hRule="atLeast"/>
        </w:trPr>
        <w:tc>
          <w:tcPr>
            <w:tcW w:w="749" w:type="dxa"/>
            <w:vAlign w:val="top"/>
            <w:tcBorders>
              <w:bottom w:val="single" w:color="000000" w:sz="2" w:space="0"/>
              <w:top w:val="single" w:color="000000" w:sz="2" w:space="0"/>
            </w:tcBorders>
          </w:tcPr>
          <w:p>
            <w:pPr>
              <w:spacing w:before="282" w:line="221" w:lineRule="auto"/>
              <w:rPr>
                <w:rFonts w:ascii="SimHei" w:hAnsi="SimHei" w:eastAsia="SimHei" w:cs="SimHei"/>
                <w:sz w:val="23"/>
                <w:szCs w:val="23"/>
              </w:rPr>
            </w:pPr>
            <w:r>
              <w:rPr>
                <w:rFonts w:ascii="SimHei" w:hAnsi="SimHei" w:eastAsia="SimHei" w:cs="SimHei"/>
                <w:sz w:val="23"/>
                <w:szCs w:val="23"/>
                <w:spacing w:val="-12"/>
              </w:rPr>
              <w:t>融合层</w:t>
            </w:r>
          </w:p>
        </w:tc>
        <w:tc>
          <w:tcPr>
            <w:tcW w:w="2740" w:type="dxa"/>
            <w:vAlign w:val="top"/>
            <w:tcBorders>
              <w:bottom w:val="single" w:color="000000" w:sz="2" w:space="0"/>
              <w:top w:val="single" w:color="000000" w:sz="2" w:space="0"/>
            </w:tcBorders>
          </w:tcPr>
          <w:p>
            <w:pPr>
              <w:ind w:left="130"/>
              <w:spacing w:before="282" w:line="221" w:lineRule="auto"/>
              <w:rPr>
                <w:rFonts w:ascii="SimHei" w:hAnsi="SimHei" w:eastAsia="SimHei" w:cs="SimHei"/>
                <w:sz w:val="23"/>
                <w:szCs w:val="23"/>
              </w:rPr>
            </w:pPr>
            <w:r>
              <w:rPr>
                <w:rFonts w:ascii="Arial" w:hAnsi="Arial" w:eastAsia="Arial" w:cs="Arial"/>
                <w:sz w:val="23"/>
                <w:szCs w:val="23"/>
                <w:spacing w:val="-7"/>
              </w:rPr>
              <w:t>Transformer</w:t>
            </w:r>
            <w:r>
              <w:rPr>
                <w:rFonts w:ascii="SimHei" w:hAnsi="SimHei" w:eastAsia="SimHei" w:cs="SimHei"/>
                <w:sz w:val="23"/>
                <w:szCs w:val="23"/>
                <w:spacing w:val="-7"/>
              </w:rPr>
              <w:t>编码器</w:t>
            </w:r>
          </w:p>
        </w:tc>
        <w:tc>
          <w:tcPr>
            <w:tcW w:w="3560" w:type="dxa"/>
            <w:vAlign w:val="top"/>
            <w:tcBorders>
              <w:bottom w:val="single" w:color="000000" w:sz="2" w:space="0"/>
              <w:top w:val="single" w:color="000000" w:sz="2" w:space="0"/>
            </w:tcBorders>
          </w:tcPr>
          <w:p>
            <w:pPr>
              <w:ind w:right="12"/>
              <w:spacing w:before="283" w:line="222" w:lineRule="auto"/>
              <w:jc w:val="right"/>
              <w:rPr>
                <w:rFonts w:ascii="SimHei" w:hAnsi="SimHei" w:eastAsia="SimHei" w:cs="SimHei"/>
                <w:sz w:val="23"/>
                <w:szCs w:val="23"/>
              </w:rPr>
            </w:pPr>
            <w:r>
              <w:rPr>
                <w:rFonts w:ascii="SimHei" w:hAnsi="SimHei" w:eastAsia="SimHei" w:cs="SimHei"/>
                <w:sz w:val="23"/>
                <w:szCs w:val="23"/>
                <w:spacing w:val="-18"/>
              </w:rPr>
              <w:t>多模态数据嵌入与注意力机制</w:t>
            </w:r>
          </w:p>
        </w:tc>
      </w:tr>
      <w:tr>
        <w:trPr>
          <w:trHeight w:val="607" w:hRule="atLeast"/>
        </w:trPr>
        <w:tc>
          <w:tcPr>
            <w:tcW w:w="749" w:type="dxa"/>
            <w:vAlign w:val="top"/>
            <w:tcBorders>
              <w:bottom w:val="single" w:color="000000" w:sz="2" w:space="0"/>
              <w:top w:val="single" w:color="000000" w:sz="2" w:space="0"/>
            </w:tcBorders>
          </w:tcPr>
          <w:p>
            <w:pPr>
              <w:spacing w:before="280" w:line="221" w:lineRule="auto"/>
              <w:rPr>
                <w:rFonts w:ascii="SimHei" w:hAnsi="SimHei" w:eastAsia="SimHei" w:cs="SimHei"/>
                <w:sz w:val="23"/>
                <w:szCs w:val="23"/>
              </w:rPr>
            </w:pPr>
            <w:r>
              <w:rPr>
                <w:rFonts w:ascii="SimHei" w:hAnsi="SimHei" w:eastAsia="SimHei" w:cs="SimHei"/>
                <w:sz w:val="23"/>
                <w:szCs w:val="23"/>
                <w:spacing w:val="-12"/>
              </w:rPr>
              <w:t>模拟层</w:t>
            </w:r>
          </w:p>
        </w:tc>
        <w:tc>
          <w:tcPr>
            <w:tcW w:w="2740" w:type="dxa"/>
            <w:vAlign w:val="top"/>
            <w:tcBorders>
              <w:bottom w:val="single" w:color="000000" w:sz="2" w:space="0"/>
              <w:top w:val="single" w:color="000000" w:sz="2" w:space="0"/>
            </w:tcBorders>
          </w:tcPr>
          <w:p>
            <w:pPr>
              <w:ind w:left="130"/>
              <w:spacing w:before="280" w:line="222" w:lineRule="auto"/>
              <w:rPr>
                <w:rFonts w:ascii="SimHei" w:hAnsi="SimHei" w:eastAsia="SimHei" w:cs="SimHei"/>
                <w:sz w:val="23"/>
                <w:szCs w:val="23"/>
              </w:rPr>
            </w:pPr>
            <w:r>
              <w:rPr>
                <w:rFonts w:ascii="SimHei" w:hAnsi="SimHei" w:eastAsia="SimHei" w:cs="SimHei"/>
                <w:sz w:val="23"/>
                <w:szCs w:val="23"/>
                <w:spacing w:val="-16"/>
              </w:rPr>
              <w:t>因果图模型</w:t>
            </w:r>
          </w:p>
        </w:tc>
        <w:tc>
          <w:tcPr>
            <w:tcW w:w="3560" w:type="dxa"/>
            <w:vAlign w:val="top"/>
            <w:tcBorders>
              <w:bottom w:val="single" w:color="000000" w:sz="2" w:space="0"/>
              <w:top w:val="single" w:color="000000" w:sz="2" w:space="0"/>
            </w:tcBorders>
          </w:tcPr>
          <w:p>
            <w:pPr>
              <w:ind w:left="790"/>
              <w:spacing w:before="283" w:line="224" w:lineRule="auto"/>
              <w:rPr>
                <w:rFonts w:ascii="SimHei" w:hAnsi="SimHei" w:eastAsia="SimHei" w:cs="SimHei"/>
                <w:sz w:val="23"/>
                <w:szCs w:val="23"/>
              </w:rPr>
            </w:pPr>
            <w:r>
              <w:rPr>
                <w:rFonts w:ascii="SimHei" w:hAnsi="SimHei" w:eastAsia="SimHei" w:cs="SimHei"/>
                <w:sz w:val="23"/>
                <w:szCs w:val="23"/>
                <w:spacing w:val="-17"/>
              </w:rPr>
              <w:t>推断药物-机体交互路径</w:t>
            </w:r>
          </w:p>
        </w:tc>
      </w:tr>
    </w:tbl>
    <w:p>
      <w:pPr>
        <w:pStyle w:val="BodyText"/>
        <w:spacing w:before="267" w:line="221" w:lineRule="auto"/>
        <w:rPr>
          <w:sz w:val="23"/>
          <w:szCs w:val="23"/>
        </w:rPr>
      </w:pPr>
      <w:r>
        <w:rPr>
          <w:sz w:val="23"/>
          <w:szCs w:val="23"/>
          <w:spacing w:val="-11"/>
        </w:rPr>
        <w:t>输出层</w:t>
      </w:r>
      <w:r>
        <w:rPr>
          <w:sz w:val="23"/>
          <w:szCs w:val="23"/>
          <w:spacing w:val="-11"/>
        </w:rPr>
        <w:t xml:space="preserve">  </w:t>
      </w:r>
      <w:r>
        <w:rPr>
          <w:sz w:val="23"/>
          <w:szCs w:val="23"/>
          <w:spacing w:val="-11"/>
        </w:rPr>
        <w:t>预测模块</w:t>
      </w:r>
      <w:r>
        <w:rPr>
          <w:sz w:val="23"/>
          <w:szCs w:val="23"/>
          <w:spacing w:val="-11"/>
        </w:rPr>
        <w:t xml:space="preserve">                        </w:t>
      </w:r>
      <w:r>
        <w:rPr>
          <w:sz w:val="23"/>
          <w:szCs w:val="23"/>
          <w:spacing w:val="-12"/>
        </w:rPr>
        <w:t>生成系统性评估报告</w:t>
      </w:r>
    </w:p>
    <w:p>
      <w:pPr>
        <w:spacing w:line="457" w:lineRule="auto"/>
        <w:rPr>
          <w:rFonts w:ascii="Arial"/>
          <w:sz w:val="21"/>
        </w:rPr>
      </w:pPr>
      <w:r/>
    </w:p>
    <w:p>
      <w:pPr>
        <w:pStyle w:val="BodyText"/>
        <w:spacing w:before="75" w:line="213" w:lineRule="auto"/>
        <w:rPr>
          <w:sz w:val="23"/>
          <w:szCs w:val="23"/>
        </w:rPr>
      </w:pPr>
      <w:r>
        <w:rPr>
          <w:sz w:val="23"/>
          <w:szCs w:val="23"/>
          <w:spacing w:val="8"/>
        </w:rPr>
        <w:t>如表1所示，传统多组学方法与大模型驱动方法在系统性评估维度的对比分析。</w:t>
      </w:r>
    </w:p>
    <w:p>
      <w:pPr>
        <w:spacing w:line="213" w:lineRule="auto"/>
        <w:sectPr>
          <w:pgSz w:w="12240" w:h="15840"/>
          <w:pgMar w:top="1231" w:right="1047" w:bottom="0" w:left="980" w:header="0" w:footer="0" w:gutter="0"/>
        </w:sectPr>
        <w:rPr>
          <w:sz w:val="23"/>
          <w:szCs w:val="23"/>
        </w:rPr>
      </w:pPr>
    </w:p>
    <w:p>
      <w:pPr>
        <w:pStyle w:val="BodyText"/>
        <w:ind w:left="3"/>
        <w:spacing w:before="44" w:line="221" w:lineRule="auto"/>
        <w:rPr>
          <w:sz w:val="22"/>
          <w:szCs w:val="22"/>
        </w:rPr>
      </w:pPr>
      <w:r>
        <w:rPr>
          <w:sz w:val="22"/>
          <w:szCs w:val="22"/>
          <w:b/>
          <w:bCs/>
          <w:spacing w:val="20"/>
        </w:rPr>
        <w:t>表1:传统多组学方法与大模型驱动方法在系统性评估维度的对比分析</w:t>
      </w:r>
    </w:p>
    <w:p>
      <w:pPr>
        <w:spacing w:line="273" w:lineRule="auto"/>
        <w:rPr>
          <w:rFonts w:ascii="Arial"/>
          <w:sz w:val="21"/>
        </w:rPr>
      </w:pPr>
      <w:r/>
    </w:p>
    <w:p>
      <w:pPr>
        <w:pStyle w:val="BodyText"/>
        <w:ind w:left="3"/>
        <w:spacing w:before="71" w:line="222" w:lineRule="auto"/>
        <w:rPr>
          <w:sz w:val="22"/>
          <w:szCs w:val="22"/>
        </w:rPr>
      </w:pPr>
      <w:r>
        <w:rPr>
          <w:sz w:val="22"/>
          <w:szCs w:val="22"/>
          <w:b/>
          <w:bCs/>
          <w:spacing w:val="-8"/>
        </w:rPr>
        <w:t>维度</w:t>
      </w:r>
      <w:r>
        <w:rPr>
          <w:sz w:val="22"/>
          <w:szCs w:val="22"/>
          <w:spacing w:val="-8"/>
        </w:rPr>
        <w:t xml:space="preserve">        </w:t>
      </w:r>
      <w:r>
        <w:rPr>
          <w:sz w:val="22"/>
          <w:szCs w:val="22"/>
          <w:b/>
          <w:bCs/>
          <w:spacing w:val="-8"/>
        </w:rPr>
        <w:t>传统方法</w:t>
      </w:r>
      <w:r>
        <w:rPr>
          <w:sz w:val="22"/>
          <w:szCs w:val="22"/>
          <w:spacing w:val="2"/>
        </w:rPr>
        <w:t xml:space="preserve">      </w:t>
      </w:r>
      <w:r>
        <w:rPr>
          <w:sz w:val="22"/>
          <w:szCs w:val="22"/>
          <w:b/>
          <w:bCs/>
          <w:spacing w:val="-8"/>
        </w:rPr>
        <w:t>大模型驱动方法</w:t>
      </w:r>
      <w:r>
        <w:rPr>
          <w:sz w:val="22"/>
          <w:szCs w:val="22"/>
          <w:spacing w:val="2"/>
        </w:rPr>
        <w:t xml:space="preserve">    </w:t>
      </w:r>
      <w:r>
        <w:rPr>
          <w:sz w:val="22"/>
          <w:szCs w:val="22"/>
          <w:b/>
          <w:bCs/>
          <w:spacing w:val="-8"/>
        </w:rPr>
        <w:t>优势比较</w:t>
      </w:r>
    </w:p>
    <w:p>
      <w:pPr>
        <w:spacing w:line="265" w:lineRule="auto"/>
        <w:rPr>
          <w:rFonts w:ascii="Arial"/>
          <w:sz w:val="21"/>
        </w:rPr>
      </w:pPr>
      <w:r/>
    </w:p>
    <w:p>
      <w:pPr>
        <w:pStyle w:val="BodyText"/>
        <w:spacing w:before="71" w:line="231" w:lineRule="auto"/>
        <w:rPr>
          <w:sz w:val="22"/>
          <w:szCs w:val="22"/>
        </w:rPr>
      </w:pPr>
      <w:r>
        <w:rPr>
          <w:sz w:val="22"/>
          <w:szCs w:val="22"/>
        </w:rPr>
        <w:t>数据整合</w:t>
      </w:r>
      <w:r>
        <w:rPr>
          <w:sz w:val="22"/>
          <w:szCs w:val="22"/>
        </w:rPr>
        <w:t xml:space="preserve">    </w:t>
      </w:r>
      <w:r>
        <w:rPr>
          <w:sz w:val="22"/>
          <w:szCs w:val="22"/>
        </w:rPr>
        <w:t>手动统计分析</w:t>
      </w:r>
      <w:r>
        <w:rPr>
          <w:sz w:val="22"/>
          <w:szCs w:val="22"/>
        </w:rPr>
        <w:t xml:space="preserve">  </w:t>
      </w:r>
      <w:r>
        <w:rPr>
          <w:sz w:val="22"/>
          <w:szCs w:val="22"/>
        </w:rPr>
        <w:t>自动化多模态融合</w:t>
      </w:r>
      <w:r>
        <w:rPr>
          <w:sz w:val="22"/>
          <w:szCs w:val="22"/>
          <w:spacing w:val="18"/>
        </w:rPr>
        <w:t xml:space="preserve">  </w:t>
      </w:r>
      <w:r>
        <w:rPr>
          <w:sz w:val="22"/>
          <w:szCs w:val="22"/>
        </w:rPr>
        <w:t>效率提升30-50%</w:t>
      </w:r>
    </w:p>
    <w:p>
      <w:pPr>
        <w:spacing w:line="38" w:lineRule="exact"/>
        <w:rPr/>
      </w:pPr>
      <w:r/>
    </w:p>
    <w:tbl>
      <w:tblPr>
        <w:tblStyle w:val="TableNormal"/>
        <w:tblW w:w="666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5"/>
        <w:gridCol w:w="1359"/>
        <w:gridCol w:w="1921"/>
        <w:gridCol w:w="2245"/>
      </w:tblGrid>
      <w:tr>
        <w:trPr>
          <w:trHeight w:val="617" w:hRule="atLeast"/>
        </w:trPr>
        <w:tc>
          <w:tcPr>
            <w:tcW w:w="1135" w:type="dxa"/>
            <w:vAlign w:val="top"/>
            <w:tcBorders>
              <w:bottom w:val="single" w:color="000000" w:sz="2" w:space="0"/>
              <w:top w:val="single" w:color="000000" w:sz="2" w:space="0"/>
            </w:tcBorders>
          </w:tcPr>
          <w:p>
            <w:pPr>
              <w:spacing w:before="292" w:line="222" w:lineRule="auto"/>
              <w:rPr>
                <w:rFonts w:ascii="SimHei" w:hAnsi="SimHei" w:eastAsia="SimHei" w:cs="SimHei"/>
                <w:sz w:val="22"/>
                <w:szCs w:val="22"/>
              </w:rPr>
            </w:pPr>
            <w:r>
              <w:rPr>
                <w:rFonts w:ascii="SimHei" w:hAnsi="SimHei" w:eastAsia="SimHei" w:cs="SimHei"/>
                <w:sz w:val="22"/>
                <w:szCs w:val="22"/>
                <w:spacing w:val="-13"/>
              </w:rPr>
              <w:t>预测准确性</w:t>
            </w:r>
          </w:p>
        </w:tc>
        <w:tc>
          <w:tcPr>
            <w:tcW w:w="1359" w:type="dxa"/>
            <w:vAlign w:val="top"/>
            <w:tcBorders>
              <w:bottom w:val="single" w:color="000000" w:sz="2" w:space="0"/>
              <w:top w:val="single" w:color="000000" w:sz="2" w:space="0"/>
            </w:tcBorders>
          </w:tcPr>
          <w:p>
            <w:pPr>
              <w:ind w:left="174"/>
              <w:spacing w:before="292" w:line="222" w:lineRule="auto"/>
              <w:rPr>
                <w:rFonts w:ascii="SimHei" w:hAnsi="SimHei" w:eastAsia="SimHei" w:cs="SimHei"/>
                <w:sz w:val="22"/>
                <w:szCs w:val="22"/>
              </w:rPr>
            </w:pPr>
            <w:r>
              <w:rPr>
                <w:rFonts w:ascii="SimHei" w:hAnsi="SimHei" w:eastAsia="SimHei" w:cs="SimHei"/>
                <w:sz w:val="22"/>
                <w:szCs w:val="22"/>
                <w:spacing w:val="-3"/>
              </w:rPr>
              <w:t>经验模型</w:t>
            </w:r>
          </w:p>
        </w:tc>
        <w:tc>
          <w:tcPr>
            <w:tcW w:w="1921" w:type="dxa"/>
            <w:vAlign w:val="top"/>
            <w:tcBorders>
              <w:bottom w:val="single" w:color="000000" w:sz="2" w:space="0"/>
              <w:top w:val="single" w:color="000000" w:sz="2" w:space="0"/>
            </w:tcBorders>
          </w:tcPr>
          <w:p>
            <w:pPr>
              <w:ind w:left="325"/>
              <w:spacing w:before="301" w:line="221" w:lineRule="auto"/>
              <w:rPr>
                <w:rFonts w:ascii="SimHei" w:hAnsi="SimHei" w:eastAsia="SimHei" w:cs="SimHei"/>
                <w:sz w:val="22"/>
                <w:szCs w:val="22"/>
              </w:rPr>
            </w:pPr>
            <w:r>
              <w:rPr>
                <w:rFonts w:ascii="SimHei" w:hAnsi="SimHei" w:eastAsia="SimHei" w:cs="SimHei"/>
                <w:sz w:val="22"/>
                <w:szCs w:val="22"/>
                <w:spacing w:val="-8"/>
              </w:rPr>
              <w:t>深度学习优化</w:t>
            </w:r>
          </w:p>
        </w:tc>
        <w:tc>
          <w:tcPr>
            <w:tcW w:w="2245" w:type="dxa"/>
            <w:vAlign w:val="top"/>
            <w:tcBorders>
              <w:bottom w:val="single" w:color="000000" w:sz="2" w:space="0"/>
              <w:top w:val="single" w:color="000000" w:sz="2" w:space="0"/>
            </w:tcBorders>
          </w:tcPr>
          <w:p>
            <w:pPr>
              <w:ind w:left="334"/>
              <w:spacing w:before="302" w:line="222" w:lineRule="auto"/>
              <w:rPr>
                <w:rFonts w:ascii="SimHei" w:hAnsi="SimHei" w:eastAsia="SimHei" w:cs="SimHei"/>
                <w:sz w:val="22"/>
                <w:szCs w:val="22"/>
              </w:rPr>
            </w:pPr>
            <w:r>
              <w:rPr>
                <w:rFonts w:ascii="SimHei" w:hAnsi="SimHei" w:eastAsia="SimHei" w:cs="SimHei"/>
                <w:sz w:val="22"/>
                <w:szCs w:val="22"/>
                <w:spacing w:val="-7"/>
              </w:rPr>
              <w:t>减少假阳性率</w:t>
            </w:r>
          </w:p>
        </w:tc>
      </w:tr>
      <w:tr>
        <w:trPr>
          <w:trHeight w:val="607" w:hRule="atLeast"/>
        </w:trPr>
        <w:tc>
          <w:tcPr>
            <w:tcW w:w="1135" w:type="dxa"/>
            <w:vAlign w:val="top"/>
            <w:tcBorders>
              <w:bottom w:val="single" w:color="000000" w:sz="2" w:space="0"/>
              <w:top w:val="single" w:color="000000" w:sz="2" w:space="0"/>
            </w:tcBorders>
          </w:tcPr>
          <w:p>
            <w:pPr>
              <w:spacing w:before="280" w:line="223" w:lineRule="auto"/>
              <w:rPr>
                <w:rFonts w:ascii="SimHei" w:hAnsi="SimHei" w:eastAsia="SimHei" w:cs="SimHei"/>
                <w:sz w:val="22"/>
                <w:szCs w:val="22"/>
              </w:rPr>
            </w:pPr>
            <w:r>
              <w:rPr>
                <w:rFonts w:ascii="SimHei" w:hAnsi="SimHei" w:eastAsia="SimHei" w:cs="SimHei"/>
                <w:sz w:val="22"/>
                <w:szCs w:val="22"/>
                <w:spacing w:val="-12"/>
              </w:rPr>
              <w:t>个体化响应</w:t>
            </w:r>
          </w:p>
        </w:tc>
        <w:tc>
          <w:tcPr>
            <w:tcW w:w="1359" w:type="dxa"/>
            <w:vAlign w:val="top"/>
            <w:tcBorders>
              <w:bottom w:val="single" w:color="000000" w:sz="2" w:space="0"/>
              <w:top w:val="single" w:color="000000" w:sz="2" w:space="0"/>
            </w:tcBorders>
          </w:tcPr>
          <w:p>
            <w:pPr>
              <w:ind w:left="124"/>
              <w:spacing w:before="279" w:line="221" w:lineRule="auto"/>
              <w:rPr>
                <w:rFonts w:ascii="SimHei" w:hAnsi="SimHei" w:eastAsia="SimHei" w:cs="SimHei"/>
                <w:sz w:val="22"/>
                <w:szCs w:val="22"/>
              </w:rPr>
            </w:pPr>
            <w:r>
              <w:rPr>
                <w:rFonts w:ascii="SimHei" w:hAnsi="SimHei" w:eastAsia="SimHei" w:cs="SimHei"/>
                <w:sz w:val="22"/>
                <w:szCs w:val="22"/>
                <w:spacing w:val="-2"/>
              </w:rPr>
              <w:t>群体平均</w:t>
            </w:r>
          </w:p>
        </w:tc>
        <w:tc>
          <w:tcPr>
            <w:tcW w:w="1921" w:type="dxa"/>
            <w:vAlign w:val="top"/>
            <w:tcBorders>
              <w:bottom w:val="single" w:color="000000" w:sz="2" w:space="0"/>
              <w:top w:val="single" w:color="000000" w:sz="2" w:space="0"/>
            </w:tcBorders>
          </w:tcPr>
          <w:p>
            <w:pPr>
              <w:ind w:left="325"/>
              <w:spacing w:before="282" w:line="222" w:lineRule="auto"/>
              <w:rPr>
                <w:rFonts w:ascii="SimHei" w:hAnsi="SimHei" w:eastAsia="SimHei" w:cs="SimHei"/>
                <w:sz w:val="22"/>
                <w:szCs w:val="22"/>
              </w:rPr>
            </w:pPr>
            <w:r>
              <w:rPr>
                <w:rFonts w:ascii="SimHei" w:hAnsi="SimHei" w:eastAsia="SimHei" w:cs="SimHei"/>
                <w:sz w:val="22"/>
                <w:szCs w:val="22"/>
                <w:spacing w:val="-7"/>
              </w:rPr>
              <w:t>异质性消解</w:t>
            </w:r>
          </w:p>
        </w:tc>
        <w:tc>
          <w:tcPr>
            <w:tcW w:w="2245" w:type="dxa"/>
            <w:vAlign w:val="top"/>
            <w:tcBorders>
              <w:bottom w:val="single" w:color="000000" w:sz="2" w:space="0"/>
              <w:top w:val="single" w:color="000000" w:sz="2" w:space="0"/>
            </w:tcBorders>
          </w:tcPr>
          <w:p>
            <w:pPr>
              <w:ind w:left="334"/>
              <w:spacing w:before="280" w:line="222" w:lineRule="auto"/>
              <w:rPr>
                <w:rFonts w:ascii="SimHei" w:hAnsi="SimHei" w:eastAsia="SimHei" w:cs="SimHei"/>
                <w:sz w:val="22"/>
                <w:szCs w:val="22"/>
              </w:rPr>
            </w:pPr>
            <w:r>
              <w:rPr>
                <w:rFonts w:ascii="SimHei" w:hAnsi="SimHei" w:eastAsia="SimHei" w:cs="SimHei"/>
                <w:sz w:val="22"/>
                <w:szCs w:val="22"/>
                <w:spacing w:val="-9"/>
              </w:rPr>
              <w:t>个性化精度更高</w:t>
            </w:r>
          </w:p>
        </w:tc>
      </w:tr>
    </w:tbl>
    <w:p>
      <w:pPr>
        <w:pStyle w:val="BodyText"/>
        <w:spacing w:before="277" w:line="223" w:lineRule="auto"/>
        <w:rPr>
          <w:sz w:val="22"/>
          <w:szCs w:val="22"/>
        </w:rPr>
      </w:pPr>
      <w:r>
        <w:rPr>
          <w:sz w:val="22"/>
          <w:szCs w:val="22"/>
          <w:spacing w:val="-8"/>
        </w:rPr>
        <w:t>计算复杂度</w:t>
      </w:r>
      <w:r>
        <w:rPr>
          <w:sz w:val="22"/>
          <w:szCs w:val="22"/>
          <w:spacing w:val="-8"/>
        </w:rPr>
        <w:t xml:space="preserve">  </w:t>
      </w:r>
      <w:r>
        <w:rPr>
          <w:sz w:val="22"/>
          <w:szCs w:val="22"/>
          <w:spacing w:val="-8"/>
        </w:rPr>
        <w:t>低</w:t>
      </w:r>
      <w:r>
        <w:rPr>
          <w:sz w:val="22"/>
          <w:szCs w:val="22"/>
          <w:spacing w:val="10"/>
        </w:rPr>
        <w:t xml:space="preserve">           </w:t>
      </w:r>
      <w:r>
        <w:rPr>
          <w:sz w:val="22"/>
          <w:szCs w:val="22"/>
          <w:spacing w:val="-8"/>
        </w:rPr>
        <w:t>高</w:t>
      </w:r>
      <w:r>
        <w:rPr>
          <w:sz w:val="22"/>
          <w:szCs w:val="22"/>
          <w:spacing w:val="5"/>
        </w:rPr>
        <w:t xml:space="preserve">               </w:t>
      </w:r>
      <w:r>
        <w:rPr>
          <w:sz w:val="22"/>
          <w:szCs w:val="22"/>
          <w:spacing w:val="-8"/>
        </w:rPr>
        <w:t>需要高性能计算支持</w:t>
      </w:r>
    </w:p>
    <w:p>
      <w:pPr>
        <w:spacing w:line="318" w:lineRule="auto"/>
        <w:rPr>
          <w:rFonts w:ascii="Arial"/>
          <w:sz w:val="21"/>
        </w:rPr>
      </w:pPr>
      <w:r/>
    </w:p>
    <w:p>
      <w:pPr>
        <w:spacing w:line="318" w:lineRule="auto"/>
        <w:rPr>
          <w:rFonts w:ascii="Arial"/>
          <w:sz w:val="21"/>
        </w:rPr>
      </w:pPr>
      <w:r/>
    </w:p>
    <w:p>
      <w:pPr>
        <w:pStyle w:val="BodyText"/>
        <w:ind w:left="214"/>
        <w:spacing w:before="98" w:line="218" w:lineRule="auto"/>
        <w:outlineLvl w:val="2"/>
        <w:rPr>
          <w:sz w:val="30"/>
          <w:szCs w:val="30"/>
        </w:rPr>
      </w:pPr>
      <w:r>
        <w:rPr>
          <w:sz w:val="30"/>
          <w:szCs w:val="30"/>
          <w:b/>
          <w:bCs/>
          <w:spacing w:val="7"/>
        </w:rPr>
        <w:t>(二)当前实践应用举例</w:t>
      </w:r>
    </w:p>
    <w:p>
      <w:pPr>
        <w:pStyle w:val="BodyText"/>
        <w:spacing w:before="222" w:line="375" w:lineRule="auto"/>
        <w:rPr>
          <w:sz w:val="22"/>
          <w:szCs w:val="22"/>
        </w:rPr>
      </w:pPr>
      <w:r>
        <w:rPr>
          <w:sz w:val="22"/>
          <w:szCs w:val="22"/>
          <w:spacing w:val="15"/>
        </w:rPr>
        <w:t>当前实践包括大模型在肿瘤药物响应模拟中的应用</w:t>
      </w:r>
      <w:r>
        <w:rPr>
          <w:sz w:val="22"/>
          <w:szCs w:val="22"/>
          <w:spacing w:val="14"/>
        </w:rPr>
        <w:t>，据</w:t>
      </w:r>
      <w:r>
        <w:rPr>
          <w:rFonts w:ascii="SimSun" w:hAnsi="SimSun" w:eastAsia="SimSun" w:cs="SimSun"/>
          <w:sz w:val="22"/>
          <w:szCs w:val="22"/>
        </w:rPr>
        <w:t>Frontiers</w:t>
      </w:r>
      <w:r>
        <w:rPr>
          <w:rFonts w:ascii="SimSun" w:hAnsi="SimSun" w:eastAsia="SimSun" w:cs="SimSun"/>
          <w:sz w:val="22"/>
          <w:szCs w:val="22"/>
          <w:spacing w:val="85"/>
        </w:rPr>
        <w:t xml:space="preserve"> </w:t>
      </w:r>
      <w:r>
        <w:rPr>
          <w:rFonts w:ascii="SimSun" w:hAnsi="SimSun" w:eastAsia="SimSun" w:cs="SimSun"/>
          <w:sz w:val="22"/>
          <w:szCs w:val="22"/>
        </w:rPr>
        <w:t>in</w:t>
      </w:r>
      <w:r>
        <w:rPr>
          <w:rFonts w:ascii="SimSun" w:hAnsi="SimSun" w:eastAsia="SimSun" w:cs="SimSun"/>
          <w:sz w:val="22"/>
          <w:szCs w:val="22"/>
          <w:spacing w:val="69"/>
        </w:rPr>
        <w:t xml:space="preserve"> </w:t>
      </w:r>
      <w:r>
        <w:rPr>
          <w:rFonts w:ascii="SimSun" w:hAnsi="SimSun" w:eastAsia="SimSun" w:cs="SimSun"/>
          <w:sz w:val="22"/>
          <w:szCs w:val="22"/>
        </w:rPr>
        <w:t>Oncology</w:t>
      </w:r>
      <w:r>
        <w:rPr>
          <w:sz w:val="22"/>
          <w:szCs w:val="22"/>
          <w:spacing w:val="14"/>
        </w:rPr>
        <w:t>期刊报道，</w:t>
      </w:r>
      <w:r>
        <w:rPr>
          <w:sz w:val="22"/>
          <w:szCs w:val="22"/>
          <w:spacing w:val="-30"/>
        </w:rPr>
        <w:t xml:space="preserve"> </w:t>
      </w:r>
      <w:r>
        <w:rPr>
          <w:rFonts w:ascii="SimSun" w:hAnsi="SimSun" w:eastAsia="SimSun" w:cs="SimSun"/>
          <w:sz w:val="22"/>
          <w:szCs w:val="22"/>
        </w:rPr>
        <w:t>AI</w:t>
      </w:r>
      <w:r>
        <w:rPr>
          <w:sz w:val="22"/>
          <w:szCs w:val="22"/>
          <w:spacing w:val="14"/>
        </w:rPr>
        <w:t>可</w:t>
      </w:r>
      <w:r>
        <w:rPr>
          <w:sz w:val="22"/>
          <w:szCs w:val="22"/>
          <w:spacing w:val="-52"/>
        </w:rPr>
        <w:t xml:space="preserve"> </w:t>
      </w:r>
      <w:r>
        <w:rPr>
          <w:sz w:val="22"/>
          <w:szCs w:val="22"/>
          <w:spacing w:val="14"/>
        </w:rPr>
        <w:t>缩</w:t>
      </w:r>
      <w:r>
        <w:rPr>
          <w:sz w:val="22"/>
          <w:szCs w:val="22"/>
        </w:rPr>
        <w:t xml:space="preserve"> </w:t>
      </w:r>
      <w:r>
        <w:rPr>
          <w:sz w:val="22"/>
          <w:szCs w:val="22"/>
          <w:spacing w:val="17"/>
        </w:rPr>
        <w:t>短早期发现周期。例如，</w:t>
      </w:r>
      <w:r>
        <w:rPr>
          <w:sz w:val="22"/>
          <w:szCs w:val="22"/>
          <w:spacing w:val="17"/>
        </w:rPr>
        <w:t xml:space="preserve"> </w:t>
      </w:r>
      <w:r>
        <w:rPr>
          <w:rFonts w:ascii="SimSun" w:hAnsi="SimSun" w:eastAsia="SimSun" w:cs="SimSun"/>
          <w:sz w:val="22"/>
          <w:szCs w:val="22"/>
        </w:rPr>
        <w:t>TxGNN</w:t>
      </w:r>
      <w:r>
        <w:rPr>
          <w:rFonts w:ascii="SimSun" w:hAnsi="SimSun" w:eastAsia="SimSun" w:cs="SimSun"/>
          <w:sz w:val="22"/>
          <w:szCs w:val="22"/>
          <w:spacing w:val="17"/>
        </w:rPr>
        <w:t xml:space="preserve">  </w:t>
      </w:r>
      <w:r>
        <w:rPr>
          <w:sz w:val="22"/>
          <w:szCs w:val="22"/>
          <w:spacing w:val="17"/>
        </w:rPr>
        <w:t>模型用于零样本药物再利用，模拟系统性影响。</w:t>
      </w:r>
    </w:p>
    <w:p>
      <w:pPr>
        <w:pStyle w:val="BodyText"/>
        <w:ind w:left="3"/>
        <w:spacing w:before="205" w:line="222" w:lineRule="auto"/>
        <w:outlineLvl w:val="4"/>
        <w:rPr>
          <w:sz w:val="22"/>
          <w:szCs w:val="22"/>
        </w:rPr>
      </w:pPr>
      <w:r>
        <w:rPr>
          <w:rFonts w:ascii="SimSun" w:hAnsi="SimSun" w:eastAsia="SimSun" w:cs="SimSun"/>
          <w:sz w:val="22"/>
          <w:szCs w:val="22"/>
          <w:b/>
          <w:bCs/>
          <w:spacing w:val="14"/>
        </w:rPr>
        <w:t>1.</w:t>
      </w:r>
      <w:r>
        <w:rPr>
          <w:sz w:val="22"/>
          <w:szCs w:val="22"/>
          <w:b/>
          <w:bCs/>
          <w:spacing w:val="14"/>
        </w:rPr>
        <w:t>具体案例分析</w:t>
      </w:r>
    </w:p>
    <w:p>
      <w:pPr>
        <w:pStyle w:val="BodyText"/>
        <w:spacing w:before="247" w:line="213" w:lineRule="auto"/>
        <w:rPr>
          <w:sz w:val="22"/>
          <w:szCs w:val="22"/>
        </w:rPr>
      </w:pPr>
      <w:r>
        <w:rPr>
          <w:sz w:val="22"/>
          <w:szCs w:val="22"/>
          <w:spacing w:val="19"/>
        </w:rPr>
        <w:t>在个性化医学中，大模型已用于预测患者对特定药物的响应，通常通过整合电子健康记录。</w:t>
      </w:r>
    </w:p>
    <w:p>
      <w:pPr>
        <w:spacing w:line="289" w:lineRule="auto"/>
        <w:rPr>
          <w:rFonts w:ascii="Arial"/>
          <w:sz w:val="21"/>
        </w:rPr>
      </w:pPr>
      <w:r/>
    </w:p>
    <w:p>
      <w:pPr>
        <w:pStyle w:val="BodyText"/>
        <w:ind w:left="183"/>
        <w:spacing w:before="72" w:line="222" w:lineRule="auto"/>
        <w:outlineLvl w:val="4"/>
        <w:rPr>
          <w:sz w:val="22"/>
          <w:szCs w:val="22"/>
        </w:rPr>
      </w:pPr>
      <w:r>
        <w:rPr>
          <w:sz w:val="22"/>
          <w:szCs w:val="22"/>
          <w:b/>
          <w:bCs/>
          <w:spacing w:val="21"/>
        </w:rPr>
        <w:t>(1)潜在局限与实施挑战</w:t>
      </w:r>
    </w:p>
    <w:p>
      <w:pPr>
        <w:pStyle w:val="BodyText"/>
        <w:spacing w:before="239" w:line="213" w:lineRule="auto"/>
        <w:rPr>
          <w:sz w:val="22"/>
          <w:szCs w:val="22"/>
        </w:rPr>
      </w:pPr>
      <w:r>
        <w:rPr>
          <w:sz w:val="22"/>
          <w:szCs w:val="22"/>
          <w:spacing w:val="19"/>
        </w:rPr>
        <w:t>这些实践的实施挑战包括数据隐私合规和模型解释性不足，建议相关方考虑监管框架的构建。</w:t>
      </w:r>
    </w:p>
    <w:p>
      <w:pPr>
        <w:spacing w:line="292" w:lineRule="auto"/>
        <w:rPr>
          <w:rFonts w:ascii="Arial"/>
          <w:sz w:val="21"/>
        </w:rPr>
      </w:pPr>
      <w:r/>
    </w:p>
    <w:p>
      <w:pPr>
        <w:spacing w:line="292" w:lineRule="auto"/>
        <w:rPr>
          <w:rFonts w:ascii="Arial"/>
          <w:sz w:val="21"/>
        </w:rPr>
      </w:pPr>
      <w:r/>
    </w:p>
    <w:p>
      <w:pPr>
        <w:pStyle w:val="BodyText"/>
        <w:ind w:left="5"/>
        <w:spacing w:before="117" w:line="221" w:lineRule="auto"/>
        <w:outlineLvl w:val="1"/>
        <w:rPr>
          <w:sz w:val="36"/>
          <w:szCs w:val="36"/>
        </w:rPr>
      </w:pPr>
      <w:r>
        <w:rPr>
          <w:sz w:val="36"/>
          <w:szCs w:val="36"/>
          <w:b/>
          <w:bCs/>
          <w:spacing w:val="-7"/>
        </w:rPr>
        <w:t>三、大模型赋能系统性评估与个体化响应</w:t>
      </w:r>
    </w:p>
    <w:p>
      <w:pPr>
        <w:pStyle w:val="BodyText"/>
        <w:ind w:left="224"/>
        <w:spacing w:before="218" w:line="221" w:lineRule="auto"/>
        <w:outlineLvl w:val="2"/>
        <w:rPr>
          <w:sz w:val="30"/>
          <w:szCs w:val="30"/>
        </w:rPr>
      </w:pPr>
      <w:r>
        <w:rPr>
          <w:sz w:val="30"/>
          <w:szCs w:val="30"/>
          <w:b/>
          <w:bCs/>
          <w:spacing w:val="5"/>
        </w:rPr>
        <w:t>(一)实现更系统性的评估</w:t>
      </w:r>
    </w:p>
    <w:p>
      <w:pPr>
        <w:pStyle w:val="BodyText"/>
        <w:spacing w:before="207" w:line="217" w:lineRule="auto"/>
        <w:rPr>
          <w:sz w:val="22"/>
          <w:szCs w:val="22"/>
        </w:rPr>
      </w:pPr>
      <w:r>
        <w:rPr>
          <w:sz w:val="22"/>
          <w:szCs w:val="22"/>
          <w:spacing w:val="18"/>
        </w:rPr>
        <w:t>大模型助力系统性评估通过异质性消解</w:t>
      </w:r>
      <w:r>
        <w:rPr>
          <w:sz w:val="22"/>
          <w:szCs w:val="22"/>
          <w:spacing w:val="18"/>
        </w:rPr>
        <w:t xml:space="preserve"> </w:t>
      </w:r>
      <w:r>
        <w:rPr>
          <w:rFonts w:ascii="SimSun" w:hAnsi="SimSun" w:eastAsia="SimSun" w:cs="SimSun"/>
          <w:sz w:val="22"/>
          <w:szCs w:val="22"/>
          <w:spacing w:val="18"/>
        </w:rPr>
        <w:t>(</w:t>
      </w:r>
      <w:r>
        <w:rPr>
          <w:rFonts w:ascii="SimSun" w:hAnsi="SimSun" w:eastAsia="SimSun" w:cs="SimSun"/>
          <w:sz w:val="22"/>
          <w:szCs w:val="22"/>
        </w:rPr>
        <w:t>heterogeneity</w:t>
      </w:r>
      <w:r>
        <w:rPr>
          <w:rFonts w:ascii="SimSun" w:hAnsi="SimSun" w:eastAsia="SimSun" w:cs="SimSun"/>
          <w:sz w:val="22"/>
          <w:szCs w:val="22"/>
          <w:spacing w:val="18"/>
        </w:rPr>
        <w:t xml:space="preserve">   </w:t>
      </w:r>
      <w:r>
        <w:rPr>
          <w:rFonts w:ascii="SimSun" w:hAnsi="SimSun" w:eastAsia="SimSun" w:cs="SimSun"/>
          <w:sz w:val="22"/>
          <w:szCs w:val="22"/>
        </w:rPr>
        <w:t>resolution</w:t>
      </w:r>
      <w:r>
        <w:rPr>
          <w:rFonts w:ascii="SimSun" w:hAnsi="SimSun" w:eastAsia="SimSun" w:cs="SimSun"/>
          <w:sz w:val="22"/>
          <w:szCs w:val="22"/>
          <w:spacing w:val="18"/>
        </w:rPr>
        <w:t>,</w:t>
      </w:r>
      <w:r>
        <w:rPr>
          <w:sz w:val="22"/>
          <w:szCs w:val="22"/>
          <w:spacing w:val="18"/>
        </w:rPr>
        <w:t>指</w:t>
      </w:r>
      <w:r>
        <w:rPr>
          <w:sz w:val="22"/>
          <w:szCs w:val="22"/>
          <w:spacing w:val="17"/>
        </w:rPr>
        <w:t>处理个体间变异性的方</w:t>
      </w:r>
    </w:p>
    <w:p>
      <w:pPr>
        <w:pStyle w:val="BodyText"/>
        <w:spacing w:before="188" w:line="213" w:lineRule="auto"/>
        <w:rPr>
          <w:sz w:val="22"/>
          <w:szCs w:val="22"/>
        </w:rPr>
      </w:pPr>
      <w:r>
        <w:rPr>
          <w:sz w:val="22"/>
          <w:szCs w:val="22"/>
          <w:spacing w:val="22"/>
        </w:rPr>
        <w:t>法)来实现全面覆盖。通常情况下，这涉及多层次建模以捕捉药物表型的全</w:t>
      </w:r>
      <w:r>
        <w:rPr>
          <w:sz w:val="22"/>
          <w:szCs w:val="22"/>
          <w:spacing w:val="21"/>
        </w:rPr>
        <w:t>谱。</w:t>
      </w:r>
    </w:p>
    <w:p>
      <w:pPr>
        <w:spacing w:line="301" w:lineRule="auto"/>
        <w:rPr>
          <w:rFonts w:ascii="Arial"/>
          <w:sz w:val="21"/>
        </w:rPr>
      </w:pPr>
      <w:r/>
    </w:p>
    <w:p>
      <w:pPr>
        <w:pStyle w:val="BodyText"/>
        <w:ind w:left="3"/>
        <w:spacing w:before="72" w:line="222" w:lineRule="auto"/>
        <w:outlineLvl w:val="4"/>
        <w:rPr>
          <w:sz w:val="22"/>
          <w:szCs w:val="22"/>
        </w:rPr>
      </w:pPr>
      <w:r>
        <w:rPr>
          <w:rFonts w:ascii="SimSun" w:hAnsi="SimSun" w:eastAsia="SimSun" w:cs="SimSun"/>
          <w:sz w:val="22"/>
          <w:szCs w:val="22"/>
          <w:b/>
          <w:bCs/>
          <w:spacing w:val="14"/>
        </w:rPr>
        <w:t>1.</w:t>
      </w:r>
      <w:r>
        <w:rPr>
          <w:sz w:val="22"/>
          <w:szCs w:val="22"/>
          <w:b/>
          <w:bCs/>
          <w:spacing w:val="14"/>
        </w:rPr>
        <w:t>集成框架的构建</w:t>
      </w:r>
    </w:p>
    <w:p>
      <w:pPr>
        <w:pStyle w:val="BodyText"/>
        <w:ind w:right="1109"/>
        <w:spacing w:before="246" w:line="454" w:lineRule="auto"/>
        <w:rPr>
          <w:sz w:val="22"/>
          <w:szCs w:val="22"/>
        </w:rPr>
      </w:pPr>
      <w:r>
        <w:rPr>
          <w:sz w:val="22"/>
          <w:szCs w:val="22"/>
          <w:spacing w:val="19"/>
        </w:rPr>
        <w:t>如表2所示，面向个体异质性的大模型药物反应预测框架的关键数据层与算法层分解。</w:t>
      </w:r>
      <w:r>
        <w:rPr>
          <w:sz w:val="22"/>
          <w:szCs w:val="22"/>
          <w:spacing w:val="17"/>
        </w:rPr>
        <w:t xml:space="preserve"> </w:t>
      </w:r>
      <w:r>
        <w:rPr>
          <w:sz w:val="22"/>
          <w:szCs w:val="22"/>
          <w:spacing w:val="24"/>
        </w:rPr>
        <w:t>表2:面向个体异质性的大模型药物反应预测框架的关键数据层与算法层分解</w:t>
      </w:r>
    </w:p>
    <w:p>
      <w:pPr>
        <w:spacing w:line="454" w:lineRule="auto"/>
        <w:sectPr>
          <w:pgSz w:w="12240" w:h="15840"/>
          <w:pgMar w:top="1139" w:right="1170" w:bottom="0" w:left="970" w:header="0" w:footer="0" w:gutter="0"/>
        </w:sectPr>
        <w:rPr>
          <w:sz w:val="22"/>
          <w:szCs w:val="22"/>
        </w:rPr>
      </w:pPr>
    </w:p>
    <w:p>
      <w:pPr>
        <w:pStyle w:val="BodyText"/>
        <w:ind w:left="103"/>
        <w:spacing w:before="44" w:line="221" w:lineRule="auto"/>
        <w:rPr>
          <w:sz w:val="22"/>
          <w:szCs w:val="22"/>
        </w:rPr>
      </w:pPr>
      <w:r>
        <w:rPr>
          <w:sz w:val="22"/>
          <w:szCs w:val="22"/>
          <w:spacing w:val="-3"/>
        </w:rPr>
        <w:t>层级</w:t>
      </w:r>
    </w:p>
    <w:p>
      <w:pPr>
        <w:spacing w:line="263" w:lineRule="auto"/>
        <w:rPr>
          <w:rFonts w:ascii="Arial"/>
          <w:sz w:val="21"/>
        </w:rPr>
      </w:pPr>
      <w:r/>
    </w:p>
    <w:p>
      <w:pPr>
        <w:pStyle w:val="BodyText"/>
        <w:ind w:left="103"/>
        <w:spacing w:before="72" w:line="221" w:lineRule="auto"/>
        <w:rPr>
          <w:sz w:val="22"/>
          <w:szCs w:val="22"/>
        </w:rPr>
      </w:pPr>
      <w:r>
        <w:rPr>
          <w:sz w:val="22"/>
          <w:szCs w:val="22"/>
          <w:spacing w:val="-10"/>
        </w:rPr>
        <w:t>数据层</w:t>
      </w:r>
    </w:p>
    <w:p>
      <w:pPr>
        <w:spacing w:line="4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29"/>
        <w:spacing w:before="43" w:line="224" w:lineRule="auto"/>
        <w:rPr>
          <w:sz w:val="22"/>
          <w:szCs w:val="22"/>
        </w:rPr>
      </w:pPr>
      <w:r>
        <w:rPr>
          <w:sz w:val="22"/>
          <w:szCs w:val="22"/>
          <w:spacing w:val="-3"/>
        </w:rPr>
        <w:t>子组件</w:t>
      </w:r>
    </w:p>
    <w:p>
      <w:pPr>
        <w:spacing w:line="259" w:lineRule="auto"/>
        <w:rPr>
          <w:rFonts w:ascii="Arial"/>
          <w:sz w:val="21"/>
        </w:rPr>
      </w:pPr>
      <w:r/>
    </w:p>
    <w:p>
      <w:pPr>
        <w:pStyle w:val="BodyText"/>
        <w:spacing w:before="72" w:line="222" w:lineRule="auto"/>
        <w:rPr>
          <w:sz w:val="22"/>
          <w:szCs w:val="22"/>
        </w:rPr>
      </w:pPr>
      <w:r>
        <w:rPr>
          <w:sz w:val="22"/>
          <w:szCs w:val="22"/>
          <w:spacing w:val="-5"/>
        </w:rPr>
        <w:t>基因组数据</w:t>
      </w:r>
    </w:p>
    <w:p>
      <w:pPr>
        <w:spacing w:line="14" w:lineRule="auto"/>
        <w:rPr>
          <w:rFonts w:ascii="Arial"/>
          <w:sz w:val="2"/>
        </w:rPr>
      </w:pPr>
      <w:r>
        <w:rPr>
          <w:rFonts w:ascii="Arial" w:hAnsi="Arial" w:eastAsia="Arial" w:cs="Arial"/>
          <w:sz w:val="2"/>
          <w:szCs w:val="2"/>
        </w:rPr>
        <w:br w:type="column"/>
      </w:r>
    </w:p>
    <w:p>
      <w:pPr>
        <w:pStyle w:val="BodyText"/>
        <w:spacing w:before="43" w:line="222" w:lineRule="auto"/>
        <w:rPr>
          <w:sz w:val="22"/>
          <w:szCs w:val="22"/>
        </w:rPr>
      </w:pPr>
      <w:r>
        <w:rPr>
          <w:sz w:val="22"/>
          <w:szCs w:val="22"/>
          <w:spacing w:val="6"/>
        </w:rPr>
        <w:t>功能</w:t>
      </w:r>
    </w:p>
    <w:p>
      <w:pPr>
        <w:spacing w:line="261" w:lineRule="auto"/>
        <w:rPr>
          <w:rFonts w:ascii="Arial"/>
          <w:sz w:val="21"/>
        </w:rPr>
      </w:pPr>
      <w:r/>
    </w:p>
    <w:p>
      <w:pPr>
        <w:pStyle w:val="BodyText"/>
        <w:spacing w:before="71" w:line="222" w:lineRule="auto"/>
        <w:rPr>
          <w:sz w:val="22"/>
          <w:szCs w:val="22"/>
        </w:rPr>
      </w:pPr>
      <w:r>
        <w:rPr>
          <w:sz w:val="22"/>
          <w:szCs w:val="22"/>
          <w:spacing w:val="-16"/>
        </w:rPr>
        <w:t>变异识别</w:t>
      </w:r>
    </w:p>
    <w:p>
      <w:pPr>
        <w:spacing w:line="14" w:lineRule="auto"/>
        <w:rPr>
          <w:rFonts w:ascii="Arial"/>
          <w:sz w:val="2"/>
        </w:rPr>
      </w:pPr>
      <w:r>
        <w:rPr>
          <w:rFonts w:ascii="Arial" w:hAnsi="Arial" w:eastAsia="Arial" w:cs="Arial"/>
          <w:sz w:val="2"/>
          <w:szCs w:val="2"/>
        </w:rPr>
        <w:br w:type="column"/>
      </w:r>
    </w:p>
    <w:p>
      <w:pPr>
        <w:pStyle w:val="BodyText"/>
        <w:spacing w:before="42" w:line="222" w:lineRule="auto"/>
        <w:rPr>
          <w:sz w:val="22"/>
          <w:szCs w:val="22"/>
        </w:rPr>
      </w:pPr>
      <w:r>
        <w:rPr>
          <w:sz w:val="22"/>
          <w:szCs w:val="22"/>
          <w:spacing w:val="-8"/>
        </w:rPr>
        <w:t>示例工具</w:t>
      </w:r>
    </w:p>
    <w:p>
      <w:pPr>
        <w:spacing w:line="263" w:lineRule="auto"/>
        <w:rPr>
          <w:rFonts w:ascii="Arial"/>
          <w:sz w:val="21"/>
        </w:rPr>
      </w:pPr>
      <w:r/>
    </w:p>
    <w:p>
      <w:pPr>
        <w:pStyle w:val="BodyText"/>
        <w:spacing w:before="71" w:line="222" w:lineRule="auto"/>
        <w:rPr>
          <w:sz w:val="22"/>
          <w:szCs w:val="22"/>
        </w:rPr>
      </w:pPr>
      <w:r>
        <w:rPr>
          <w:rFonts w:ascii="Times New Roman" w:hAnsi="Times New Roman" w:eastAsia="Times New Roman" w:cs="Times New Roman"/>
          <w:sz w:val="22"/>
          <w:szCs w:val="22"/>
          <w:spacing w:val="-3"/>
        </w:rPr>
        <w:t>GWAS</w:t>
      </w:r>
      <w:r>
        <w:rPr>
          <w:sz w:val="22"/>
          <w:szCs w:val="22"/>
          <w:spacing w:val="-3"/>
        </w:rPr>
        <w:t>数据库</w:t>
      </w:r>
    </w:p>
    <w:p>
      <w:pPr>
        <w:spacing w:line="222" w:lineRule="auto"/>
        <w:sectPr>
          <w:pgSz w:w="12240" w:h="15840"/>
          <w:pgMar w:top="1192" w:right="1162" w:bottom="0" w:left="886" w:header="0" w:footer="0" w:gutter="0"/>
          <w:cols w:equalWidth="0" w:num="4">
            <w:col w:w="855" w:space="100"/>
            <w:col w:w="1210" w:space="100"/>
            <w:col w:w="991" w:space="100"/>
            <w:col w:w="6838" w:space="0"/>
          </w:cols>
        </w:sectPr>
        <w:rPr>
          <w:sz w:val="22"/>
          <w:szCs w:val="22"/>
        </w:rPr>
      </w:pPr>
    </w:p>
    <w:p>
      <w:pPr>
        <w:spacing w:line="34" w:lineRule="exact"/>
        <w:rPr/>
      </w:pPr>
      <w:r/>
    </w:p>
    <w:tbl>
      <w:tblPr>
        <w:tblStyle w:val="TableNormal"/>
        <w:tblW w:w="4600" w:type="dxa"/>
        <w:tblInd w:w="1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5"/>
        <w:gridCol w:w="1290"/>
        <w:gridCol w:w="1103"/>
        <w:gridCol w:w="1482"/>
      </w:tblGrid>
      <w:tr>
        <w:trPr>
          <w:trHeight w:val="608" w:hRule="atLeast"/>
        </w:trPr>
        <w:tc>
          <w:tcPr>
            <w:tcW w:w="725" w:type="dxa"/>
            <w:vAlign w:val="top"/>
            <w:tcBorders>
              <w:bottom w:val="single" w:color="000000" w:sz="2" w:space="0"/>
              <w:top w:val="single" w:color="000000" w:sz="2" w:space="0"/>
            </w:tcBorders>
          </w:tcPr>
          <w:p>
            <w:pPr>
              <w:pStyle w:val="TableText"/>
              <w:spacing w:before="302" w:line="221" w:lineRule="auto"/>
              <w:rPr/>
            </w:pPr>
            <w:r>
              <w:rPr>
                <w:spacing w:val="-10"/>
              </w:rPr>
              <w:t>数据层</w:t>
            </w:r>
          </w:p>
        </w:tc>
        <w:tc>
          <w:tcPr>
            <w:tcW w:w="1290" w:type="dxa"/>
            <w:vAlign w:val="top"/>
            <w:tcBorders>
              <w:bottom w:val="single" w:color="000000" w:sz="2" w:space="0"/>
              <w:top w:val="single" w:color="000000" w:sz="2" w:space="0"/>
            </w:tcBorders>
          </w:tcPr>
          <w:p>
            <w:pPr>
              <w:pStyle w:val="TableText"/>
              <w:ind w:left="145"/>
              <w:spacing w:before="301" w:line="222" w:lineRule="auto"/>
              <w:rPr/>
            </w:pPr>
            <w:r>
              <w:rPr>
                <w:spacing w:val="-12"/>
              </w:rPr>
              <w:t>临床记录</w:t>
            </w:r>
          </w:p>
        </w:tc>
        <w:tc>
          <w:tcPr>
            <w:tcW w:w="1103" w:type="dxa"/>
            <w:vAlign w:val="top"/>
            <w:tcBorders>
              <w:bottom w:val="single" w:color="000000" w:sz="2" w:space="0"/>
              <w:top w:val="single" w:color="000000" w:sz="2" w:space="0"/>
            </w:tcBorders>
          </w:tcPr>
          <w:p>
            <w:pPr>
              <w:pStyle w:val="TableText"/>
              <w:ind w:left="144"/>
              <w:spacing w:before="302" w:line="223" w:lineRule="auto"/>
              <w:rPr/>
            </w:pPr>
            <w:r>
              <w:rPr>
                <w:spacing w:val="-4"/>
              </w:rPr>
              <w:t>响应追踪</w:t>
            </w:r>
          </w:p>
        </w:tc>
        <w:tc>
          <w:tcPr>
            <w:tcW w:w="1482" w:type="dxa"/>
            <w:vAlign w:val="top"/>
            <w:tcBorders>
              <w:bottom w:val="single" w:color="000000" w:sz="2" w:space="0"/>
              <w:top w:val="single" w:color="000000" w:sz="2" w:space="0"/>
            </w:tcBorders>
          </w:tcPr>
          <w:p>
            <w:pPr>
              <w:pStyle w:val="TableText"/>
              <w:ind w:left="132"/>
              <w:spacing w:before="302" w:line="221" w:lineRule="auto"/>
              <w:rPr/>
            </w:pPr>
            <w:r>
              <w:rPr>
                <w:rFonts w:ascii="Times New Roman" w:hAnsi="Times New Roman" w:eastAsia="Times New Roman" w:cs="Times New Roman"/>
                <w:spacing w:val="-9"/>
              </w:rPr>
              <w:t>EHR</w:t>
            </w:r>
            <w:r>
              <w:rPr>
                <w:spacing w:val="-9"/>
              </w:rPr>
              <w:t>系统</w:t>
            </w:r>
          </w:p>
        </w:tc>
      </w:tr>
      <w:tr>
        <w:trPr>
          <w:trHeight w:val="603" w:hRule="atLeast"/>
        </w:trPr>
        <w:tc>
          <w:tcPr>
            <w:tcW w:w="725" w:type="dxa"/>
            <w:vAlign w:val="top"/>
            <w:tcBorders>
              <w:bottom w:val="single" w:color="000000" w:sz="2" w:space="0"/>
              <w:top w:val="single" w:color="000000" w:sz="2" w:space="0"/>
            </w:tcBorders>
          </w:tcPr>
          <w:p>
            <w:pPr>
              <w:pStyle w:val="TableText"/>
              <w:spacing w:before="289" w:line="221" w:lineRule="auto"/>
              <w:rPr/>
            </w:pPr>
            <w:r>
              <w:rPr>
                <w:spacing w:val="-10"/>
              </w:rPr>
              <w:t>算法层</w:t>
            </w:r>
          </w:p>
        </w:tc>
        <w:tc>
          <w:tcPr>
            <w:tcW w:w="1290" w:type="dxa"/>
            <w:vAlign w:val="top"/>
            <w:tcBorders>
              <w:bottom w:val="single" w:color="000000" w:sz="2" w:space="0"/>
              <w:top w:val="single" w:color="000000" w:sz="2" w:space="0"/>
            </w:tcBorders>
          </w:tcPr>
          <w:p>
            <w:pPr>
              <w:pStyle w:val="TableText"/>
              <w:ind w:left="125"/>
              <w:spacing w:before="288" w:line="222" w:lineRule="auto"/>
              <w:rPr/>
            </w:pPr>
            <w:r>
              <w:rPr>
                <w:spacing w:val="-7"/>
              </w:rPr>
              <w:t>注意力机制</w:t>
            </w:r>
          </w:p>
        </w:tc>
        <w:tc>
          <w:tcPr>
            <w:tcW w:w="1103" w:type="dxa"/>
            <w:vAlign w:val="top"/>
            <w:tcBorders>
              <w:bottom w:val="single" w:color="000000" w:sz="2" w:space="0"/>
              <w:top w:val="single" w:color="000000" w:sz="2" w:space="0"/>
            </w:tcBorders>
          </w:tcPr>
          <w:p>
            <w:pPr>
              <w:pStyle w:val="TableText"/>
              <w:ind w:left="125"/>
              <w:spacing w:before="289" w:line="221" w:lineRule="auto"/>
              <w:rPr/>
            </w:pPr>
            <w:r>
              <w:rPr>
                <w:spacing w:val="-7"/>
              </w:rPr>
              <w:t>特征权重</w:t>
            </w:r>
          </w:p>
        </w:tc>
        <w:tc>
          <w:tcPr>
            <w:tcW w:w="1482" w:type="dxa"/>
            <w:vAlign w:val="top"/>
            <w:tcBorders>
              <w:bottom w:val="single" w:color="000000" w:sz="2" w:space="0"/>
              <w:top w:val="single" w:color="000000" w:sz="2" w:space="0"/>
            </w:tcBorders>
          </w:tcPr>
          <w:p>
            <w:pPr>
              <w:spacing w:line="258" w:lineRule="auto"/>
              <w:rPr>
                <w:rFonts w:ascii="Arial"/>
                <w:sz w:val="21"/>
              </w:rPr>
            </w:pPr>
            <w:r/>
          </w:p>
          <w:p>
            <w:pPr>
              <w:ind w:left="101"/>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Transformer</w:t>
            </w:r>
          </w:p>
        </w:tc>
      </w:tr>
      <w:tr>
        <w:trPr>
          <w:trHeight w:val="608" w:hRule="atLeast"/>
        </w:trPr>
        <w:tc>
          <w:tcPr>
            <w:tcW w:w="725" w:type="dxa"/>
            <w:vAlign w:val="top"/>
            <w:tcBorders>
              <w:bottom w:val="single" w:color="000000" w:sz="2" w:space="0"/>
              <w:top w:val="single" w:color="000000" w:sz="2" w:space="0"/>
            </w:tcBorders>
          </w:tcPr>
          <w:p>
            <w:pPr>
              <w:pStyle w:val="TableText"/>
              <w:spacing w:before="291" w:line="221" w:lineRule="auto"/>
              <w:rPr/>
            </w:pPr>
            <w:r>
              <w:rPr>
                <w:spacing w:val="-10"/>
              </w:rPr>
              <w:t>算法层</w:t>
            </w:r>
          </w:p>
        </w:tc>
        <w:tc>
          <w:tcPr>
            <w:tcW w:w="1290" w:type="dxa"/>
            <w:vAlign w:val="top"/>
            <w:tcBorders>
              <w:bottom w:val="single" w:color="000000" w:sz="2" w:space="0"/>
              <w:top w:val="single" w:color="000000" w:sz="2" w:space="0"/>
            </w:tcBorders>
          </w:tcPr>
          <w:p>
            <w:pPr>
              <w:pStyle w:val="TableText"/>
              <w:ind w:left="125"/>
              <w:spacing w:before="290" w:line="224" w:lineRule="auto"/>
              <w:rPr/>
            </w:pPr>
            <w:r>
              <w:rPr>
                <w:spacing w:val="-5"/>
              </w:rPr>
              <w:t>因果推理</w:t>
            </w:r>
          </w:p>
        </w:tc>
        <w:tc>
          <w:tcPr>
            <w:tcW w:w="1103" w:type="dxa"/>
            <w:vAlign w:val="top"/>
            <w:tcBorders>
              <w:bottom w:val="single" w:color="000000" w:sz="2" w:space="0"/>
              <w:top w:val="single" w:color="000000" w:sz="2" w:space="0"/>
            </w:tcBorders>
          </w:tcPr>
          <w:p>
            <w:pPr>
              <w:pStyle w:val="TableText"/>
              <w:ind w:left="135"/>
              <w:spacing w:before="290" w:line="222" w:lineRule="auto"/>
              <w:rPr/>
            </w:pPr>
            <w:r>
              <w:rPr>
                <w:spacing w:val="-11"/>
              </w:rPr>
              <w:t>干预模拟</w:t>
            </w:r>
          </w:p>
        </w:tc>
        <w:tc>
          <w:tcPr>
            <w:tcW w:w="1482" w:type="dxa"/>
            <w:vAlign w:val="top"/>
            <w:tcBorders>
              <w:bottom w:val="single" w:color="000000" w:sz="2" w:space="0"/>
              <w:top w:val="single" w:color="000000" w:sz="2" w:space="0"/>
            </w:tcBorders>
          </w:tcPr>
          <w:p>
            <w:pPr>
              <w:ind w:left="112"/>
              <w:spacing w:before="290"/>
              <w:rPr>
                <w:rFonts w:ascii="SimSun" w:hAnsi="SimSun" w:eastAsia="SimSun" w:cs="SimSun"/>
                <w:sz w:val="22"/>
                <w:szCs w:val="22"/>
              </w:rPr>
            </w:pPr>
            <w:r>
              <w:rPr>
                <w:rFonts w:ascii="SimSun" w:hAnsi="SimSun" w:eastAsia="SimSun" w:cs="SimSun"/>
                <w:sz w:val="22"/>
                <w:szCs w:val="22"/>
                <w:spacing w:val="-1"/>
              </w:rPr>
              <w:t>Do-Calculus</w:t>
            </w:r>
          </w:p>
        </w:tc>
      </w:tr>
    </w:tbl>
    <w:p>
      <w:pPr>
        <w:rPr>
          <w:rFonts w:ascii="Arial"/>
          <w:sz w:val="21"/>
        </w:rPr>
      </w:pPr>
      <w:r/>
    </w:p>
    <w:p>
      <w:pPr>
        <w:pStyle w:val="BodyText"/>
        <w:ind w:left="103"/>
        <w:spacing w:before="72" w:line="218" w:lineRule="auto"/>
        <w:rPr>
          <w:sz w:val="22"/>
          <w:szCs w:val="22"/>
        </w:rPr>
      </w:pPr>
      <w:r>
        <w:rPr>
          <w:sz w:val="22"/>
          <w:szCs w:val="22"/>
          <w:spacing w:val="-3"/>
        </w:rPr>
        <w:t>输出层</w:t>
      </w:r>
      <w:r>
        <w:rPr>
          <w:sz w:val="22"/>
          <w:szCs w:val="22"/>
          <w:spacing w:val="-3"/>
        </w:rPr>
        <w:t xml:space="preserve">  </w:t>
      </w:r>
      <w:r>
        <w:rPr>
          <w:sz w:val="22"/>
          <w:szCs w:val="22"/>
          <w:spacing w:val="-3"/>
        </w:rPr>
        <w:t>个性化预测</w:t>
      </w:r>
      <w:r>
        <w:rPr>
          <w:sz w:val="22"/>
          <w:szCs w:val="22"/>
          <w:spacing w:val="-3"/>
        </w:rPr>
        <w:t xml:space="preserve">  </w:t>
      </w:r>
      <w:r>
        <w:rPr>
          <w:sz w:val="22"/>
          <w:szCs w:val="22"/>
          <w:spacing w:val="-3"/>
        </w:rPr>
        <w:t>响应概率</w:t>
      </w:r>
      <w:r>
        <w:rPr>
          <w:sz w:val="22"/>
          <w:szCs w:val="22"/>
          <w:spacing w:val="-3"/>
        </w:rPr>
        <w:t xml:space="preserve">  </w:t>
      </w:r>
      <w:r>
        <w:rPr>
          <w:rFonts w:ascii="SimSun" w:hAnsi="SimSun" w:eastAsia="SimSun" w:cs="SimSun"/>
          <w:sz w:val="22"/>
          <w:szCs w:val="22"/>
          <w:spacing w:val="-3"/>
        </w:rPr>
        <w:t>Bayesian</w:t>
      </w:r>
      <w:r>
        <w:rPr>
          <w:sz w:val="22"/>
          <w:szCs w:val="22"/>
          <w:spacing w:val="-3"/>
        </w:rPr>
        <w:t>网络</w:t>
      </w:r>
    </w:p>
    <w:p>
      <w:pPr>
        <w:spacing w:line="268" w:lineRule="auto"/>
        <w:rPr>
          <w:rFonts w:ascii="Arial"/>
          <w:sz w:val="21"/>
        </w:rPr>
      </w:pPr>
      <w:r/>
    </w:p>
    <w:p>
      <w:pPr>
        <w:spacing w:line="268" w:lineRule="auto"/>
        <w:rPr>
          <w:rFonts w:ascii="Arial"/>
          <w:sz w:val="21"/>
        </w:rPr>
      </w:pPr>
      <w:r/>
    </w:p>
    <w:p>
      <w:pPr>
        <w:pStyle w:val="BodyText"/>
        <w:ind w:left="247"/>
        <w:spacing w:before="71" w:line="222" w:lineRule="auto"/>
        <w:outlineLvl w:val="4"/>
        <w:rPr>
          <w:sz w:val="22"/>
          <w:szCs w:val="22"/>
        </w:rPr>
      </w:pPr>
      <w:r>
        <w:rPr>
          <w:sz w:val="22"/>
          <w:szCs w:val="22"/>
          <w:b/>
          <w:bCs/>
          <w:spacing w:val="21"/>
        </w:rPr>
        <w:t>(1)潜在局限与实施挑战</w:t>
      </w:r>
    </w:p>
    <w:p>
      <w:pPr>
        <w:pStyle w:val="BodyText"/>
        <w:ind w:left="103"/>
        <w:spacing w:before="248" w:line="213" w:lineRule="auto"/>
        <w:rPr>
          <w:sz w:val="22"/>
          <w:szCs w:val="22"/>
        </w:rPr>
      </w:pPr>
      <w:r>
        <w:rPr>
          <w:sz w:val="22"/>
          <w:szCs w:val="22"/>
          <w:spacing w:val="19"/>
        </w:rPr>
        <w:t>尽管框架先进，但前提条件包括数据多样性，挑战在于跨机构数据共享的障碍。</w:t>
      </w:r>
    </w:p>
    <w:p>
      <w:pPr>
        <w:spacing w:line="393" w:lineRule="auto"/>
        <w:rPr>
          <w:rFonts w:ascii="Arial"/>
          <w:sz w:val="21"/>
        </w:rPr>
      </w:pPr>
      <w:r/>
    </w:p>
    <w:p>
      <w:pPr>
        <w:pStyle w:val="BodyText"/>
        <w:ind w:left="288"/>
        <w:spacing w:before="102" w:line="222" w:lineRule="auto"/>
        <w:outlineLvl w:val="2"/>
        <w:rPr>
          <w:sz w:val="31"/>
          <w:szCs w:val="31"/>
        </w:rPr>
      </w:pPr>
      <w:r>
        <w:rPr>
          <w:sz w:val="31"/>
          <w:szCs w:val="31"/>
          <w:b/>
          <w:bCs/>
          <w:spacing w:val="-3"/>
        </w:rPr>
        <w:t>(二)应对个体异质性</w:t>
      </w:r>
    </w:p>
    <w:p>
      <w:pPr>
        <w:pStyle w:val="BodyText"/>
        <w:ind w:left="103" w:right="95"/>
        <w:spacing w:before="207" w:line="358" w:lineRule="auto"/>
        <w:rPr>
          <w:sz w:val="22"/>
          <w:szCs w:val="22"/>
        </w:rPr>
      </w:pPr>
      <w:r>
        <w:rPr>
          <w:sz w:val="22"/>
          <w:szCs w:val="22"/>
          <w:spacing w:val="16"/>
        </w:rPr>
        <w:t>大模型通过数字孪生模拟个体变异，通常可实现更精确的响应预测。根据</w:t>
      </w:r>
      <w:r>
        <w:rPr>
          <w:rFonts w:ascii="Times New Roman" w:hAnsi="Times New Roman" w:eastAsia="Times New Roman" w:cs="Times New Roman"/>
          <w:sz w:val="22"/>
          <w:szCs w:val="22"/>
        </w:rPr>
        <w:t>PubMed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Central</w:t>
      </w:r>
      <w:r>
        <w:rPr>
          <w:sz w:val="22"/>
          <w:szCs w:val="22"/>
          <w:spacing w:val="16"/>
        </w:rPr>
        <w:t>的</w:t>
      </w:r>
      <w:r>
        <w:rPr>
          <w:sz w:val="22"/>
          <w:szCs w:val="22"/>
          <w:spacing w:val="-34"/>
        </w:rPr>
        <w:t xml:space="preserve"> </w:t>
      </w:r>
      <w:r>
        <w:rPr>
          <w:sz w:val="22"/>
          <w:szCs w:val="22"/>
          <w:spacing w:val="16"/>
        </w:rPr>
        <w:t>一</w:t>
      </w:r>
      <w:r>
        <w:rPr>
          <w:sz w:val="22"/>
          <w:szCs w:val="22"/>
        </w:rPr>
        <w:t xml:space="preserve"> </w:t>
      </w:r>
      <w:r>
        <w:rPr>
          <w:sz w:val="22"/>
          <w:szCs w:val="22"/>
          <w:spacing w:val="8"/>
        </w:rPr>
        <w:t>篇</w:t>
      </w:r>
      <w:r>
        <w:rPr>
          <w:sz w:val="22"/>
          <w:szCs w:val="22"/>
          <w:spacing w:val="-43"/>
        </w:rPr>
        <w:t xml:space="preserve"> </w:t>
      </w:r>
      <w:r>
        <w:rPr>
          <w:sz w:val="22"/>
          <w:szCs w:val="22"/>
          <w:spacing w:val="8"/>
        </w:rPr>
        <w:t>综</w:t>
      </w:r>
      <w:r>
        <w:rPr>
          <w:sz w:val="22"/>
          <w:szCs w:val="22"/>
          <w:spacing w:val="-44"/>
        </w:rPr>
        <w:t xml:space="preserve"> </w:t>
      </w:r>
      <w:r>
        <w:rPr>
          <w:sz w:val="22"/>
          <w:szCs w:val="22"/>
          <w:spacing w:val="8"/>
        </w:rPr>
        <w:t>述</w:t>
      </w:r>
      <w:r>
        <w:rPr>
          <w:sz w:val="22"/>
          <w:szCs w:val="22"/>
          <w:spacing w:val="-51"/>
        </w:rPr>
        <w:t xml:space="preserve"> </w:t>
      </w:r>
      <w:r>
        <w:rPr>
          <w:sz w:val="22"/>
          <w:szCs w:val="22"/>
          <w:spacing w:val="8"/>
        </w:rPr>
        <w:t>，</w:t>
      </w:r>
      <w:r>
        <w:rPr>
          <w:rFonts w:ascii="Times New Roman" w:hAnsi="Times New Roman" w:eastAsia="Times New Roman" w:cs="Times New Roman"/>
          <w:sz w:val="22"/>
          <w:szCs w:val="22"/>
        </w:rPr>
        <w:t>Al</w:t>
      </w:r>
      <w:r>
        <w:rPr>
          <w:sz w:val="22"/>
          <w:szCs w:val="22"/>
          <w:spacing w:val="8"/>
        </w:rPr>
        <w:t>多模态整合正重塑药物发现。</w:t>
      </w:r>
    </w:p>
    <w:p>
      <w:pPr>
        <w:pStyle w:val="BodyText"/>
        <w:ind w:left="107"/>
        <w:spacing w:before="213" w:line="222" w:lineRule="auto"/>
        <w:outlineLvl w:val="4"/>
        <w:rPr>
          <w:sz w:val="22"/>
          <w:szCs w:val="22"/>
        </w:rPr>
      </w:pPr>
      <w:r>
        <w:rPr>
          <w:rFonts w:ascii="SimSun" w:hAnsi="SimSun" w:eastAsia="SimSun" w:cs="SimSun"/>
          <w:sz w:val="22"/>
          <w:szCs w:val="22"/>
          <w:b/>
          <w:bCs/>
          <w:spacing w:val="14"/>
        </w:rPr>
        <w:t>1.</w:t>
      </w:r>
      <w:r>
        <w:rPr>
          <w:sz w:val="22"/>
          <w:szCs w:val="22"/>
          <w:b/>
          <w:bCs/>
          <w:spacing w:val="14"/>
        </w:rPr>
        <w:t>异质性消解策略</w:t>
      </w:r>
    </w:p>
    <w:p>
      <w:pPr>
        <w:pStyle w:val="BodyText"/>
        <w:ind w:left="103"/>
        <w:spacing w:before="248" w:line="221" w:lineRule="auto"/>
        <w:rPr>
          <w:sz w:val="22"/>
          <w:szCs w:val="22"/>
        </w:rPr>
      </w:pPr>
      <w:r>
        <w:rPr>
          <w:sz w:val="22"/>
          <w:szCs w:val="22"/>
          <w:spacing w:val="18"/>
        </w:rPr>
        <w:t>这可能表明通过机器学习消解遗传和环境因素的影响路径。</w:t>
      </w:r>
    </w:p>
    <w:p>
      <w:pPr>
        <w:spacing w:line="300" w:lineRule="auto"/>
        <w:rPr>
          <w:rFonts w:ascii="Arial"/>
          <w:sz w:val="21"/>
        </w:rPr>
      </w:pPr>
      <w:r/>
    </w:p>
    <w:p>
      <w:pPr>
        <w:pStyle w:val="BodyText"/>
        <w:ind w:left="247"/>
        <w:spacing w:before="72" w:line="222" w:lineRule="auto"/>
        <w:outlineLvl w:val="4"/>
        <w:rPr>
          <w:sz w:val="22"/>
          <w:szCs w:val="22"/>
        </w:rPr>
      </w:pPr>
      <w:r>
        <w:rPr>
          <w:sz w:val="22"/>
          <w:szCs w:val="22"/>
          <w:b/>
          <w:bCs/>
          <w:spacing w:val="21"/>
        </w:rPr>
        <w:t>(1)潜在局限与实施挑战</w:t>
      </w:r>
    </w:p>
    <w:p>
      <w:pPr>
        <w:pStyle w:val="BodyText"/>
        <w:ind w:left="103"/>
        <w:spacing w:before="229" w:line="213" w:lineRule="auto"/>
        <w:rPr>
          <w:sz w:val="22"/>
          <w:szCs w:val="22"/>
        </w:rPr>
      </w:pPr>
      <w:r>
        <w:rPr>
          <w:sz w:val="22"/>
          <w:szCs w:val="22"/>
          <w:spacing w:val="18"/>
        </w:rPr>
        <w:t>挑战包括过拟合风险，建议采用交叉验证方法。</w:t>
      </w:r>
    </w:p>
    <w:p>
      <w:pPr>
        <w:spacing w:line="292" w:lineRule="auto"/>
        <w:rPr>
          <w:rFonts w:ascii="Arial"/>
          <w:sz w:val="21"/>
        </w:rPr>
      </w:pPr>
      <w:r/>
    </w:p>
    <w:p>
      <w:pPr>
        <w:spacing w:line="293" w:lineRule="auto"/>
        <w:rPr>
          <w:rFonts w:ascii="Arial"/>
          <w:sz w:val="21"/>
        </w:rPr>
      </w:pPr>
      <w:r/>
    </w:p>
    <w:p>
      <w:pPr>
        <w:pStyle w:val="BodyText"/>
        <w:ind w:left="109"/>
        <w:spacing w:before="117" w:line="222" w:lineRule="auto"/>
        <w:outlineLvl w:val="1"/>
        <w:rPr>
          <w:sz w:val="36"/>
          <w:szCs w:val="36"/>
        </w:rPr>
      </w:pPr>
      <w:r>
        <w:rPr>
          <w:sz w:val="36"/>
          <w:szCs w:val="36"/>
          <w:b/>
          <w:bCs/>
          <w:spacing w:val="-5"/>
        </w:rPr>
        <w:t>四、当前面临的主要技术与实施挑战</w:t>
      </w:r>
    </w:p>
    <w:p>
      <w:pPr>
        <w:pStyle w:val="BodyText"/>
        <w:ind w:left="103"/>
        <w:spacing w:before="227" w:line="350" w:lineRule="auto"/>
        <w:rPr>
          <w:sz w:val="22"/>
          <w:szCs w:val="22"/>
        </w:rPr>
      </w:pPr>
      <w:r>
        <w:rPr>
          <w:sz w:val="22"/>
          <w:szCs w:val="22"/>
          <w:spacing w:val="20"/>
        </w:rPr>
        <w:t>总体而言，当前挑战包括数据质量、模型透明度和伦理问题。通常情况下，这些可通过标准化协</w:t>
      </w:r>
      <w:r>
        <w:rPr>
          <w:sz w:val="22"/>
          <w:szCs w:val="22"/>
          <w:spacing w:val="6"/>
        </w:rPr>
        <w:t xml:space="preserve"> </w:t>
      </w:r>
      <w:r>
        <w:rPr>
          <w:sz w:val="22"/>
          <w:szCs w:val="22"/>
          <w:spacing w:val="16"/>
        </w:rPr>
        <w:t>议缓解，但有待进一步验证。</w:t>
      </w:r>
    </w:p>
    <w:p>
      <w:pPr>
        <w:spacing w:line="425" w:lineRule="auto"/>
        <w:rPr>
          <w:rFonts w:ascii="Arial"/>
          <w:sz w:val="21"/>
        </w:rPr>
      </w:pPr>
      <w:r/>
    </w:p>
    <w:p>
      <w:pPr>
        <w:pStyle w:val="BodyText"/>
        <w:ind w:left="109"/>
        <w:spacing w:before="118" w:line="221" w:lineRule="auto"/>
        <w:outlineLvl w:val="1"/>
        <w:rPr>
          <w:sz w:val="36"/>
          <w:szCs w:val="36"/>
        </w:rPr>
      </w:pPr>
      <w:r>
        <w:rPr>
          <w:sz w:val="36"/>
          <w:szCs w:val="36"/>
          <w:b/>
          <w:bCs/>
          <w:spacing w:val="-11"/>
        </w:rPr>
        <w:t>五、未来发展趋势</w:t>
      </w:r>
    </w:p>
    <w:p>
      <w:pPr>
        <w:pStyle w:val="BodyText"/>
        <w:ind w:left="103" w:right="89"/>
        <w:spacing w:before="211" w:line="282" w:lineRule="auto"/>
        <w:rPr>
          <w:sz w:val="22"/>
          <w:szCs w:val="22"/>
        </w:rPr>
      </w:pPr>
      <w:r>
        <w:rPr>
          <w:sz w:val="22"/>
          <w:szCs w:val="22"/>
          <w:spacing w:val="21"/>
        </w:rPr>
        <w:t>未来趋势指向</w:t>
      </w:r>
      <w:r>
        <w:rPr>
          <w:rFonts w:ascii="SimSun" w:hAnsi="SimSun" w:eastAsia="SimSun" w:cs="SimSun"/>
          <w:sz w:val="22"/>
          <w:szCs w:val="22"/>
        </w:rPr>
        <w:t>Al</w:t>
      </w:r>
      <w:r>
        <w:rPr>
          <w:sz w:val="22"/>
          <w:szCs w:val="22"/>
          <w:spacing w:val="21"/>
        </w:rPr>
        <w:t>与多组学更深融合，据</w:t>
      </w:r>
      <w:r>
        <w:rPr>
          <w:rFonts w:ascii="SimSun" w:hAnsi="SimSun" w:eastAsia="SimSun" w:cs="SimSun"/>
          <w:sz w:val="22"/>
          <w:szCs w:val="22"/>
        </w:rPr>
        <w:t>ScienceDirect</w:t>
      </w:r>
      <w:r>
        <w:rPr>
          <w:rFonts w:ascii="SimSun" w:hAnsi="SimSun" w:eastAsia="SimSun" w:cs="SimSun"/>
          <w:sz w:val="22"/>
          <w:szCs w:val="22"/>
          <w:spacing w:val="50"/>
        </w:rPr>
        <w:t xml:space="preserve"> </w:t>
      </w:r>
      <w:r>
        <w:rPr>
          <w:sz w:val="22"/>
          <w:szCs w:val="22"/>
          <w:spacing w:val="21"/>
        </w:rPr>
        <w:t>文章预测，数字孪生将实</w:t>
      </w:r>
      <w:r>
        <w:rPr>
          <w:sz w:val="22"/>
          <w:szCs w:val="22"/>
          <w:spacing w:val="20"/>
        </w:rPr>
        <w:t>时模拟个性化响</w:t>
      </w:r>
      <w:r>
        <w:rPr>
          <w:sz w:val="22"/>
          <w:szCs w:val="22"/>
        </w:rPr>
        <w:t xml:space="preserve"> </w:t>
      </w:r>
      <w:r>
        <w:rPr>
          <w:sz w:val="22"/>
          <w:szCs w:val="22"/>
          <w:spacing w:val="21"/>
        </w:rPr>
        <w:t>应。这可能表明从预测到预防的转变。</w:t>
      </w:r>
    </w:p>
    <w:p>
      <w:pPr>
        <w:spacing w:line="282" w:lineRule="auto"/>
        <w:sectPr>
          <w:type w:val="continuous"/>
          <w:pgSz w:w="12240" w:h="15840"/>
          <w:pgMar w:top="1192" w:right="1162" w:bottom="0" w:left="886" w:header="0" w:footer="0" w:gutter="0"/>
          <w:cols w:equalWidth="0" w:num="1">
            <w:col w:w="10192" w:space="0"/>
          </w:cols>
        </w:sectPr>
        <w:rPr>
          <w:sz w:val="22"/>
          <w:szCs w:val="22"/>
        </w:rPr>
      </w:pPr>
    </w:p>
    <w:p>
      <w:pPr>
        <w:pStyle w:val="BodyText"/>
        <w:ind w:left="5"/>
        <w:spacing w:before="72" w:line="222" w:lineRule="auto"/>
        <w:outlineLvl w:val="1"/>
        <w:rPr>
          <w:sz w:val="36"/>
          <w:szCs w:val="36"/>
        </w:rPr>
      </w:pPr>
      <w:r>
        <w:rPr>
          <w:sz w:val="36"/>
          <w:szCs w:val="36"/>
          <w:b/>
          <w:bCs/>
          <w:strike/>
          <w:spacing w:val="-4"/>
        </w:rPr>
        <w:t>六</w:t>
      </w:r>
      <w:r>
        <w:rPr>
          <w:sz w:val="36"/>
          <w:szCs w:val="36"/>
          <w:b/>
          <w:bCs/>
          <w:spacing w:val="-4"/>
        </w:rPr>
        <w:t>、战略建议与结论</w:t>
      </w:r>
    </w:p>
    <w:p>
      <w:pPr>
        <w:pStyle w:val="BodyText"/>
        <w:spacing w:before="228" w:line="352" w:lineRule="auto"/>
        <w:rPr>
          <w:sz w:val="22"/>
          <w:szCs w:val="22"/>
        </w:rPr>
      </w:pPr>
      <w:r>
        <w:rPr>
          <w:sz w:val="22"/>
          <w:szCs w:val="22"/>
          <w:spacing w:val="19"/>
        </w:rPr>
        <w:t>建议相关方投资于</w:t>
      </w:r>
      <w:r>
        <w:rPr>
          <w:rFonts w:ascii="SimSun" w:hAnsi="SimSun" w:eastAsia="SimSun" w:cs="SimSun"/>
          <w:sz w:val="22"/>
          <w:szCs w:val="22"/>
        </w:rPr>
        <w:t>AI</w:t>
      </w:r>
      <w:r>
        <w:rPr>
          <w:sz w:val="22"/>
          <w:szCs w:val="22"/>
          <w:spacing w:val="19"/>
        </w:rPr>
        <w:t>基础设施，并制定政策框架。该技术的发展与落地，对于推动我国‘精准医疗’</w:t>
      </w:r>
      <w:r>
        <w:rPr>
          <w:sz w:val="22"/>
          <w:szCs w:val="22"/>
          <w:spacing w:val="15"/>
        </w:rPr>
        <w:t xml:space="preserve"> </w:t>
      </w:r>
      <w:r>
        <w:rPr>
          <w:sz w:val="22"/>
          <w:szCs w:val="22"/>
          <w:spacing w:val="1"/>
        </w:rPr>
        <w:t>战略实施、构建‘医药研发数字新基建’、以及在</w:t>
      </w:r>
      <w:r>
        <w:rPr>
          <w:sz w:val="22"/>
          <w:szCs w:val="22"/>
        </w:rPr>
        <w:t>全球‘</w:t>
      </w:r>
      <w:r>
        <w:rPr>
          <w:rFonts w:ascii="SimSun" w:hAnsi="SimSun" w:eastAsia="SimSun" w:cs="SimSun"/>
          <w:sz w:val="22"/>
          <w:szCs w:val="22"/>
        </w:rPr>
        <w:t>Al</w:t>
      </w:r>
      <w:r>
        <w:rPr>
          <w:rFonts w:ascii="SimSun" w:hAnsi="SimSun" w:eastAsia="SimSun" w:cs="SimSun"/>
          <w:sz w:val="22"/>
          <w:szCs w:val="22"/>
          <w:spacing w:val="44"/>
        </w:rPr>
        <w:t xml:space="preserve"> </w:t>
      </w:r>
      <w:r>
        <w:rPr>
          <w:rFonts w:ascii="SimSun" w:hAnsi="SimSun" w:eastAsia="SimSun" w:cs="SimSun"/>
          <w:sz w:val="22"/>
          <w:szCs w:val="22"/>
        </w:rPr>
        <w:t>for</w:t>
      </w:r>
      <w:r>
        <w:rPr>
          <w:rFonts w:ascii="SimSun" w:hAnsi="SimSun" w:eastAsia="SimSun" w:cs="SimSun"/>
          <w:sz w:val="22"/>
          <w:szCs w:val="22"/>
          <w:spacing w:val="41"/>
        </w:rPr>
        <w:t xml:space="preserve"> </w:t>
      </w:r>
      <w:r>
        <w:rPr>
          <w:rFonts w:ascii="SimSun" w:hAnsi="SimSun" w:eastAsia="SimSun" w:cs="SimSun"/>
          <w:sz w:val="22"/>
          <w:szCs w:val="22"/>
        </w:rPr>
        <w:t>Science’</w:t>
      </w:r>
      <w:r>
        <w:rPr>
          <w:sz w:val="22"/>
          <w:szCs w:val="22"/>
        </w:rPr>
        <w:t>竞赛中占据制高点具有关键</w:t>
      </w:r>
    </w:p>
    <w:p>
      <w:pPr>
        <w:pStyle w:val="BodyText"/>
        <w:spacing w:before="1" w:line="212" w:lineRule="auto"/>
        <w:rPr>
          <w:sz w:val="22"/>
          <w:szCs w:val="22"/>
        </w:rPr>
      </w:pPr>
      <w:r>
        <w:rPr>
          <w:sz w:val="22"/>
          <w:szCs w:val="22"/>
          <w:spacing w:val="19"/>
        </w:rPr>
        <w:t>意义。通常情况下，这可通过公私合作实现可持续进步。</w:t>
      </w:r>
    </w:p>
    <w:sectPr>
      <w:pgSz w:w="12240" w:h="15840"/>
      <w:pgMar w:top="1195" w:right="746"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Hei" w:hAnsi="SimHei" w:eastAsia="SimHei" w:cs="SimHei"/>
      <w:sz w:val="22"/>
      <w:szCs w:val="22"/>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2026-03-16T00:00:27Z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2026-03-16T00:00:28</vt:filetime>
  </property>
  <property fmtid="{D5CDD505-2E9C-101B-9397-08002B2CF9AE}" pid="4" name="UsrData">
    <vt:lpwstr>69b6d7996314910020303ebbwl</vt:lpwstr>
  </property>
</Properties>
</file>