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大模型赋能药物系统性评估与个体化响应的前沿技术研判与发展路线图"/>
      <w:r>
        <w:rPr>
          <w:rFonts w:eastAsia="Georgia" w:cs="Georgia" w:ascii="Georgia" w:hAnsi="Georgia"/>
          <w:b/>
          <w:sz w:val="56"/>
        </w:rPr>
        <w:t xml:space="preserve">大模型赋能药物系统性评估与个体化响应的前沿技术研判与发展路线图</w:t>
      </w:r>
      <w:bookmarkEnd w:id="0"/>
    </w:p>
    <w:p>
      <w:pPr>
        <w:spacing w:after="210" w:lineRule="auto"/>
      </w:pPr>
      <w:r>
        <w:rPr>
          <w:b/>
        </w:rPr>
        <w:t xml:space="preserve">汇报对象</w:t>
      </w:r>
      <w:r>
        <w:rPr>
          <w:rFonts w:eastAsia="Georgia" w:cs="Georgia" w:ascii="Georgia" w:hAnsi="Georgia"/>
        </w:rPr>
        <w:t xml:space="preserve">：行业监管机构、企业研发决策层</w:t>
      </w:r>
    </w:p>
    <w:p>
      <w:pPr>
        <w:spacing w:after="210" w:lineRule="auto"/>
      </w:pPr>
      <w:r>
        <w:rPr>
          <w:b/>
        </w:rPr>
        <w:t xml:space="preserve">编制单位</w:t>
      </w:r>
      <w:r>
        <w:rPr>
          <w:rFonts w:eastAsia="Georgia" w:cs="Georgia" w:ascii="Georgia" w:hAnsi="Georgia"/>
        </w:rPr>
        <w:t xml:space="preserve">：战略研究部</w:t>
      </w:r>
    </w:p>
    <w:p>
      <w:pPr>
        <w:spacing w:after="210" w:lineRule="auto"/>
      </w:pPr>
      <w:r>
        <w:rPr>
          <w:b/>
        </w:rPr>
        <w:t xml:space="preserve">报告日期</w:t>
      </w:r>
      <w:r>
        <w:rPr>
          <w:rFonts w:eastAsia="Georgia" w:cs="Georgia" w:ascii="Georgia" w:hAnsi="Georgia"/>
        </w:rPr>
        <w:t xml:space="preserve">：2026年1月</w:t>
      </w:r>
    </w:p>
    <w:p>
      <w:pPr>
        <w:spacing w:after="210" w:lineRule="auto"/>
      </w:pPr>
      <w:r>
        <w:rPr>
          <w:b/>
        </w:rPr>
        <w:t xml:space="preserve">密级</w:t>
      </w:r>
      <w:r>
        <w:rPr>
          <w:rFonts w:eastAsia="Georgia" w:cs="Georgia" w:ascii="Georgia" w:hAnsi="Georgia"/>
        </w:rPr>
        <w:t xml:space="preserve">：内部工作文件</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一_执行摘要"/>
      <w:r>
        <w:rPr>
          <w:rFonts w:eastAsia="Georgia" w:cs="Georgia" w:ascii="Georgia" w:hAnsi="Georgia"/>
          <w:b/>
          <w:sz w:val="42"/>
        </w:rPr>
        <w:t xml:space="preserve">一、执行摘要</w:t>
      </w:r>
      <w:bookmarkEnd w:id="1"/>
    </w:p>
    <w:p>
      <w:pPr>
        <w:spacing w:after="210" w:lineRule="auto"/>
      </w:pPr>
      <w:r>
        <w:rPr>
          <w:rFonts w:eastAsia="Georgia" w:cs="Georgia" w:ascii="Georgia" w:hAnsi="Georgia"/>
        </w:rPr>
        <w:t xml:space="preserve">大型语言模型与基础模型（Large Language Models and Foundation Models，以下简称"大模型"）的出现，标志着药物系统性评估进入了一个新的发展阶段。传统药物开发中，系统性评估主要依赖于体外、体内实验和临床试验的串联过程，周期长、成本高、难以兼顾整体性与个体异质性。据美国FDA、欧洲药品管理局（EMA）与国际制药工程协会（ISPE）2024-2025年联合发布的多项指导意见显示[1]，基于大模型的集成分析方法，能够在虚拟空间内模拟药物在人体系统中的多维度影响，从而显著缩短评估周期、提升预测准确度，并为个体化治疗方案设计奠定数据基础。</w:t>
      </w:r>
    </w:p>
    <w:p>
      <w:pPr>
        <w:spacing w:after="210" w:lineRule="auto"/>
      </w:pPr>
      <w:r>
        <w:rPr>
          <w:rFonts w:eastAsia="Georgia" w:cs="Georgia" w:ascii="Georgia" w:hAnsi="Georgia"/>
        </w:rPr>
        <w:t xml:space="preserve">本报告通过系统梳理当前大模型在药物系统性评估领域的技术实践、面临的核心瓶颈，以及战略发展方向，为相关决策部门与企业研发机构提供基于证据的前沿研判。</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二_药物系统性评估的传统瓶颈分析"/>
      <w:r>
        <w:rPr>
          <w:rFonts w:eastAsia="Georgia" w:cs="Georgia" w:ascii="Georgia" w:hAnsi="Georgia"/>
          <w:b/>
          <w:sz w:val="42"/>
        </w:rPr>
        <w:t xml:space="preserve">二、药物系统性评估的传统瓶颈分析</w:t>
      </w:r>
      <w:bookmarkEnd w:id="2"/>
    </w:p>
    <w:p>
      <w:pPr>
        <w:spacing w:line="271" w:before="240" w:lineRule="auto"/>
      </w:pPr>
      <w:bookmarkStart w:id="3" w:name="一_传统评估范式的局限性"/>
      <w:r>
        <w:rPr>
          <w:rFonts w:eastAsia="Georgia" w:cs="Georgia" w:ascii="Georgia" w:hAnsi="Georgia"/>
          <w:b/>
          <w:sz w:val="33"/>
        </w:rPr>
        <w:t xml:space="preserve">(一) 传统评估范式的局限性</w:t>
      </w:r>
      <w:bookmarkEnd w:id="3"/>
    </w:p>
    <w:p>
      <w:pPr>
        <w:spacing w:after="210" w:lineRule="auto"/>
      </w:pPr>
      <w:r>
        <w:rPr>
          <w:rFonts w:eastAsia="Georgia" w:cs="Georgia" w:ascii="Georgia" w:hAnsi="Georgia"/>
        </w:rPr>
        <w:t xml:space="preserve">传统药物系统性评估框架主要建立在"分步法"基础之上，即按照递进式的生物复杂度逐层开展评估：</w:t>
      </w:r>
    </w:p>
    <w:p>
      <w:pPr>
        <w:numPr>
          <w:ilvl w:val="0"/>
          <w:numId w:val="1"/>
        </w:numPr>
        <w:spacing w:after="210" w:lineRule="auto"/>
      </w:pPr>
      <w:r>
        <w:rPr>
          <w:b/>
        </w:rPr>
        <w:t xml:space="preserve">离散化评估模式</w:t>
      </w:r>
    </w:p>
    <w:p>
      <w:pPr>
        <w:numPr>
          <w:ilvl w:val="1"/>
          <w:numId w:val="1"/>
        </w:numPr>
        <w:spacing w:lineRule="auto"/>
      </w:pPr>
      <w:r>
        <w:rPr>
          <w:rFonts w:eastAsia="Georgia" w:cs="Georgia" w:ascii="Georgia" w:hAnsi="Georgia"/>
        </w:rPr>
        <w:t xml:space="preserve">分子层（药物化学结构与靶点相互作用）、细胞层（体外药理药效）、组织器官层（体内药代动力学、ADMET）、个体层（临床试验）与群体层（上市后安全性监测）的评估往往相对独立，难以形成闭环反馈机制。据Nature Reviews Drug Discovery期刊2024年发表的一项综述指出[2]，传统模式下，单一生物学模型的误差难以被上游补正，导致累积偏差达30%-50%。</w:t>
      </w:r>
    </w:p>
    <w:p>
      <w:pPr>
        <w:numPr>
          <w:ilvl w:val="1"/>
          <w:numId w:val="1"/>
        </w:numPr>
        <w:spacing w:lineRule="auto"/>
      </w:pPr>
      <w:r>
        <w:rPr>
          <w:rFonts w:eastAsia="Georgia" w:cs="Georgia" w:ascii="Georgia" w:hAnsi="Georgia"/>
        </w:rPr>
        <w:t xml:space="preserve">该模式忽视了不同生物学层次间的</w:t>
      </w:r>
      <w:r>
        <w:rPr>
          <w:b/>
        </w:rPr>
        <w:t xml:space="preserve">因果图关系</w:t>
      </w:r>
      <w:r>
        <w:rPr>
          <w:rFonts w:eastAsia="Georgia" w:cs="Georgia" w:ascii="Georgia" w:hAnsi="Georgia"/>
        </w:rPr>
        <w:t xml:space="preserve">（即药物干预在分子层的变化如何逐级传导至临床表现型），限制了对药物作用全景的理解。</w:t>
      </w:r>
    </w:p>
    <w:p>
      <w:pPr>
        <w:numPr>
          <w:ilvl w:val="0"/>
          <w:numId w:val="1"/>
        </w:numPr>
        <w:spacing w:after="210" w:lineRule="auto"/>
      </w:pPr>
      <w:r>
        <w:rPr>
          <w:b/>
        </w:rPr>
        <w:t xml:space="preserve">异质性消解困难</w:t>
      </w:r>
    </w:p>
    <w:p>
      <w:pPr>
        <w:numPr>
          <w:ilvl w:val="1"/>
          <w:numId w:val="1"/>
        </w:numPr>
        <w:spacing w:lineRule="auto"/>
      </w:pPr>
      <w:r>
        <w:rPr>
          <w:rFonts w:eastAsia="Georgia" w:cs="Georgia" w:ascii="Georgia" w:hAnsi="Georgia"/>
        </w:rPr>
        <w:t xml:space="preserve">人群遗传背景、疾病表型、代谢酶多态性（如细胞色素P450家族基因的变异）与环境因素的复杂交互，决定了患者个体对同一药物的响应差异（即所谓的</w:t>
      </w:r>
      <w:r>
        <w:rPr>
          <w:b/>
        </w:rPr>
        <w:t xml:space="preserve">药物表型</w:t>
      </w:r>
      <w:r>
        <w:rPr>
          <w:rFonts w:eastAsia="Georgia" w:cs="Georgia" w:ascii="Georgia" w:hAnsi="Georgia"/>
        </w:rPr>
        <w:t xml:space="preserve">异质性）。</w:t>
      </w:r>
    </w:p>
    <w:p>
      <w:pPr>
        <w:numPr>
          <w:ilvl w:val="1"/>
          <w:numId w:val="1"/>
        </w:numPr>
        <w:spacing w:lineRule="auto"/>
      </w:pPr>
      <w:r>
        <w:rPr>
          <w:rFonts w:eastAsia="Georgia" w:cs="Georgia" w:ascii="Georgia" w:hAnsi="Georgia"/>
        </w:rPr>
        <w:t xml:space="preserve">传统临床试验设计中，通常采用平均效应模型，忽视少数民族、女性患者等亚群的响应特异性，导致上市后不良事件的发生率与预期存在显著偏差[3]。</w:t>
      </w:r>
    </w:p>
    <w:p>
      <w:pPr>
        <w:numPr>
          <w:ilvl w:val="1"/>
          <w:numId w:val="1"/>
        </w:numPr>
        <w:spacing w:lineRule="auto"/>
      </w:pPr>
      <w:r>
        <w:rPr>
          <w:rFonts w:eastAsia="Georgia" w:cs="Georgia" w:ascii="Georgia" w:hAnsi="Georgia"/>
        </w:rPr>
        <w:t xml:space="preserve">根据国际药物基因组学研究协会（CPIC）2023年发布的临床指南，约60%的常用药物存在已知的药物基因组关联位点，但其中仅约15%的患者在临床实践中获得了基于基因型的给药调整建议。</w:t>
      </w:r>
    </w:p>
    <w:p>
      <w:pPr>
        <w:numPr>
          <w:ilvl w:val="0"/>
          <w:numId w:val="1"/>
        </w:numPr>
        <w:spacing w:after="210" w:lineRule="auto"/>
      </w:pPr>
      <w:r>
        <w:rPr>
          <w:b/>
        </w:rPr>
        <w:t xml:space="preserve">数据利用效率低下</w:t>
      </w:r>
    </w:p>
    <w:p>
      <w:pPr>
        <w:numPr>
          <w:ilvl w:val="1"/>
          <w:numId w:val="1"/>
        </w:numPr>
        <w:spacing w:lineRule="auto"/>
      </w:pPr>
      <w:r>
        <w:rPr>
          <w:rFonts w:eastAsia="Georgia" w:cs="Georgia" w:ascii="Georgia" w:hAnsi="Georgia"/>
        </w:rPr>
        <w:t xml:space="preserve">多组学数据（多组学整合指对基因组学、转录组学、蛋白质组学、代谢组学、表型组学等多维度生物信息的系统整合与交叉分析[4]）的爆炸性增长，与其在新药评估中的应用程度不对称。</w:t>
      </w:r>
    </w:p>
    <w:p>
      <w:pPr>
        <w:numPr>
          <w:ilvl w:val="1"/>
          <w:numId w:val="1"/>
        </w:numPr>
        <w:spacing w:lineRule="auto"/>
      </w:pPr>
      <w:r>
        <w:rPr>
          <w:rFonts w:eastAsia="Georgia" w:cs="Georgia" w:ascii="Georgia" w:hAnsi="Georgia"/>
        </w:rPr>
        <w:t xml:space="preserve">单一数据源的预测能力受限；多数据源间的整合往往基于启发式方法（heuristic approaches），缺乏系统性的知识编码与推理机制。</w:t>
      </w:r>
    </w:p>
    <w:p>
      <w:pPr>
        <w:numPr>
          <w:ilvl w:val="1"/>
          <w:numId w:val="1"/>
        </w:numPr>
        <w:spacing w:lineRule="auto"/>
      </w:pPr>
      <w:r>
        <w:rPr>
          <w:rFonts w:eastAsia="Georgia" w:cs="Georgia" w:ascii="Georgia" w:hAnsi="Georgia"/>
        </w:rPr>
        <w:t xml:space="preserve">每一个新的临床试验都重新开始，先前积累的数据与知识难以有效转化为可复用的计算资产。</w:t>
      </w:r>
    </w:p>
    <w:p>
      <w:pPr>
        <w:spacing w:line="271" w:before="240" w:lineRule="auto"/>
      </w:pPr>
      <w:bookmarkStart w:id="4" w:name="二_当前评估的高成本与高失败率"/>
      <w:r>
        <w:rPr>
          <w:rFonts w:eastAsia="Georgia" w:cs="Georgia" w:ascii="Georgia" w:hAnsi="Georgia"/>
          <w:b/>
          <w:sz w:val="33"/>
        </w:rPr>
        <w:t xml:space="preserve">(二) 当前评估的高成本与高失败率</w:t>
      </w:r>
      <w:bookmarkEnd w:id="4"/>
    </w:p>
    <w:p>
      <w:pPr>
        <w:numPr>
          <w:ilvl w:val="0"/>
          <w:numId w:val="2"/>
        </w:numPr>
        <w:spacing w:lineRule="auto"/>
      </w:pPr>
      <w:r>
        <w:rPr>
          <w:b/>
        </w:rPr>
        <w:t xml:space="preserve">经济成本</w:t>
      </w:r>
      <w:r>
        <w:rPr>
          <w:rFonts w:eastAsia="Georgia" w:cs="Georgia" w:ascii="Georgia" w:hAnsi="Georgia"/>
        </w:rPr>
        <w:t xml:space="preserve">：新药从发现到上市的平均周期为10-15年，总成本达20-30亿美元。其中，临床试验阶段的失败率高达90%以上，导致前期投入的浪费[5]。</w:t>
      </w:r>
    </w:p>
    <w:p>
      <w:pPr>
        <w:numPr>
          <w:ilvl w:val="0"/>
          <w:numId w:val="2"/>
        </w:numPr>
        <w:spacing w:lineRule="auto"/>
      </w:pPr>
      <w:r>
        <w:rPr>
          <w:b/>
        </w:rPr>
        <w:t xml:space="preserve">安全性风险</w:t>
      </w:r>
      <w:r>
        <w:rPr>
          <w:rFonts w:eastAsia="Georgia" w:cs="Georgia" w:ascii="Georgia" w:hAnsi="Georgia"/>
        </w:rPr>
        <w:t xml:space="preserve">：约10%-20%的已上市药物因安全性问题遭遇召回或标签修改。事前评估不充分是重要原因之一。</w:t>
      </w:r>
    </w:p>
    <w:p>
      <w:pPr>
        <w:numPr>
          <w:ilvl w:val="0"/>
          <w:numId w:val="2"/>
        </w:numPr>
        <w:spacing w:lineRule="auto"/>
      </w:pPr>
      <w:r>
        <w:rPr>
          <w:b/>
        </w:rPr>
        <w:t xml:space="preserve">个体化响应预测困难</w:t>
      </w:r>
      <w:r>
        <w:rPr>
          <w:rFonts w:eastAsia="Georgia" w:cs="Georgia" w:ascii="Georgia" w:hAnsi="Georgia"/>
        </w:rPr>
        <w:t xml:space="preserve">：缺乏科学化的工具，难以在临床前阶段准确预测特定患者亚群对目标药物的反应概率与不良反应风险。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三_大模型的技术定义与引入逻辑"/>
      <w:r>
        <w:rPr>
          <w:rFonts w:eastAsia="Georgia" w:cs="Georgia" w:ascii="Georgia" w:hAnsi="Georgia"/>
          <w:b/>
          <w:sz w:val="42"/>
        </w:rPr>
        <w:t xml:space="preserve">三、大模型的技术定义与引入逻辑</w:t>
      </w:r>
      <w:bookmarkEnd w:id="5"/>
    </w:p>
    <w:p>
      <w:pPr>
        <w:spacing w:line="271" w:before="240" w:lineRule="auto"/>
      </w:pPr>
      <w:bookmarkStart w:id="6" w:name="一_大模型的范畴界定"/>
      <w:r>
        <w:rPr>
          <w:rFonts w:eastAsia="Georgia" w:cs="Georgia" w:ascii="Georgia" w:hAnsi="Georgia"/>
          <w:b/>
          <w:sz w:val="33"/>
        </w:rPr>
        <w:t xml:space="preserve">(一) 大模型的范畴界定</w:t>
      </w:r>
      <w:bookmarkEnd w:id="6"/>
    </w:p>
    <w:p>
      <w:pPr>
        <w:numPr>
          <w:ilvl w:val="0"/>
          <w:numId w:val="3"/>
        </w:numPr>
        <w:spacing w:after="210" w:lineRule="auto"/>
      </w:pPr>
      <w:r>
        <w:rPr>
          <w:b/>
        </w:rPr>
        <w:t xml:space="preserve">基础定义</w:t>
      </w:r>
    </w:p>
    <w:p>
      <w:pPr>
        <w:numPr>
          <w:ilvl w:val="1"/>
          <w:numId w:val="3"/>
        </w:numPr>
        <w:spacing w:lineRule="auto"/>
      </w:pPr>
      <w:r>
        <w:rPr>
          <w:rFonts w:eastAsia="Georgia" w:cs="Georgia" w:ascii="Georgia" w:hAnsi="Georgia"/>
        </w:rPr>
        <w:t xml:space="preserve">大型语言模型（Large Language Models，LLMs）与基础模型（Foundation Models，FMs）是指具有超过1亿参数、通过无监督或自监督预训练在超大规模文本、序列或多模态数据集上学习的神经网络模型[6]。其核心技术基础是Transformer架构与自注意力机制（self-attention mechanism）。</w:t>
      </w:r>
    </w:p>
    <w:p>
      <w:pPr>
        <w:numPr>
          <w:ilvl w:val="1"/>
          <w:numId w:val="3"/>
        </w:numPr>
        <w:spacing w:lineRule="auto"/>
      </w:pPr>
      <w:r>
        <w:rPr>
          <w:rFonts w:eastAsia="Georgia" w:cs="Georgia" w:ascii="Georgia" w:hAnsi="Georgia"/>
        </w:rPr>
        <w:t xml:space="preserve">在药物研发领域应用的大模型包括：（a）通用型大模型（如GPT-4、Claude、DeepSeek），（b）生物医学领域特化模型（BioBERT、SciBERT、PubMedBERT），（c）生物分子特化模型（ESMFold蛋白结构预测、Enformer基因表达预测、Galatica科学发现模型）。</w:t>
      </w:r>
    </w:p>
    <w:p>
      <w:pPr>
        <w:numPr>
          <w:ilvl w:val="0"/>
          <w:numId w:val="3"/>
        </w:numPr>
        <w:spacing w:after="210" w:lineRule="auto"/>
      </w:pPr>
      <w:r>
        <w:rPr>
          <w:b/>
        </w:rPr>
        <w:t xml:space="preserve">与传统机器学习的对比</w:t>
      </w:r>
    </w:p>
    <w:p>
      <w:pPr>
        <w:numPr>
          <w:ilvl w:val="1"/>
          <w:numId w:val="3"/>
        </w:numPr>
        <w:spacing w:lineRule="auto"/>
      </w:pPr>
      <w:r>
        <w:rPr>
          <w:rFonts w:eastAsia="Georgia" w:cs="Georgia" w:ascii="Georgia" w:hAnsi="Georgia"/>
        </w:rPr>
        <w:t xml:space="preserve">传统机器学习（如随机森林、支持向量机）依赖于人工特征工程，泛化能力受限；大模型通过端到端的表示学习，自动挖掘数据中的层次化特征。</w:t>
      </w:r>
    </w:p>
    <w:p>
      <w:pPr>
        <w:numPr>
          <w:ilvl w:val="1"/>
          <w:numId w:val="3"/>
        </w:numPr>
        <w:spacing w:lineRule="auto"/>
      </w:pPr>
      <w:r>
        <w:rPr>
          <w:rFonts w:eastAsia="Georgia" w:cs="Georgia" w:ascii="Georgia" w:hAnsi="Georgia"/>
        </w:rPr>
        <w:t xml:space="preserve">传统方法难以处理非结构化数据（文献、临床笔记）；大模型通过自然语言处理（NLP，natural language processing）能力，将生物医学文献、专利、临床报告等知识编码为可计算的向量表示。</w:t>
      </w:r>
    </w:p>
    <w:p>
      <w:pPr>
        <w:spacing w:line="271" w:before="240" w:lineRule="auto"/>
      </w:pPr>
      <w:bookmarkStart w:id="7" w:name="二_大模型赋能系统性评估的核心逻辑"/>
      <w:r>
        <w:rPr>
          <w:rFonts w:eastAsia="Georgia" w:cs="Georgia" w:ascii="Georgia" w:hAnsi="Georgia"/>
          <w:b/>
          <w:sz w:val="33"/>
        </w:rPr>
        <w:t xml:space="preserve">(二) 大模型赋能系统性评估的核心逻辑</w:t>
      </w:r>
      <w:bookmarkEnd w:id="7"/>
    </w:p>
    <w:p>
      <w:pPr>
        <w:numPr>
          <w:ilvl w:val="0"/>
          <w:numId w:val="4"/>
        </w:numPr>
        <w:spacing w:after="210" w:lineRule="auto"/>
      </w:pPr>
      <w:r>
        <w:rPr>
          <w:b/>
        </w:rPr>
        <w:t xml:space="preserve">知识整合的高效性</w:t>
      </w:r>
    </w:p>
    <w:p>
      <w:pPr>
        <w:numPr>
          <w:ilvl w:val="1"/>
          <w:numId w:val="4"/>
        </w:numPr>
        <w:spacing w:lineRule="auto"/>
      </w:pPr>
      <w:r>
        <w:rPr>
          <w:rFonts w:eastAsia="Georgia" w:cs="Georgia" w:ascii="Georgia" w:hAnsi="Georgia"/>
        </w:rPr>
        <w:t xml:space="preserve">大模型可在数秒内解析与整合跨越数十万篇科研文献、临床报告与专利数据库中的知识，识别疾病-生物标志物-药物靶点的因果链条（即</w:t>
      </w:r>
      <w:r>
        <w:rPr>
          <w:b/>
        </w:rPr>
        <w:t xml:space="preserve">因果图模型</w:t>
      </w:r>
      <w:r>
        <w:rPr>
          <w:rFonts w:eastAsia="Georgia" w:cs="Georgia" w:ascii="Georgia" w:hAnsi="Georgia"/>
        </w:rPr>
        <w:t xml:space="preserve">）[7]。</w:t>
      </w:r>
    </w:p>
    <w:p>
      <w:pPr>
        <w:numPr>
          <w:ilvl w:val="1"/>
          <w:numId w:val="4"/>
        </w:numPr>
        <w:spacing w:lineRule="auto"/>
      </w:pPr>
      <w:r>
        <w:rPr>
          <w:rFonts w:eastAsia="Georgia" w:cs="Georgia" w:ascii="Georgia" w:hAnsi="Georgia"/>
        </w:rPr>
        <w:t xml:space="preserve">根据Frontiers in Pharmacology 2025年发表的综述[8]，基于大模型的文献挖掘方法相比传统人工审阅，效率提升10倍以上，且覆盖度提高30%。</w:t>
      </w:r>
    </w:p>
    <w:p>
      <w:pPr>
        <w:numPr>
          <w:ilvl w:val="0"/>
          <w:numId w:val="4"/>
        </w:numPr>
        <w:spacing w:after="210" w:lineRule="auto"/>
      </w:pPr>
      <w:r>
        <w:rPr>
          <w:b/>
        </w:rPr>
        <w:t xml:space="preserve">多组学数据的无缝融合</w:t>
      </w:r>
    </w:p>
    <w:p>
      <w:pPr>
        <w:numPr>
          <w:ilvl w:val="1"/>
          <w:numId w:val="4"/>
        </w:numPr>
        <w:spacing w:lineRule="auto"/>
      </w:pPr>
      <w:r>
        <w:rPr>
          <w:rFonts w:eastAsia="Georgia" w:cs="Georgia" w:ascii="Georgia" w:hAnsi="Georgia"/>
        </w:rPr>
        <w:t xml:space="preserve">专化的生物分子语言模型（如基因组特化模型、单细胞多组学模型）能够自动识别不同"组学"层次数据间的对应关系，实现</w:t>
      </w:r>
      <w:r>
        <w:rPr>
          <w:b/>
        </w:rPr>
        <w:t xml:space="preserve">多组学整合</w:t>
      </w:r>
      <w:r>
        <w:rPr>
          <w:rFonts w:eastAsia="Georgia" w:cs="Georgia" w:ascii="Georgia" w:hAnsi="Georgia"/>
        </w:rPr>
        <w:t xml:space="preserve">——即将基因组学的遗传变异信息、转录组学的表达调控信息、蛋白质组学的功能信息与代谢组学的小分子线索自动关联，形成综合的生物学图谱。</w:t>
      </w:r>
    </w:p>
    <w:p>
      <w:pPr>
        <w:numPr>
          <w:ilvl w:val="1"/>
          <w:numId w:val="4"/>
        </w:numPr>
        <w:spacing w:lineRule="auto"/>
      </w:pPr>
      <w:r>
        <w:rPr>
          <w:rFonts w:eastAsia="Georgia" w:cs="Georgia" w:ascii="Georgia" w:hAnsi="Georgia"/>
        </w:rPr>
        <w:t xml:space="preserve">这使得评估可从单一维度（如仅基于基因表达）升维至多维立体分析。</w:t>
      </w:r>
    </w:p>
    <w:p>
      <w:pPr>
        <w:numPr>
          <w:ilvl w:val="0"/>
          <w:numId w:val="4"/>
        </w:numPr>
        <w:spacing w:after="210" w:lineRule="auto"/>
      </w:pPr>
      <w:r>
        <w:rPr>
          <w:b/>
        </w:rPr>
        <w:t xml:space="preserve">药物影响的虚拟模拟</w:t>
      </w:r>
    </w:p>
    <w:p>
      <w:pPr>
        <w:numPr>
          <w:ilvl w:val="1"/>
          <w:numId w:val="4"/>
        </w:numPr>
        <w:spacing w:lineRule="auto"/>
      </w:pPr>
      <w:r>
        <w:rPr>
          <w:rFonts w:eastAsia="Georgia" w:cs="Georgia" w:ascii="Georgia" w:hAnsi="Georgia"/>
        </w:rPr>
        <w:t xml:space="preserve">大模型可学习药物化学结构（通过SMILES或其他分子编码方式）与其在复杂生物系统中的作用，构建</w:t>
      </w:r>
      <w:r>
        <w:rPr>
          <w:b/>
        </w:rPr>
        <w:t xml:space="preserve">数字孪生</w:t>
      </w:r>
      <w:r>
        <w:rPr>
          <w:rFonts w:eastAsia="Georgia" w:cs="Georgia" w:ascii="Georgia" w:hAnsi="Georgia"/>
        </w:rPr>
        <w:t xml:space="preserve">模型——即在计算机中建立与真实药物-人体互作过程相对应的虚拟映射，预测其在分子、细胞、组织、个体多层次的影响[9]。</w:t>
      </w:r>
    </w:p>
    <w:p>
      <w:pPr>
        <w:numPr>
          <w:ilvl w:val="1"/>
          <w:numId w:val="4"/>
        </w:numPr>
        <w:spacing w:lineRule="auto"/>
      </w:pPr>
      <w:r>
        <w:rPr>
          <w:rFonts w:eastAsia="Georgia" w:cs="Georgia" w:ascii="Georgia" w:hAnsi="Georgia"/>
        </w:rPr>
        <w:t xml:space="preserve">通过这种虚拟评估，可在实验着手前过滤掉大量低效或高毒性的候选物，从而加速临床前筛选。</w:t>
      </w:r>
    </w:p>
    <w:p>
      <w:pPr>
        <w:numPr>
          <w:ilvl w:val="0"/>
          <w:numId w:val="4"/>
        </w:numPr>
        <w:spacing w:after="210" w:lineRule="auto"/>
      </w:pPr>
      <w:r>
        <w:rPr>
          <w:b/>
        </w:rPr>
        <w:t xml:space="preserve">异质性的精准消解</w:t>
      </w:r>
    </w:p>
    <w:p>
      <w:pPr>
        <w:numPr>
          <w:ilvl w:val="1"/>
          <w:numId w:val="4"/>
        </w:numPr>
        <w:spacing w:lineRule="auto"/>
      </w:pPr>
      <w:r>
        <w:rPr>
          <w:rFonts w:eastAsia="Georgia" w:cs="Georgia" w:ascii="Georgia" w:hAnsi="Georgia"/>
        </w:rPr>
        <w:t xml:space="preserve">通过大模型对患者的多维特征（遗传、代谢、微生物、环境、临床历史等）进行整合分析，能够识别潜在的响应亚群，实现</w:t>
      </w:r>
      <w:r>
        <w:rPr>
          <w:b/>
        </w:rPr>
        <w:t xml:space="preserve">循证AI</w:t>
      </w:r>
      <w:r>
        <w:rPr>
          <w:rFonts w:eastAsia="Georgia" w:cs="Georgia" w:ascii="Georgia" w:hAnsi="Georgia"/>
        </w:rPr>
        <w:t xml:space="preserve">（AI informed by evidence, evidence-based AI）驱动的个体化分层预测。</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四_大模型在药物系统性评估中的当前实践"/>
      <w:r>
        <w:rPr>
          <w:rFonts w:eastAsia="Georgia" w:cs="Georgia" w:ascii="Georgia" w:hAnsi="Georgia"/>
          <w:b/>
          <w:sz w:val="42"/>
        </w:rPr>
        <w:t xml:space="preserve">四、大模型在药物系统性评估中的当前实践</w:t>
      </w:r>
      <w:bookmarkEnd w:id="8"/>
    </w:p>
    <w:p>
      <w:pPr>
        <w:spacing w:line="271" w:before="240" w:lineRule="auto"/>
      </w:pPr>
      <w:bookmarkStart w:id="9" w:name="一_药物靶点识别与创新突破"/>
      <w:r>
        <w:rPr>
          <w:rFonts w:eastAsia="Georgia" w:cs="Georgia" w:ascii="Georgia" w:hAnsi="Georgia"/>
          <w:b/>
          <w:sz w:val="33"/>
        </w:rPr>
        <w:t xml:space="preserve">(一) 药物靶点识别与创新突破</w:t>
      </w:r>
      <w:bookmarkEnd w:id="9"/>
    </w:p>
    <w:p>
      <w:pPr>
        <w:numPr>
          <w:ilvl w:val="0"/>
          <w:numId w:val="5"/>
        </w:numPr>
        <w:spacing w:after="210" w:lineRule="auto"/>
      </w:pPr>
      <w:r>
        <w:rPr>
          <w:b/>
        </w:rPr>
        <w:t xml:space="preserve">从文献中智能挖掘靶点</w:t>
      </w:r>
    </w:p>
    <w:p>
      <w:pPr>
        <w:numPr>
          <w:ilvl w:val="1"/>
          <w:numId w:val="5"/>
        </w:numPr>
        <w:spacing w:lineRule="auto"/>
      </w:pPr>
      <w:r>
        <w:rPr>
          <w:rFonts w:eastAsia="Georgia" w:cs="Georgia" w:ascii="Georgia" w:hAnsi="Georgia"/>
        </w:rPr>
        <w:t xml:space="preserve">利用通用大模型（如GPT-4、Claude）与生物医学特化模型（BioBERT），系统提取已发表文献、专利与临床试验数据中隐含的疾病-基因-蛋白质相互作用信息。</w:t>
      </w:r>
    </w:p>
    <w:p>
      <w:pPr>
        <w:numPr>
          <w:ilvl w:val="1"/>
          <w:numId w:val="5"/>
        </w:numPr>
        <w:spacing w:lineRule="auto"/>
      </w:pPr>
      <w:r>
        <w:rPr>
          <w:rFonts w:eastAsia="Georgia" w:cs="Georgia" w:ascii="Georgia" w:hAnsi="Georgia"/>
        </w:rPr>
        <w:t xml:space="preserve">具体案例：BenevolentAI平台基于大模型辅助的靶点挖掘，在2020年新冠疫情中识别出巴瑞替尼（baricitinib）这一改进型靶点，相比传统方法加速了数个月的发现周期[10]。</w:t>
      </w:r>
    </w:p>
    <w:p>
      <w:pPr>
        <w:numPr>
          <w:ilvl w:val="0"/>
          <w:numId w:val="5"/>
        </w:numPr>
        <w:spacing w:after="210" w:lineRule="auto"/>
      </w:pPr>
      <w:r>
        <w:rPr>
          <w:b/>
        </w:rPr>
        <w:t xml:space="preserve">网络药理学与系统生物学的融合</w:t>
      </w:r>
    </w:p>
    <w:p>
      <w:pPr>
        <w:numPr>
          <w:ilvl w:val="1"/>
          <w:numId w:val="5"/>
        </w:numPr>
        <w:spacing w:lineRule="auto"/>
      </w:pPr>
      <w:r>
        <w:rPr>
          <w:rFonts w:eastAsia="Georgia" w:cs="Georgia" w:ascii="Georgia" w:hAnsi="Georgia"/>
        </w:rPr>
        <w:t xml:space="preserve">大模型能够自动构建疾病关联的生物网络（包含数千个基因、蛋白质与信号通路），并通过</w:t>
      </w:r>
      <w:r>
        <w:rPr>
          <w:b/>
        </w:rPr>
        <w:t xml:space="preserve">网络分析</w:t>
      </w:r>
      <w:r>
        <w:rPr>
          <w:rFonts w:eastAsia="Georgia" w:cs="Georgia" w:ascii="Georgia" w:hAnsi="Georgia"/>
        </w:rPr>
        <w:t xml:space="preserve">识别其中的关键枢纽节点（hub nodes），这些节点往往对应着更有效的药物靶点。</w:t>
      </w:r>
    </w:p>
    <w:p>
      <w:pPr>
        <w:numPr>
          <w:ilvl w:val="1"/>
          <w:numId w:val="5"/>
        </w:numPr>
        <w:spacing w:lineRule="auto"/>
      </w:pPr>
      <w:r>
        <w:rPr>
          <w:rFonts w:eastAsia="Georgia" w:cs="Georgia" w:ascii="Georgia" w:hAnsi="Georgia"/>
        </w:rPr>
        <w:t xml:space="preserve">这种方法相比单靶点策略，能提高新药成功率约15%-20%[11]。</w:t>
      </w:r>
    </w:p>
    <w:p>
      <w:pPr>
        <w:spacing w:line="271" w:before="240" w:lineRule="auto"/>
      </w:pPr>
      <w:bookmarkStart w:id="10" w:name="二_admet预测与安全性前置评估"/>
      <w:r>
        <w:rPr>
          <w:rFonts w:eastAsia="Georgia" w:cs="Georgia" w:ascii="Georgia" w:hAnsi="Georgia"/>
          <w:b/>
          <w:sz w:val="33"/>
        </w:rPr>
        <w:t xml:space="preserve">(二) ADMET预测与安全性前置评估</w:t>
      </w:r>
      <w:bookmarkEnd w:id="10"/>
    </w:p>
    <w:p>
      <w:pPr>
        <w:numPr>
          <w:ilvl w:val="0"/>
          <w:numId w:val="6"/>
        </w:numPr>
        <w:spacing w:after="210" w:lineRule="auto"/>
      </w:pPr>
      <w:r>
        <w:rPr>
          <w:b/>
        </w:rPr>
        <w:t xml:space="preserve">定义与核心价值</w:t>
      </w:r>
    </w:p>
    <w:p>
      <w:pPr>
        <w:numPr>
          <w:ilvl w:val="1"/>
          <w:numId w:val="6"/>
        </w:numPr>
        <w:spacing w:lineRule="auto"/>
      </w:pPr>
      <w:r>
        <w:rPr>
          <w:rFonts w:eastAsia="Georgia" w:cs="Georgia" w:ascii="Georgia" w:hAnsi="Georgia"/>
        </w:rPr>
        <w:t xml:space="preserve">ADMET（Absorption, Distribution, Metabolism, Excretion, Toxicity）预测是指利用大模型或深度学习方法，基于药物分子结构与已知数据，预测其在体内的吸收、分布、代谢、排泄与毒性特征[12]。</w:t>
      </w:r>
    </w:p>
    <w:p>
      <w:pPr>
        <w:numPr>
          <w:ilvl w:val="1"/>
          <w:numId w:val="6"/>
        </w:numPr>
        <w:spacing w:lineRule="auto"/>
      </w:pPr>
      <w:r>
        <w:rPr>
          <w:rFonts w:eastAsia="Georgia" w:cs="Georgia" w:ascii="Georgia" w:hAnsi="Georgia"/>
        </w:rPr>
        <w:t xml:space="preserve">传统方法需要进行大量的体外与体内实验，周期长、成本高；大模型驱动的预测可在虚拟阶段完成首轮筛选。</w:t>
      </w:r>
    </w:p>
    <w:p>
      <w:pPr>
        <w:numPr>
          <w:ilvl w:val="0"/>
          <w:numId w:val="6"/>
        </w:numPr>
        <w:spacing w:after="210" w:lineRule="auto"/>
      </w:pPr>
      <w:r>
        <w:rPr>
          <w:b/>
        </w:rPr>
        <w:t xml:space="preserve">实践成效</w:t>
      </w:r>
    </w:p>
    <w:p>
      <w:pPr>
        <w:numPr>
          <w:ilvl w:val="1"/>
          <w:numId w:val="6"/>
        </w:numPr>
        <w:spacing w:lineRule="auto"/>
      </w:pPr>
      <w:r>
        <w:rPr>
          <w:rFonts w:eastAsia="Georgia" w:cs="Georgia" w:ascii="Georgia" w:hAnsi="Georgia"/>
        </w:rPr>
        <w:t xml:space="preserve">据FDA在2024年发布的AI应用指南中记录的案例[13]，某大制药企业使用大模型预测的ADMET参数与真实临床数据的一致性达85%-92%（高于传统方法的70-75%）。</w:t>
      </w:r>
    </w:p>
    <w:p>
      <w:pPr>
        <w:numPr>
          <w:ilvl w:val="1"/>
          <w:numId w:val="6"/>
        </w:numPr>
        <w:spacing w:lineRule="auto"/>
      </w:pPr>
      <w:r>
        <w:rPr>
          <w:rFonts w:eastAsia="Georgia" w:cs="Georgia" w:ascii="Georgia" w:hAnsi="Georgia"/>
        </w:rPr>
        <w:t xml:space="preserve">通过该方法，该企业将从数千个候选化合物到"上市前候选物"的筛选周期从18个月缩短至6个月。</w:t>
      </w:r>
    </w:p>
    <w:p>
      <w:pPr>
        <w:spacing w:line="271" w:before="240" w:lineRule="auto"/>
      </w:pPr>
      <w:bookmarkStart w:id="11" w:name="三_个体化药物反应预测"/>
      <w:r>
        <w:rPr>
          <w:rFonts w:eastAsia="Georgia" w:cs="Georgia" w:ascii="Georgia" w:hAnsi="Georgia"/>
          <w:b/>
          <w:sz w:val="33"/>
        </w:rPr>
        <w:t xml:space="preserve">(三) 个体化药物反应预测</w:t>
      </w:r>
      <w:bookmarkEnd w:id="11"/>
    </w:p>
    <w:p>
      <w:pPr>
        <w:numPr>
          <w:ilvl w:val="0"/>
          <w:numId w:val="7"/>
        </w:numPr>
        <w:spacing w:after="210" w:lineRule="auto"/>
      </w:pPr>
      <w:r>
        <w:rPr>
          <w:b/>
        </w:rPr>
        <w:t xml:space="preserve">多维特征整合的响应预测</w:t>
      </w:r>
    </w:p>
    <w:p>
      <w:pPr>
        <w:numPr>
          <w:ilvl w:val="1"/>
          <w:numId w:val="7"/>
        </w:numPr>
        <w:spacing w:lineRule="auto"/>
      </w:pPr>
      <w:r>
        <w:rPr>
          <w:rFonts w:eastAsia="Georgia" w:cs="Georgia" w:ascii="Georgia" w:hAnsi="Georgia"/>
        </w:rPr>
        <w:t xml:space="preserve">采用</w:t>
      </w:r>
      <w:r>
        <w:rPr>
          <w:b/>
        </w:rPr>
        <w:t xml:space="preserve">多模态融合架构</w:t>
      </w:r>
      <w:r>
        <w:rPr>
          <w:rFonts w:eastAsia="Georgia" w:cs="Georgia" w:ascii="Georgia" w:hAnsi="Georgia"/>
        </w:rPr>
        <w:t xml:space="preserve">（multimodal integration architecture），将患者的多组学数据（基因组、转录组、蛋白组、代谢组）、临床特征（年龄、性别、合并症）、生活方式因素与既往药物反应历史整合为统一的特征向量。</w:t>
      </w:r>
    </w:p>
    <w:p>
      <w:pPr>
        <w:numPr>
          <w:ilvl w:val="1"/>
          <w:numId w:val="7"/>
        </w:numPr>
        <w:spacing w:lineRule="auto"/>
      </w:pPr>
      <w:r>
        <w:rPr>
          <w:rFonts w:eastAsia="Georgia" w:cs="Georgia" w:ascii="Georgia" w:hAnsi="Georgia"/>
        </w:rPr>
        <w:t xml:space="preserve">大模型（特别是多任务学习框架）可同时学习多个预测任务，如"该患者对A药物的反应概率"、"不良反应风险等级"、"最优给药方案"，形成整体的个体化决策支持。</w:t>
      </w:r>
    </w:p>
    <w:p>
      <w:pPr>
        <w:numPr>
          <w:ilvl w:val="0"/>
          <w:numId w:val="7"/>
        </w:numPr>
        <w:spacing w:after="210" w:lineRule="auto"/>
      </w:pPr>
      <w:r>
        <w:rPr>
          <w:b/>
        </w:rPr>
        <w:t xml:space="preserve">技术示例</w:t>
      </w:r>
    </w:p>
    <w:p>
      <w:pPr>
        <w:numPr>
          <w:ilvl w:val="1"/>
          <w:numId w:val="7"/>
        </w:numPr>
        <w:spacing w:lineRule="auto"/>
      </w:pPr>
      <w:r>
        <w:rPr>
          <w:rFonts w:eastAsia="Georgia" w:cs="Georgia" w:ascii="Georgia" w:hAnsi="Georgia"/>
        </w:rPr>
        <w:t xml:space="preserve">在肿瘤学领域，PASO模型（发表于PLOS Computational Biology 2025年[14]）通过整合多组学的通路水平特征差异与药物分子结构（SMILES编码），实现了对癌症患者个体化药物响应的预测，其AUC-PR值达0.9555，显著超越传统模型。</w:t>
      </w:r>
    </w:p>
    <w:p>
      <w:pPr>
        <w:numPr>
          <w:ilvl w:val="1"/>
          <w:numId w:val="7"/>
        </w:numPr>
        <w:spacing w:lineRule="auto"/>
      </w:pPr>
      <w:r>
        <w:rPr>
          <w:rFonts w:eastAsia="Georgia" w:cs="Georgia" w:ascii="Georgia" w:hAnsi="Georgia"/>
        </w:rPr>
        <w:t xml:space="preserve">在代谢性疾病（如2型糖尿病）领域，集成学习框架已被用于预测特定患者对不同口服降糖药的响应，准确率达80%-85%[15]。</w:t>
      </w:r>
    </w:p>
    <w:p>
      <w:pPr>
        <w:numPr>
          <w:ilvl w:val="0"/>
          <w:numId w:val="7"/>
        </w:numPr>
        <w:spacing w:after="210" w:lineRule="auto"/>
      </w:pPr>
      <w:r>
        <w:rPr>
          <w:b/>
        </w:rPr>
        <w:t xml:space="preserve">临床应用前景</w:t>
      </w:r>
    </w:p>
    <w:p>
      <w:pPr>
        <w:numPr>
          <w:ilvl w:val="1"/>
          <w:numId w:val="7"/>
        </w:numPr>
        <w:spacing w:lineRule="auto"/>
      </w:pPr>
      <w:r>
        <w:rPr>
          <w:rFonts w:eastAsia="Georgia" w:cs="Georgia" w:ascii="Georgia" w:hAnsi="Georgia"/>
        </w:rPr>
        <w:t xml:space="preserve">这种预测能力可指导临床医生在诊断确立后的首次给药阶段就选择最可能有效的药物方案，避免"先试后改"导致的疾病恶化与患者痛苦。</w:t>
      </w:r>
    </w:p>
    <w:p>
      <w:pPr>
        <w:spacing w:line="271" w:before="240" w:lineRule="auto"/>
      </w:pPr>
      <w:bookmarkStart w:id="12" w:name="四_药物组合与协同效应预测"/>
      <w:r>
        <w:rPr>
          <w:rFonts w:eastAsia="Georgia" w:cs="Georgia" w:ascii="Georgia" w:hAnsi="Georgia"/>
          <w:b/>
          <w:sz w:val="33"/>
        </w:rPr>
        <w:t xml:space="preserve">(四) 药物组合与协同效应预测</w:t>
      </w:r>
      <w:bookmarkEnd w:id="12"/>
    </w:p>
    <w:p>
      <w:pPr>
        <w:numPr>
          <w:ilvl w:val="0"/>
          <w:numId w:val="8"/>
        </w:numPr>
        <w:spacing w:after="210" w:lineRule="auto"/>
      </w:pPr>
      <w:r>
        <w:rPr>
          <w:b/>
        </w:rPr>
        <w:t xml:space="preserve">大模型在联合用药中的角色</w:t>
      </w:r>
    </w:p>
    <w:p>
      <w:pPr>
        <w:numPr>
          <w:ilvl w:val="1"/>
          <w:numId w:val="8"/>
        </w:numPr>
        <w:spacing w:lineRule="auto"/>
      </w:pPr>
      <w:r>
        <w:rPr>
          <w:rFonts w:eastAsia="Georgia" w:cs="Georgia" w:ascii="Georgia" w:hAnsi="Georgia"/>
        </w:rPr>
        <w:t xml:space="preserve">传统药物组合研究往往基于两两配对的体外或体内实验，可扩展性差；大模型可通过学习已知的药物相互作用数据，预测新的、未曾实验过的组合效应，识别具有</w:t>
      </w:r>
      <w:r>
        <w:rPr>
          <w:b/>
        </w:rPr>
        <w:t xml:space="preserve">协同增强</w:t>
      </w:r>
      <w:r>
        <w:rPr>
          <w:rFonts w:eastAsia="Georgia" w:cs="Georgia" w:ascii="Georgia" w:hAnsi="Georgia"/>
        </w:rPr>
        <w:t xml:space="preserve">潜力的搭配。</w:t>
      </w:r>
    </w:p>
    <w:p>
      <w:pPr>
        <w:numPr>
          <w:ilvl w:val="1"/>
          <w:numId w:val="8"/>
        </w:numPr>
        <w:spacing w:lineRule="auto"/>
      </w:pPr>
      <w:r>
        <w:rPr>
          <w:rFonts w:eastAsia="Georgia" w:cs="Georgia" w:ascii="Georgia" w:hAnsi="Georgia"/>
        </w:rPr>
        <w:t xml:space="preserve">根据DrugCell等可解释性深度学习模型的研究[16]，该方法在预测协同组合方面的准确度较随机选择提升5-10倍。</w:t>
      </w:r>
    </w:p>
    <w:p>
      <w:pPr>
        <w:numPr>
          <w:ilvl w:val="0"/>
          <w:numId w:val="8"/>
        </w:numPr>
        <w:spacing w:after="210" w:lineRule="auto"/>
      </w:pPr>
      <w:r>
        <w:rPr>
          <w:b/>
        </w:rPr>
        <w:t xml:space="preserve">精准医学中的应用</w:t>
      </w:r>
    </w:p>
    <w:p>
      <w:pPr>
        <w:numPr>
          <w:ilvl w:val="1"/>
          <w:numId w:val="8"/>
        </w:numPr>
        <w:spacing w:lineRule="auto"/>
      </w:pPr>
      <w:r>
        <w:rPr>
          <w:rFonts w:eastAsia="Georgia" w:cs="Georgia" w:ascii="Georgia" w:hAnsi="Georgia"/>
        </w:rPr>
        <w:t xml:space="preserve">特别是在肿瘤多药联合治疗中，大模型辅助的协同预测可减少临床试验的药物组合尝试次数，加速找到最优方案。</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五_大模型驱动的系统性评估框架"/>
      <w:r>
        <w:rPr>
          <w:rFonts w:eastAsia="Georgia" w:cs="Georgia" w:ascii="Georgia" w:hAnsi="Georgia"/>
          <w:b/>
          <w:sz w:val="42"/>
        </w:rPr>
        <w:t xml:space="preserve">五、大模型驱动的系统性评估框架</w:t>
      </w:r>
      <w:bookmarkEnd w:id="13"/>
    </w:p>
    <w:p>
      <w:pPr>
        <w:spacing w:line="271" w:before="240" w:lineRule="auto"/>
      </w:pPr>
      <w:bookmarkStart w:id="14" w:name="一_集成信息流与数据架构"/>
      <w:r>
        <w:rPr>
          <w:rFonts w:eastAsia="Georgia" w:cs="Georgia" w:ascii="Georgia" w:hAnsi="Georgia"/>
          <w:b/>
          <w:sz w:val="33"/>
        </w:rPr>
        <w:t xml:space="preserve">(一) 集成信息流与数据架构</w:t>
      </w:r>
      <w:bookmarkEnd w:id="14"/>
    </w:p>
    <w:p>
      <w:pPr>
        <w:spacing w:after="210" w:lineRule="auto"/>
      </w:pPr>
      <w:r>
        <w:rPr>
          <w:rFonts w:eastAsia="Georgia" w:cs="Georgia" w:ascii="Georgia" w:hAnsi="Georgia"/>
        </w:rPr>
        <w:t xml:space="preserve">大模型赋能的系统性评估不是简单地"用大模型处理数据"，而是构建一个多层次、多信息源的</w:t>
      </w:r>
      <w:r>
        <w:rPr>
          <w:b/>
        </w:rPr>
        <w:t xml:space="preserve">集成信息流</w:t>
      </w:r>
      <w:r>
        <w:rPr>
          <w:rFonts w:eastAsia="Georgia" w:cs="Georgia" w:ascii="Georgia" w:hAnsi="Georgia"/>
        </w:rPr>
        <w:t xml:space="preserve">（integrated information flow）[17]：</w:t>
      </w:r>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多源异构数据汇聚层 │</w:t>
      </w:r>
      <w:r>
        <w:rPr/>
        <w:br w:type="textWrapping"/>
      </w:r>
      <w:r>
        <w:rPr>
          <w:rFonts w:eastAsia="Georgia" w:cs="Georgia" w:ascii="Georgia" w:hAnsi="Georgia"/>
        </w:rPr>
        <w:t xml:space="preserve">│ ├─ 文献知识库（已发表论文、综述、会议摘要） │</w:t>
      </w:r>
      <w:r>
        <w:rPr/>
        <w:br w:type="textWrapping"/>
      </w:r>
      <w:r>
        <w:rPr>
          <w:rFonts w:eastAsia="Georgia" w:cs="Georgia" w:ascii="Georgia" w:hAnsi="Georgia"/>
        </w:rPr>
        <w:t xml:space="preserve">│ ├─ 分子数据（SMILES、蛋白结构PDB、基因序列） │</w:t>
      </w:r>
      <w:r>
        <w:rPr/>
        <w:br w:type="textWrapping"/>
      </w:r>
      <w:r>
        <w:rPr>
          <w:rFonts w:eastAsia="Georgia" w:cs="Georgia" w:ascii="Georgia" w:hAnsi="Georgia"/>
        </w:rPr>
        <w:t xml:space="preserve">│ ├─ 组学数据库（GEO、TCGA、GTEX等大规模组学数据） │</w:t>
      </w:r>
      <w:r>
        <w:rPr/>
        <w:br w:type="textWrapping"/>
      </w:r>
      <w:r>
        <w:rPr>
          <w:rFonts w:eastAsia="Georgia" w:cs="Georgia" w:ascii="Georgia" w:hAnsi="Georgia"/>
        </w:rPr>
        <w:t xml:space="preserve">│ ├─ 临床数据（电子病历、临床试验数据、真实世界证据RWE） │</w:t>
      </w:r>
      <w:r>
        <w:rPr/>
        <w:br w:type="textWrapping"/>
      </w:r>
      <w:r>
        <w:rPr>
          <w:rFonts w:eastAsia="Georgia" w:cs="Georgia" w:ascii="Georgia" w:hAnsi="Georgia"/>
        </w:rPr>
        <w:t xml:space="preserve">│ └─ 监管数据（FDA审批决策、不良事件报告FAERS）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大模型知识编码与理解层 │</w:t>
      </w:r>
      <w:r>
        <w:rPr/>
        <w:br w:type="textWrapping"/>
      </w:r>
      <w:r>
        <w:rPr>
          <w:rFonts w:eastAsia="Georgia" w:cs="Georgia" w:ascii="Georgia" w:hAnsi="Georgia"/>
        </w:rPr>
        <w:t xml:space="preserve">│ ├─ NLP处理（文献自动标注、关键信息抽取、因果推理） │</w:t>
      </w:r>
      <w:r>
        <w:rPr/>
        <w:br w:type="textWrapping"/>
      </w:r>
      <w:r>
        <w:rPr>
          <w:rFonts w:eastAsia="Georgia" w:cs="Georgia" w:ascii="Georgia" w:hAnsi="Georgia"/>
        </w:rPr>
        <w:t xml:space="preserve">│ ├─ 生物分子特化模型（基因表达预测、蛋白结构解析） │</w:t>
      </w:r>
      <w:r>
        <w:rPr/>
        <w:br w:type="textWrapping"/>
      </w:r>
      <w:r>
        <w:rPr>
          <w:rFonts w:eastAsia="Georgia" w:cs="Georgia" w:ascii="Georgia" w:hAnsi="Georgia"/>
        </w:rPr>
        <w:t xml:space="preserve">│ ├─ 图神经网络GNN（疾病-基因-靶点网络构建、通路分析） │</w:t>
      </w:r>
      <w:r>
        <w:rPr/>
        <w:br w:type="textWrapping"/>
      </w:r>
      <w:r>
        <w:rPr>
          <w:rFonts w:eastAsia="Georgia" w:cs="Georgia" w:ascii="Georgia" w:hAnsi="Georgia"/>
        </w:rPr>
        <w:t xml:space="preserve">│ └─ 多组学集成（跨层次关联、异质性识别）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药物-生物系统虚拟模拟层（数字孪生） │</w:t>
      </w:r>
      <w:r>
        <w:rPr/>
        <w:br w:type="textWrapping"/>
      </w:r>
      <w:r>
        <w:rPr>
          <w:rFonts w:eastAsia="Georgia" w:cs="Georgia" w:ascii="Georgia" w:hAnsi="Georgia"/>
        </w:rPr>
        <w:t xml:space="preserve">│ ├─ 分子层：药物-靶点相互作用预测 │</w:t>
      </w:r>
      <w:r>
        <w:rPr/>
        <w:br w:type="textWrapping"/>
      </w:r>
      <w:r>
        <w:rPr>
          <w:rFonts w:eastAsia="Georgia" w:cs="Georgia" w:ascii="Georgia" w:hAnsi="Georgia"/>
        </w:rPr>
        <w:t xml:space="preserve">│ ├─ 信号通路层：下游效应级联模拟 │</w:t>
      </w:r>
      <w:r>
        <w:rPr/>
        <w:br w:type="textWrapping"/>
      </w:r>
      <w:r>
        <w:rPr>
          <w:rFonts w:eastAsia="Georgia" w:cs="Georgia" w:ascii="Georgia" w:hAnsi="Georgia"/>
        </w:rPr>
        <w:t xml:space="preserve">│ ├─ 细胞层：个体患者细胞对药物的响应模式 │</w:t>
      </w:r>
      <w:r>
        <w:rPr/>
        <w:br w:type="textWrapping"/>
      </w:r>
      <w:r>
        <w:rPr>
          <w:rFonts w:eastAsia="Georgia" w:cs="Georgia" w:ascii="Georgia" w:hAnsi="Georgia"/>
        </w:rPr>
        <w:t xml:space="preserve">│ ├─ 组织器官层：ADMET与系统毒性虚拟评估 │</w:t>
      </w:r>
      <w:r>
        <w:rPr/>
        <w:br w:type="textWrapping"/>
      </w:r>
      <w:r>
        <w:rPr>
          <w:rFonts w:eastAsia="Georgia" w:cs="Georgia" w:ascii="Georgia" w:hAnsi="Georgia"/>
        </w:rPr>
        <w:t xml:space="preserve">│ └─ 个体层：个体化药效-不良事件权衡分析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个体化响应与决策支持层 │</w:t>
      </w:r>
      <w:r>
        <w:rPr/>
        <w:br w:type="textWrapping"/>
      </w:r>
      <w:r>
        <w:rPr>
          <w:rFonts w:eastAsia="Georgia" w:cs="Georgia" w:ascii="Georgia" w:hAnsi="Georgia"/>
        </w:rPr>
        <w:t xml:space="preserve">│ ├─ 患者分层（识别不同响应亚群） │</w:t>
      </w:r>
      <w:r>
        <w:rPr/>
        <w:br w:type="textWrapping"/>
      </w:r>
      <w:r>
        <w:rPr>
          <w:rFonts w:eastAsia="Georgia" w:cs="Georgia" w:ascii="Georgia" w:hAnsi="Georgia"/>
        </w:rPr>
        <w:t xml:space="preserve">│ ├─ 个体化预测（给药方案、风险告知） │</w:t>
      </w:r>
      <w:r>
        <w:rPr/>
        <w:br w:type="textWrapping"/>
      </w:r>
      <w:r>
        <w:rPr>
          <w:rFonts w:eastAsia="Georgia" w:cs="Georgia" w:ascii="Georgia" w:hAnsi="Georgia"/>
        </w:rPr>
        <w:t xml:space="preserve">│ └─ 适应性临床试验设计（基于模型的队列富集） │</w:t>
      </w:r>
      <w:r>
        <w:rPr/>
        <w:br w:type="textWrapping"/>
      </w:r>
      <w:r>
        <w:rPr>
          <w:rFonts w:eastAsia="Georgia" w:cs="Georgia" w:ascii="Georgia" w:hAnsi="Georgia"/>
        </w:rPr>
        <w:t xml:space="preserve">└──────────────────────────────────────────────────────────────┘</w:t>
      </w:r>
    </w:p>
    <w:p>
      <w:pPr>
        <w:spacing w:line="271" w:before="240" w:lineRule="auto"/>
      </w:pPr>
      <w:bookmarkStart w:id="15" w:name="二_多模态融合的技术架构示意"/>
      <w:r>
        <w:rPr>
          <w:rFonts w:eastAsia="Georgia" w:cs="Georgia" w:ascii="Georgia" w:hAnsi="Georgia"/>
          <w:b/>
          <w:sz w:val="33"/>
        </w:rPr>
        <w:t xml:space="preserve">(二) 多模态融合的技术架构示意</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right w:val="single" w:sz="1" w:space="0" w:color="000000"/>
            </w:tcBorders>
          </w:tcPr>
          <w:p>
            <w:pPr>
              <w:spacing w:lineRule="auto"/>
              <w:jc w:val="center"/>
            </w:pPr>
            <w:r>
              <w:rPr>
                <w:b/>
              </w:rPr>
              <w:t xml:space="preserve">信息模态</w:t>
            </w:r>
          </w:p>
        </w:tc>
        <w:tc>
          <w:tcPr>
            <w:tcBorders>
              <w:top w:val="single" w:sz="1" w:space="0" w:color="000000"/>
              <w:bottom w:val="single" w:sz="1" w:space="0" w:color="000000"/>
              <w:right w:val="single" w:sz="1" w:space="0" w:color="000000"/>
            </w:tcBorders>
          </w:tcPr>
          <w:p>
            <w:pPr>
              <w:spacing w:lineRule="auto"/>
              <w:jc w:val="center"/>
            </w:pPr>
            <w:r>
              <w:rPr>
                <w:b/>
              </w:rPr>
              <w:t xml:space="preserve">数据源</w:t>
            </w:r>
          </w:p>
        </w:tc>
        <w:tc>
          <w:tcPr>
            <w:tcBorders>
              <w:top w:val="single" w:sz="1" w:space="0" w:color="000000"/>
              <w:bottom w:val="single" w:sz="1" w:space="0" w:color="000000"/>
              <w:right w:val="single" w:sz="1" w:space="0" w:color="000000"/>
            </w:tcBorders>
          </w:tcPr>
          <w:p>
            <w:pPr>
              <w:spacing w:lineRule="auto"/>
              <w:jc w:val="center"/>
            </w:pPr>
            <w:r>
              <w:rPr>
                <w:b/>
              </w:rPr>
              <w:t xml:space="preserve">大模型处理方式</w:t>
            </w:r>
          </w:p>
        </w:tc>
        <w:tc>
          <w:tcPr>
            <w:tcBorders>
              <w:top w:val="single" w:sz="1" w:space="0" w:color="000000"/>
              <w:bottom w:val="single" w:sz="1" w:space="0" w:color="000000"/>
              <w:right w:val="single" w:sz="1" w:space="0" w:color="000000"/>
            </w:tcBorders>
          </w:tcPr>
          <w:p>
            <w:pPr>
              <w:spacing w:lineRule="auto"/>
              <w:jc w:val="center"/>
            </w:pPr>
            <w:r>
              <w:rPr>
                <w:b/>
              </w:rPr>
              <w:t xml:space="preserve">输出内容</w:t>
            </w:r>
          </w:p>
        </w:tc>
        <w:tc>
          <w:tcPr>
            <w:tcBorders>
              <w:top w:val="single" w:sz="1" w:space="0" w:color="000000"/>
              <w:bottom w:val="single" w:sz="1" w:space="0" w:color="000000"/>
            </w:tcBorders>
          </w:tcPr>
          <w:p>
            <w:pPr>
              <w:spacing w:lineRule="auto"/>
              <w:jc w:val="center"/>
            </w:pPr>
            <w:r>
              <w:rPr>
                <w:b/>
              </w:rPr>
              <w:t xml:space="preserve">集成方式</w:t>
            </w:r>
          </w:p>
        </w:tc>
      </w:tr>
      <w:tr>
        <w:trPr>
          <w:cantSplit/>
        </w:trPr>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文本</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文献、专利、临床笔记</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预训练NLP模型抽取知识三元组、因果关系</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知识图谱、靶点清单、反应模式描述</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图嵌入融合</w:t>
            </w:r>
          </w:p>
        </w:tc>
      </w:tr>
      <w:tr>
        <w:trPr>
          <w:cantSplit/>
        </w:trPr>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序列</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DNA/RNA/蛋白序列</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生物分子特化模型（ESM、Enformer）</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序列功能注解、表达预测、相互作用位点</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特征级融合</w:t>
            </w:r>
          </w:p>
        </w:tc>
      </w:tr>
      <w:tr>
        <w:trPr>
          <w:cantSplit/>
        </w:trPr>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图</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疾病/蛋白网络、通路</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图神经网络GNN、注意力机制</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关键节点评分、子网络富集、通路活性</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决策级融合</w:t>
            </w:r>
          </w:p>
        </w:tc>
      </w:tr>
      <w:tr>
        <w:trPr>
          <w:cantSplit/>
        </w:trPr>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多组学表格</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组学数据库</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多任务学习、迁移学习</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响应预测概率、关键特征权重、亚群标签</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张量融合</w:t>
            </w:r>
          </w:p>
        </w:tc>
      </w:tr>
      <w:tr>
        <w:trPr>
          <w:cantSplit/>
        </w:trPr>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影像/表型</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医学影像、临床表型</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多模态Transformer</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影像病灶评分、表型聚类、预后预测</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跨模态对齐</w:t>
            </w:r>
          </w:p>
        </w:tc>
      </w:tr>
    </w:tbl>
    <w:p>
      <w:pPr>
        <w:spacing w:lineRule="auto"/>
      </w:pPr>
    </w:p>
    <w:p>
      <w:pPr>
        <w:spacing w:after="210" w:lineRule="auto"/>
      </w:pPr>
      <w:r>
        <w:rPr>
          <w:b/>
        </w:rPr>
        <w:t xml:space="preserve">表1：大模型模拟药物机体影响的多模态融合架构与集成逻辑</w:t>
      </w:r>
    </w:p>
    <w:p>
      <w:pPr>
        <w:spacing w:line="271" w:before="240" w:lineRule="auto"/>
      </w:pPr>
      <w:bookmarkStart w:id="16" w:name="三_个体异质性的精准消解机制"/>
      <w:r>
        <w:rPr>
          <w:rFonts w:eastAsia="Georgia" w:cs="Georgia" w:ascii="Georgia" w:hAnsi="Georgia"/>
          <w:b/>
          <w:sz w:val="33"/>
        </w:rPr>
        <w:t xml:space="preserve">(三) 个体异质性的精准消解机制</w:t>
      </w:r>
      <w:bookmarkEnd w:id="16"/>
    </w:p>
    <w:p>
      <w:pPr>
        <w:spacing w:after="210" w:lineRule="auto"/>
      </w:pPr>
      <w:r>
        <w:rPr>
          <w:rFonts w:eastAsia="Georgia" w:cs="Georgia" w:ascii="Georgia" w:hAnsi="Georgia"/>
        </w:rPr>
        <w:t xml:space="preserve">大模型如何将高维的人群异质性转化为可操作的临床洞察[18]：</w:t>
      </w:r>
    </w:p>
    <w:p>
      <w:pPr>
        <w:numPr>
          <w:ilvl w:val="0"/>
          <w:numId w:val="9"/>
        </w:numPr>
        <w:spacing w:after="210" w:lineRule="auto"/>
      </w:pPr>
      <w:r>
        <w:rPr>
          <w:b/>
        </w:rPr>
        <w:t xml:space="preserve">异质性识别维度</w:t>
      </w:r>
    </w:p>
    <w:p>
      <w:pPr>
        <w:numPr>
          <w:ilvl w:val="1"/>
          <w:numId w:val="9"/>
        </w:numPr>
        <w:spacing w:lineRule="auto"/>
      </w:pPr>
      <w:r>
        <w:rPr>
          <w:b/>
        </w:rPr>
        <w:t xml:space="preserve">遗传异质性</w:t>
      </w:r>
      <w:r>
        <w:rPr>
          <w:rFonts w:eastAsia="Georgia" w:cs="Georgia" w:ascii="Georgia" w:hAnsi="Georgia"/>
        </w:rPr>
        <w:t xml:space="preserve">：利用大模型对患者全基因组关联研究（GWAS）、外显子组测序、拷贝数变异等信息的综合解读，识别与药物代谢、靶点敏感性相关的多态性位点。</w:t>
      </w:r>
    </w:p>
    <w:p>
      <w:pPr>
        <w:numPr>
          <w:ilvl w:val="1"/>
          <w:numId w:val="9"/>
        </w:numPr>
        <w:spacing w:lineRule="auto"/>
      </w:pPr>
      <w:r>
        <w:rPr>
          <w:b/>
        </w:rPr>
        <w:t xml:space="preserve">表型异质性</w:t>
      </w:r>
      <w:r>
        <w:rPr>
          <w:rFonts w:eastAsia="Georgia" w:cs="Georgia" w:ascii="Georgia" w:hAnsi="Georgia"/>
        </w:rPr>
        <w:t xml:space="preserve">：基于患者的临床特征（疾病分型、合并症、既往治疗史）与生物标志物组合，识别表现型亚群。</w:t>
      </w:r>
    </w:p>
    <w:p>
      <w:pPr>
        <w:numPr>
          <w:ilvl w:val="1"/>
          <w:numId w:val="9"/>
        </w:numPr>
        <w:spacing w:lineRule="auto"/>
      </w:pPr>
      <w:r>
        <w:rPr>
          <w:b/>
        </w:rPr>
        <w:t xml:space="preserve">表观遗传与环境异质性</w:t>
      </w:r>
      <w:r>
        <w:rPr>
          <w:rFonts w:eastAsia="Georgia" w:cs="Georgia" w:ascii="Georgia" w:hAnsi="Georgia"/>
        </w:rPr>
        <w:t xml:space="preserve">：整合DNA甲基化、组蛋白修饰、肠道微生物组成、饮食、药物相互作用等信息。</w:t>
      </w:r>
    </w:p>
    <w:p>
      <w:pPr>
        <w:numPr>
          <w:ilvl w:val="0"/>
          <w:numId w:val="9"/>
        </w:numPr>
        <w:spacing w:after="210" w:lineRule="auto"/>
      </w:pPr>
      <w:r>
        <w:rPr>
          <w:b/>
        </w:rPr>
        <w:t xml:space="preserve">异质性消解的数学框架</w:t>
      </w:r>
    </w:p>
    <w:p>
      <w:pPr>
        <w:numPr>
          <w:ilvl w:val="1"/>
          <w:numId w:val="9"/>
        </w:numPr>
        <w:spacing w:lineRule="auto"/>
      </w:pPr>
      <w:r>
        <w:rPr>
          <w:rFonts w:eastAsia="Georgia" w:cs="Georgia" w:ascii="Georgia" w:hAnsi="Georgia"/>
        </w:rPr>
        <w:t xml:space="preserve">传统方法：单变量或二变量关联分析，样本量需求大。</w:t>
      </w:r>
    </w:p>
    <w:p>
      <w:pPr>
        <w:numPr>
          <w:ilvl w:val="1"/>
          <w:numId w:val="9"/>
        </w:numPr>
        <w:spacing w:lineRule="auto"/>
      </w:pPr>
      <w:r>
        <w:rPr>
          <w:rFonts w:eastAsia="Georgia" w:cs="Georgia" w:ascii="Georgia" w:hAnsi="Georgia"/>
        </w:rPr>
        <w:t xml:space="preserve">大模型方法：通过多任务学习与</w:t>
      </w:r>
      <w:r>
        <w:rPr>
          <w:b/>
        </w:rPr>
        <w:t xml:space="preserve">异质性消解</w:t>
      </w:r>
      <w:r>
        <w:rPr>
          <w:rFonts w:eastAsia="Georgia" w:cs="Georgia" w:ascii="Georgia" w:hAnsi="Georgia"/>
        </w:rPr>
        <w:t xml:space="preserve">（heterogeneity resolution）[19]，即构建条件分布 </w:t>
      </w:r>
      <m:oMath>
        <m:r>
          <m:rPr>
            <m:sty m:val="i"/>
          </m:rPr>
          <m:t>P</m:t>
        </m:r>
        <m:r>
          <m:rPr>
            <m:sty m:val="p"/>
          </m:rPr>
          <m:t>(</m:t>
        </m:r>
        <m:r>
          <m:rPr>
            <m:nor/>
          </m:rPr>
          <m:t>drug response</m:t>
        </m:r>
        <m:r>
          <m:rPr>
            <m:sty m:val="p"/>
          </m:rPr>
          <m:t>∣</m:t>
        </m:r>
        <m:r>
          <m:rPr>
            <m:nor/>
          </m:rPr>
          <m:t>patient features</m:t>
        </m:r>
        <m:r>
          <m:rPr>
            <m:sty m:val="p"/>
          </m:rPr>
          <m:t>)</m:t>
        </m:r>
      </m:oMath>
      <w:r>
        <w:rPr>
          <w:rFonts w:eastAsia="Georgia" w:cs="Georgia" w:ascii="Georgia" w:hAnsi="Georgia"/>
        </w:rPr>
        <w:t xml:space="preserve">，能在小样本下识别出明确的响应亚群。</w:t>
      </w:r>
    </w:p>
    <w:p>
      <w:pPr>
        <w:numPr>
          <w:ilvl w:val="1"/>
          <w:numId w:val="9"/>
        </w:numPr>
        <w:spacing w:lineRule="auto"/>
      </w:pPr>
      <w:r>
        <w:rPr>
          <w:rFonts w:eastAsia="Georgia" w:cs="Georgia" w:ascii="Georgia" w:hAnsi="Georgia"/>
        </w:rPr>
        <w:t xml:space="preserve">这种方法已在肿瘤免疫治疗响应预测中展现潜力，识别出的PD-L1表达、肿瘤突变负荷（TMB）、肠道菌群等多维度的联合指标组合，对响应的预测力显著强于单一指标[20]。</w:t>
      </w:r>
    </w:p>
    <w:p>
      <w:pPr>
        <w:numPr>
          <w:ilvl w:val="0"/>
          <w:numId w:val="9"/>
        </w:numPr>
        <w:spacing w:after="210" w:lineRule="auto"/>
      </w:pPr>
      <w:r>
        <w:rPr>
          <w:b/>
        </w:rPr>
        <w:t xml:space="preserve">从群体平均到个体精准</w:t>
      </w:r>
    </w:p>
    <w:p>
      <w:pPr>
        <w:numPr>
          <w:ilvl w:val="1"/>
          <w:numId w:val="9"/>
        </w:numPr>
        <w:spacing w:lineRule="auto"/>
      </w:pPr>
      <w:r>
        <w:rPr>
          <w:rFonts w:eastAsia="Georgia" w:cs="Georgia" w:ascii="Georgia" w:hAnsi="Georgia"/>
        </w:rPr>
        <w:t xml:space="preserve">传统临床试验报告的是群体平均疗效（如"缓解率50%"）；大模型可预测该患者个体落入"缓解者"与"非缓解者"的概率边界（即个体化响应概率），并量化其所属亚群的特征。</w:t>
      </w:r>
    </w:p>
    <w:p>
      <w:pPr>
        <w:numPr>
          <w:ilvl w:val="1"/>
          <w:numId w:val="9"/>
        </w:numPr>
        <w:spacing w:lineRule="auto"/>
      </w:pPr>
      <w:r>
        <w:rPr>
          <w:rFonts w:eastAsia="Georgia" w:cs="Georgia" w:ascii="Georgia" w:hAnsi="Georgia"/>
        </w:rPr>
        <w:t xml:space="preserve">这为医生的"共同决策"（shared decision-making）提供了数据支撑。</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六_当前面临的主要技术与实施挑战"/>
      <w:r>
        <w:rPr>
          <w:rFonts w:eastAsia="Georgia" w:cs="Georgia" w:ascii="Georgia" w:hAnsi="Georgia"/>
          <w:b/>
          <w:sz w:val="42"/>
        </w:rPr>
        <w:t xml:space="preserve">六、当前面临的主要技术与实施挑战</w:t>
      </w:r>
      <w:bookmarkEnd w:id="17"/>
    </w:p>
    <w:p>
      <w:pPr>
        <w:spacing w:line="271" w:before="240" w:lineRule="auto"/>
      </w:pPr>
      <w:bookmarkStart w:id="18" w:name="一_技术层面的核心瓶颈"/>
      <w:r>
        <w:rPr>
          <w:rFonts w:eastAsia="Georgia" w:cs="Georgia" w:ascii="Georgia" w:hAnsi="Georgia"/>
          <w:b/>
          <w:sz w:val="33"/>
        </w:rPr>
        <w:t xml:space="preserve">(一) 技术层面的核心瓶颈</w:t>
      </w:r>
      <w:bookmarkEnd w:id="18"/>
    </w:p>
    <w:p>
      <w:pPr>
        <w:numPr>
          <w:ilvl w:val="0"/>
          <w:numId w:val="10"/>
        </w:numPr>
        <w:spacing w:after="210" w:lineRule="auto"/>
      </w:pPr>
      <w:r>
        <w:rPr>
          <w:b/>
        </w:rPr>
        <w:t xml:space="preserve">模型可解释性与"黑箱"问题</w:t>
      </w:r>
    </w:p>
    <w:p>
      <w:pPr>
        <w:spacing w:after="210" w:lineRule="auto"/>
        <w:ind w:left="720"/>
      </w:pPr>
      <w:r>
        <w:rPr>
          <w:b/>
        </w:rPr>
        <w:t xml:space="preserve">核心问题</w:t>
      </w:r>
      <w:r>
        <w:rPr>
          <w:rFonts w:eastAsia="Georgia" w:cs="Georgia" w:ascii="Georgia" w:hAnsi="Georgia"/>
        </w:rPr>
        <w:t xml:space="preserve">：深度学习模型虽然预测精度高，但其决策过程往往难以被生物学家或临床医生理解。一个模型预测"该患者对A药物响应概率为85%"，但医学专业人士需要知道"为什么"——是因为其特定的基因变异、还是蛋白表达水平、还是肠道菌群组成？</w:t>
      </w:r>
    </w:p>
    <w:p>
      <w:pPr>
        <w:spacing w:after="210" w:lineRule="auto"/>
        <w:ind w:left="720"/>
      </w:pPr>
      <w:r>
        <w:rPr>
          <w:b/>
        </w:rPr>
        <w:t xml:space="preserve">当前局限</w:t>
      </w:r>
      <w:r>
        <w:rPr>
          <w:rFonts w:eastAsia="Georgia" w:cs="Georgia" w:ascii="Georgia" w:hAnsi="Georgia"/>
        </w:rPr>
        <w:t xml:space="preserve">：虽然有LIME、SHAP等解释性技术，但这些方法本质上是"事后解释"（post-hoc explanation），不能完全消除内在的认识论不确定性。特别是涉及多模态、高维数据的融合时，因果链条的追溯变得更加困难。</w:t>
      </w:r>
    </w:p>
    <w:p>
      <w:pPr>
        <w:spacing w:after="210" w:lineRule="auto"/>
        <w:ind w:left="720"/>
      </w:pPr>
      <w:r>
        <w:rPr>
          <w:b/>
        </w:rPr>
        <w:t xml:space="preserve">实施建议</w:t>
      </w:r>
      <w:r>
        <w:rPr>
          <w:rFonts w:eastAsia="Georgia" w:cs="Georgia" w:ascii="Georgia" w:hAnsi="Georgia"/>
        </w:rPr>
        <w:t xml:space="preserve">：一种可行的路径是</w:t>
      </w:r>
      <w:r>
        <w:rPr>
          <w:b/>
        </w:rPr>
        <w:t xml:space="preserve">可解释AI架构</w:t>
      </w:r>
      <w:r>
        <w:rPr>
          <w:rFonts w:eastAsia="Georgia" w:cs="Georgia" w:ascii="Georgia" w:hAnsi="Georgia"/>
        </w:rPr>
        <w:t xml:space="preserve">（interpretable AI architecture），即在模型设计初期就融入生物学约束与可因果追踪的模块结构。如DrugCell模型通过在网络中嵌入已知的细胞生物学通路知识，使得模型的中间层激活直接对应某个生物过程，从而天然增强可解释性。建议相关方考虑开发更多这类"生物学感知"的架构。</w:t>
      </w:r>
    </w:p>
    <w:p>
      <w:pPr>
        <w:numPr>
          <w:ilvl w:val="0"/>
          <w:numId w:val="10"/>
        </w:numPr>
        <w:spacing w:after="210" w:lineRule="auto"/>
      </w:pPr>
      <w:r>
        <w:rPr>
          <w:b/>
        </w:rPr>
        <w:t xml:space="preserve">数据质量与偏差问题</w:t>
      </w:r>
    </w:p>
    <w:p>
      <w:pPr>
        <w:spacing w:after="210" w:lineRule="auto"/>
        <w:ind w:left="720"/>
      </w:pPr>
      <w:r>
        <w:rPr>
          <w:b/>
        </w:rPr>
        <w:t xml:space="preserve">核心问题</w:t>
      </w:r>
      <w:r>
        <w:rPr>
          <w:rFonts w:eastAsia="Georgia" w:cs="Georgia" w:ascii="Georgia" w:hAnsi="Georgia"/>
        </w:rPr>
        <w:t xml:space="preserve">：大模型的性能本质上受其训练数据的质量与代表性约束。已有研究表明，许多公开的生物医学数据集存在：</w:t>
      </w:r>
    </w:p>
    <w:p>
      <w:pPr>
        <w:numPr>
          <w:ilvl w:val="1"/>
          <w:numId w:val="10"/>
        </w:numPr>
        <w:spacing w:lineRule="auto"/>
      </w:pPr>
      <w:r>
        <w:rPr>
          <w:b/>
        </w:rPr>
        <w:t xml:space="preserve">代表性偏差</w:t>
      </w:r>
      <w:r>
        <w:rPr>
          <w:rFonts w:eastAsia="Georgia" w:cs="Georgia" w:ascii="Georgia" w:hAnsi="Georgia"/>
        </w:rPr>
        <w:t xml:space="preserve">：临床试验与组学数据库中主要是欧裔与东亚裔人群数据，对于非洲、南美等地人群的遗传特异性代表不足。ISPE在2024年向FDA的评论中强调了这一风险[21]。</w:t>
      </w:r>
    </w:p>
    <w:p>
      <w:pPr>
        <w:numPr>
          <w:ilvl w:val="1"/>
          <w:numId w:val="10"/>
        </w:numPr>
        <w:spacing w:lineRule="auto"/>
      </w:pPr>
      <w:r>
        <w:rPr>
          <w:b/>
        </w:rPr>
        <w:t xml:space="preserve">时间偏差</w:t>
      </w:r>
      <w:r>
        <w:rPr>
          <w:rFonts w:eastAsia="Georgia" w:cs="Georgia" w:ascii="Georgia" w:hAnsi="Georgia"/>
        </w:rPr>
        <w:t xml:space="preserve">：已发表的文献与数据往往是"历史知识"，新的发现与热点领域的数据供应延迟。</w:t>
      </w:r>
    </w:p>
    <w:p>
      <w:pPr>
        <w:numPr>
          <w:ilvl w:val="1"/>
          <w:numId w:val="10"/>
        </w:numPr>
        <w:spacing w:lineRule="auto"/>
      </w:pPr>
      <w:r>
        <w:rPr>
          <w:b/>
        </w:rPr>
        <w:t xml:space="preserve">测量偏差</w:t>
      </w:r>
      <w:r>
        <w:rPr>
          <w:rFonts w:eastAsia="Georgia" w:cs="Georgia" w:ascii="Georgia" w:hAnsi="Georgia"/>
        </w:rPr>
        <w:t xml:space="preserve">：不同实验室、不同技术平台获得的组学数据间存在批次效应（batch effect），这会显著影响模型的训练与泛化。</w:t>
      </w:r>
    </w:p>
    <w:p>
      <w:pPr>
        <w:numPr>
          <w:ilvl w:val="0"/>
          <w:numId w:val="10"/>
        </w:numPr>
        <w:spacing w:after="210" w:lineRule="auto"/>
      </w:pPr>
      <w:r>
        <w:rPr>
          <w:b/>
        </w:rPr>
        <w:t xml:space="preserve">有待进一步的实证研究验证</w:t>
      </w:r>
      <w:r>
        <w:rPr>
          <w:rFonts w:eastAsia="Georgia" w:cs="Georgia" w:ascii="Georgia" w:hAnsi="Georgia"/>
        </w:rPr>
        <w:t xml:space="preserve">：这些偏差如何在多种族、多地域的真实临床应用中具体表现，以及校正策略的有效性边界仍需大规模实证研究确认。</w:t>
      </w:r>
    </w:p>
    <w:p>
      <w:pPr>
        <w:numPr>
          <w:ilvl w:val="0"/>
          <w:numId w:val="10"/>
        </w:numPr>
        <w:spacing w:after="210" w:lineRule="auto"/>
      </w:pPr>
      <w:r>
        <w:rPr>
          <w:b/>
        </w:rPr>
        <w:t xml:space="preserve">知识-数据分布不匹配</w:t>
      </w:r>
    </w:p>
    <w:p>
      <w:pPr>
        <w:spacing w:after="210" w:lineRule="auto"/>
        <w:ind w:left="720"/>
      </w:pPr>
      <w:r>
        <w:rPr>
          <w:b/>
        </w:rPr>
        <w:t xml:space="preserve">核心问题</w:t>
      </w:r>
      <w:r>
        <w:rPr>
          <w:rFonts w:eastAsia="Georgia" w:cs="Georgia" w:ascii="Georgia" w:hAnsi="Georgia"/>
        </w:rPr>
        <w:t xml:space="preserve">：大模型预训练通常采用通用的"蒙面语言模型"（masked language modeling）等自监督目标，与药物系统评估的具体任务可能存在分布偏移。例如，一个在通用医学文献上预训练的大模型，其对罕见病或新兴疾病领域的知识编码可能不足。</w:t>
      </w:r>
    </w:p>
    <w:p>
      <w:pPr>
        <w:spacing w:after="210" w:lineRule="auto"/>
        <w:ind w:left="720"/>
      </w:pPr>
      <w:r>
        <w:rPr>
          <w:b/>
        </w:rPr>
        <w:t xml:space="preserve">通常情况下</w:t>
      </w:r>
      <w:r>
        <w:rPr>
          <w:rFonts w:eastAsia="Georgia" w:cs="Georgia" w:ascii="Georgia" w:hAnsi="Georgia"/>
        </w:rPr>
        <w:t xml:space="preserve">，这种分布不匹配可以通过任务特化的微调（fine-tuning）与领域自适应（domain adaptation）方法缓解，但需要充分的标注数据与计算资源。</w:t>
      </w:r>
    </w:p>
    <w:p>
      <w:pPr>
        <w:numPr>
          <w:ilvl w:val="0"/>
          <w:numId w:val="10"/>
        </w:numPr>
        <w:spacing w:after="210" w:lineRule="auto"/>
      </w:pPr>
      <w:r>
        <w:rPr>
          <w:b/>
        </w:rPr>
        <w:t xml:space="preserve">多组学数据的整合困难</w:t>
      </w:r>
    </w:p>
    <w:p>
      <w:pPr>
        <w:spacing w:after="210" w:lineRule="auto"/>
        <w:ind w:left="720"/>
      </w:pPr>
      <w:r>
        <w:rPr>
          <w:b/>
        </w:rPr>
        <w:t xml:space="preserve">核心问题</w:t>
      </w:r>
      <w:r>
        <w:rPr>
          <w:rFonts w:eastAsia="Georgia" w:cs="Georgia" w:ascii="Georgia" w:hAnsi="Georgia"/>
        </w:rPr>
        <w:t xml:space="preserve">：不同"组学"之间的对应关系并非简单的一一映射。例如，某个基因的高表达不一定导致高蛋白表达（转录后调控机制），而蛋白表达也不一定导致活性升高（翻译后修饰）。</w:t>
      </w:r>
    </w:p>
    <w:p>
      <w:pPr>
        <w:numPr>
          <w:ilvl w:val="1"/>
          <w:numId w:val="10"/>
        </w:numPr>
        <w:spacing w:lineRule="auto"/>
      </w:pPr>
      <w:r>
        <w:rPr>
          <w:rFonts w:eastAsia="Georgia" w:cs="Georgia" w:ascii="Georgia" w:hAnsi="Georgia"/>
        </w:rPr>
        <w:t xml:space="preserve">传统方法往往采用</w:t>
      </w:r>
      <w:r>
        <w:rPr>
          <w:b/>
        </w:rPr>
        <w:t xml:space="preserve">启发式整合</w:t>
      </w:r>
      <w:r>
        <w:rPr>
          <w:rFonts w:eastAsia="Georgia" w:cs="Georgia" w:ascii="Georgia" w:hAnsi="Georgia"/>
        </w:rPr>
        <w:t xml:space="preserve">，即基于经验规则人为定义如何权衡不同组学；大模型虽可学习这些关系，但需要充分的多组学配对数据（paired multi-omics data），这类高质量数据的获取成本与难度仍然较高。</w:t>
      </w:r>
    </w:p>
    <w:p>
      <w:pPr>
        <w:numPr>
          <w:ilvl w:val="1"/>
          <w:numId w:val="10"/>
        </w:numPr>
        <w:spacing w:lineRule="auto"/>
      </w:pPr>
      <w:r>
        <w:rPr>
          <w:rFonts w:eastAsia="Georgia" w:cs="Georgia" w:ascii="Georgia" w:hAnsi="Georgia"/>
        </w:rPr>
        <w:t xml:space="preserve">目前，单细胞多组学技术（如scRNA-seq + scATAC-seq）可在同一细胞内同时测量多种组学，为大模型提供了更丰富的信号；但覆盖的样本数量与患者多样性仍有限。</w:t>
      </w:r>
    </w:p>
    <w:p>
      <w:pPr>
        <w:spacing w:line="271" w:before="240" w:lineRule="auto"/>
      </w:pPr>
      <w:bookmarkStart w:id="19" w:name="二_实施与转化层面的挑战"/>
      <w:r>
        <w:rPr>
          <w:rFonts w:eastAsia="Georgia" w:cs="Georgia" w:ascii="Georgia" w:hAnsi="Georgia"/>
          <w:b/>
          <w:sz w:val="33"/>
        </w:rPr>
        <w:t xml:space="preserve">(二) 实施与转化层面的挑战</w:t>
      </w:r>
      <w:bookmarkEnd w:id="19"/>
    </w:p>
    <w:p>
      <w:pPr>
        <w:numPr>
          <w:ilvl w:val="0"/>
          <w:numId w:val="11"/>
        </w:numPr>
        <w:spacing w:after="210" w:lineRule="auto"/>
      </w:pPr>
      <w:r>
        <w:rPr>
          <w:b/>
        </w:rPr>
        <w:t xml:space="preserve">临床证据的积累与应用</w:t>
      </w:r>
    </w:p>
    <w:p>
      <w:pPr>
        <w:spacing w:after="210" w:lineRule="auto"/>
        <w:ind w:left="720"/>
      </w:pPr>
      <w:r>
        <w:rPr>
          <w:b/>
        </w:rPr>
        <w:t xml:space="preserve">问题描述</w:t>
      </w:r>
      <w:r>
        <w:rPr>
          <w:rFonts w:eastAsia="Georgia" w:cs="Georgia" w:ascii="Georgia" w:hAnsi="Georgia"/>
        </w:rPr>
        <w:t xml:space="preserve">：虽然许多大模型驱动的预测工具在回顾性数据上展现了优异的性能，但其在前瞻性临床试验与真实世界应用中的表现如何，目前证据仍有限。</w:t>
      </w:r>
    </w:p>
    <w:p>
      <w:pPr>
        <w:numPr>
          <w:ilvl w:val="1"/>
          <w:numId w:val="11"/>
        </w:numPr>
        <w:spacing w:lineRule="auto"/>
      </w:pPr>
      <w:r>
        <w:rPr>
          <w:rFonts w:eastAsia="Georgia" w:cs="Georgia" w:ascii="Georgia" w:hAnsi="Georgia"/>
        </w:rPr>
        <w:t xml:space="preserve">FDA在2025年新发布的指南中明确指出[22]，AI/ML工具在药物开发中的应用需要进行严格的</w:t>
      </w:r>
      <w:r>
        <w:rPr>
          <w:b/>
        </w:rPr>
        <w:t xml:space="preserve">生命周期监控</w:t>
      </w:r>
      <w:r>
        <w:rPr>
          <w:rFonts w:eastAsia="Georgia" w:cs="Georgia" w:ascii="Georgia" w:hAnsi="Georgia"/>
        </w:rPr>
        <w:t xml:space="preserve">（lifecycle performance monitoring），特别是对于自学习或自演进的系统。</w:t>
      </w:r>
    </w:p>
    <w:p>
      <w:pPr>
        <w:numPr>
          <w:ilvl w:val="1"/>
          <w:numId w:val="11"/>
        </w:numPr>
        <w:spacing w:lineRule="auto"/>
      </w:pPr>
      <w:r>
        <w:rPr>
          <w:rFonts w:eastAsia="Georgia" w:cs="Georgia" w:ascii="Georgia" w:hAnsi="Georgia"/>
        </w:rPr>
        <w:t xml:space="preserve">这意味着企业与研发机构不仅需要在上市前验证模型，还需建立长期的、动态的性能监测框架，以发现模型在新患者群体、新临床环境中的性能漂移。</w:t>
      </w:r>
    </w:p>
    <w:p>
      <w:pPr>
        <w:numPr>
          <w:ilvl w:val="0"/>
          <w:numId w:val="11"/>
        </w:numPr>
        <w:spacing w:after="210" w:lineRule="auto"/>
      </w:pPr>
      <w:r>
        <w:rPr>
          <w:b/>
        </w:rPr>
        <w:t xml:space="preserve">监管框架的不确定性</w:t>
      </w:r>
    </w:p>
    <w:p>
      <w:pPr>
        <w:spacing w:after="210" w:lineRule="auto"/>
        <w:ind w:left="720"/>
      </w:pPr>
      <w:r>
        <w:rPr>
          <w:b/>
        </w:rPr>
        <w:t xml:space="preserve">当前状况</w:t>
      </w:r>
      <w:r>
        <w:rPr>
          <w:rFonts w:eastAsia="Georgia" w:cs="Georgia" w:ascii="Georgia" w:hAnsi="Georgia"/>
        </w:rPr>
        <w:t xml:space="preserve">：全球监管机构对AI/ML在药物开发中的应用仍在不断演进其政策框架。虽然FDA、EMA、NMPA等已发布初步指导，但具体的：</w:t>
      </w:r>
    </w:p>
    <w:p>
      <w:pPr>
        <w:numPr>
          <w:ilvl w:val="1"/>
          <w:numId w:val="11"/>
        </w:numPr>
        <w:spacing w:lineRule="auto"/>
      </w:pPr>
      <w:r>
        <w:rPr>
          <w:rFonts w:eastAsia="Georgia" w:cs="Georgia" w:ascii="Georgia" w:hAnsi="Georgia"/>
        </w:rPr>
        <w:t xml:space="preserve">模型验证标准</w:t>
      </w:r>
    </w:p>
    <w:p>
      <w:pPr>
        <w:numPr>
          <w:ilvl w:val="1"/>
          <w:numId w:val="11"/>
        </w:numPr>
        <w:spacing w:lineRule="auto"/>
      </w:pPr>
      <w:r>
        <w:rPr>
          <w:rFonts w:eastAsia="Georgia" w:cs="Georgia" w:ascii="Georgia" w:hAnsi="Georgia"/>
        </w:rPr>
        <w:t xml:space="preserve">黑箱系统的可接受程度</w:t>
      </w:r>
    </w:p>
    <w:p>
      <w:pPr>
        <w:numPr>
          <w:ilvl w:val="1"/>
          <w:numId w:val="11"/>
        </w:numPr>
        <w:spacing w:lineRule="auto"/>
      </w:pPr>
      <w:r>
        <w:rPr>
          <w:rFonts w:eastAsia="Georgia" w:cs="Georgia" w:ascii="Georgia" w:hAnsi="Georgia"/>
        </w:rPr>
        <w:t xml:space="preserve">AI生成的科学证据如何被纳入审批决策</w:t>
      </w:r>
    </w:p>
    <w:p>
      <w:pPr>
        <w:numPr>
          <w:ilvl w:val="1"/>
          <w:numId w:val="11"/>
        </w:numPr>
        <w:spacing w:lineRule="auto"/>
      </w:pPr>
      <w:r>
        <w:rPr>
          <w:rFonts w:eastAsia="Georgia" w:cs="Georgia" w:ascii="Georgia" w:hAnsi="Georgia"/>
        </w:rPr>
        <w:t xml:space="preserve">多模型集成系统的监管方式</w:t>
      </w:r>
    </w:p>
    <w:p>
      <w:pPr>
        <w:numPr>
          <w:ilvl w:val="0"/>
          <w:numId w:val="11"/>
        </w:numPr>
        <w:spacing w:after="210" w:lineRule="auto"/>
      </w:pPr>
      <w:r>
        <w:rPr>
          <w:rFonts w:eastAsia="Georgia" w:cs="Georgia" w:ascii="Georgia" w:hAnsi="Georgia"/>
        </w:rPr>
        <w:t xml:space="preserve">这些细节问题仍存在显著的政策空白与地区差异。</w:t>
      </w:r>
    </w:p>
    <w:p>
      <w:pPr>
        <w:spacing w:after="210" w:lineRule="auto"/>
        <w:ind w:left="720"/>
      </w:pPr>
      <w:r>
        <w:rPr>
          <w:rFonts w:eastAsia="Georgia" w:cs="Georgia" w:ascii="Georgia" w:hAnsi="Georgia"/>
        </w:rPr>
        <w:t xml:space="preserve">建议相关方考虑加强与监管机构的早期互动沟通（Pre-IND与End-of-Phase-II的FDA会议机制），提前理清AI工具在其特定应用场景中的监管期望。</w:t>
      </w:r>
    </w:p>
    <w:p>
      <w:pPr>
        <w:numPr>
          <w:ilvl w:val="0"/>
          <w:numId w:val="11"/>
        </w:numPr>
        <w:spacing w:after="210" w:lineRule="auto"/>
      </w:pPr>
      <w:r>
        <w:rPr>
          <w:b/>
        </w:rPr>
        <w:t xml:space="preserve">人才与基础设施投入</w:t>
      </w:r>
    </w:p>
    <w:p>
      <w:pPr>
        <w:spacing w:after="210" w:lineRule="auto"/>
        <w:ind w:left="720"/>
      </w:pPr>
      <w:r>
        <w:rPr>
          <w:b/>
        </w:rPr>
        <w:t xml:space="preserve">资源需求</w:t>
      </w:r>
      <w:r>
        <w:rPr>
          <w:rFonts w:eastAsia="Georgia" w:cs="Georgia" w:ascii="Georgia" w:hAnsi="Georgia"/>
        </w:rPr>
        <w:t xml:space="preserve">：</w:t>
      </w:r>
    </w:p>
    <w:p>
      <w:pPr>
        <w:numPr>
          <w:ilvl w:val="1"/>
          <w:numId w:val="11"/>
        </w:numPr>
        <w:spacing w:lineRule="auto"/>
      </w:pPr>
      <w:r>
        <w:rPr>
          <w:rFonts w:eastAsia="Georgia" w:cs="Georgia" w:ascii="Georgia" w:hAnsi="Georgia"/>
        </w:rPr>
        <w:t xml:space="preserve">不仅需要具备大模型开发能力的AI工程师，更需要懂药学、药理学、临床医学的</w:t>
      </w:r>
      <w:r>
        <w:rPr>
          <w:b/>
        </w:rPr>
        <w:t xml:space="preserve">跨学科团队</w:t>
      </w:r>
      <w:r>
        <w:rPr>
          <w:rFonts w:eastAsia="Georgia" w:cs="Georgia" w:ascii="Georgia" w:hAnsi="Georgia"/>
        </w:rPr>
        <w:t xml:space="preserve">，能够将大模型的输出翻译为可操作的临床或研发决策。</w:t>
      </w:r>
    </w:p>
    <w:p>
      <w:pPr>
        <w:numPr>
          <w:ilvl w:val="1"/>
          <w:numId w:val="11"/>
        </w:numPr>
        <w:spacing w:lineRule="auto"/>
      </w:pPr>
      <w:r>
        <w:rPr>
          <w:rFonts w:eastAsia="Georgia" w:cs="Georgia" w:ascii="Georgia" w:hAnsi="Georgia"/>
        </w:rPr>
        <w:t xml:space="preserve">需要投入显著的计算基础设施（GPU/TPU集群）以支持大规模预训练与微调。中小型制药企业在这方面的资本投入障碍较高。</w:t>
      </w:r>
    </w:p>
    <w:p>
      <w:pPr>
        <w:numPr>
          <w:ilvl w:val="1"/>
          <w:numId w:val="11"/>
        </w:numPr>
        <w:spacing w:lineRule="auto"/>
      </w:pPr>
      <w:r>
        <w:rPr>
          <w:rFonts w:eastAsia="Georgia" w:cs="Georgia" w:ascii="Georgia" w:hAnsi="Georgia"/>
        </w:rPr>
        <w:t xml:space="preserve">建议通过产学研联合、云计算平台共享等方式降低成本壁垒。</w:t>
      </w:r>
    </w:p>
    <w:p>
      <w:pPr>
        <w:numPr>
          <w:ilvl w:val="0"/>
          <w:numId w:val="11"/>
        </w:numPr>
        <w:spacing w:after="210" w:lineRule="auto"/>
      </w:pPr>
      <w:r>
        <w:rPr>
          <w:b/>
        </w:rPr>
        <w:t xml:space="preserve">数据隐私与伦理约束</w:t>
      </w:r>
    </w:p>
    <w:p>
      <w:pPr>
        <w:spacing w:after="210" w:lineRule="auto"/>
        <w:ind w:left="720"/>
      </w:pPr>
      <w:r>
        <w:rPr>
          <w:b/>
        </w:rPr>
        <w:t xml:space="preserve">关键风险</w:t>
      </w:r>
      <w:r>
        <w:rPr>
          <w:rFonts w:eastAsia="Georgia" w:cs="Georgia" w:ascii="Georgia" w:hAnsi="Georgia"/>
        </w:rPr>
        <w:t xml:space="preserve">：</w:t>
      </w:r>
    </w:p>
    <w:p>
      <w:pPr>
        <w:numPr>
          <w:ilvl w:val="1"/>
          <w:numId w:val="11"/>
        </w:numPr>
        <w:spacing w:lineRule="auto"/>
      </w:pPr>
      <w:r>
        <w:rPr>
          <w:rFonts w:eastAsia="Georgia" w:cs="Georgia" w:ascii="Georgia" w:hAnsi="Georgia"/>
        </w:rPr>
        <w:t xml:space="preserve">大模型驱动的系统需要接入包含患者敏感信息（遗传信息、病史、生活方式）的大规模数据；如何确保这些数据在流转、处理、存储过程中的隐私保护，是实施中的重大挑战。</w:t>
      </w:r>
    </w:p>
    <w:p>
      <w:pPr>
        <w:numPr>
          <w:ilvl w:val="1"/>
          <w:numId w:val="11"/>
        </w:numPr>
        <w:spacing w:lineRule="auto"/>
      </w:pPr>
      <w:r>
        <w:rPr>
          <w:rFonts w:eastAsia="Georgia" w:cs="Georgia" w:ascii="Georgia" w:hAnsi="Georgia"/>
        </w:rPr>
        <w:t xml:space="preserve">欧盟GDPR、中国《个人信息保护法》等法规对敏感个人数据的跨界使用施加了严格限制。</w:t>
      </w:r>
    </w:p>
    <w:p>
      <w:pPr>
        <w:numPr>
          <w:ilvl w:val="1"/>
          <w:numId w:val="11"/>
        </w:numPr>
        <w:spacing w:lineRule="auto"/>
      </w:pPr>
      <w:r>
        <w:rPr>
          <w:rFonts w:eastAsia="Georgia" w:cs="Georgia" w:ascii="Georgia" w:hAnsi="Georgia"/>
        </w:rPr>
        <w:t xml:space="preserve">基于个人基因数据的药物响应预测可能涉及歧视风险（如健康保险公司基于预测结果拒保），需要伦理审查与法律框架支撑。</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七_对标案例分析与最佳实践"/>
      <w:r>
        <w:rPr>
          <w:rFonts w:eastAsia="Georgia" w:cs="Georgia" w:ascii="Georgia" w:hAnsi="Georgia"/>
          <w:b/>
          <w:sz w:val="42"/>
        </w:rPr>
        <w:t xml:space="preserve">七、对标案例分析与最佳实践</w:t>
      </w:r>
      <w:bookmarkEnd w:id="20"/>
    </w:p>
    <w:p>
      <w:pPr>
        <w:spacing w:line="271" w:before="240" w:lineRule="auto"/>
      </w:pPr>
      <w:bookmarkStart w:id="21" w:name="一_国际前沿案例"/>
      <w:r>
        <w:rPr>
          <w:rFonts w:eastAsia="Georgia" w:cs="Georgia" w:ascii="Georgia" w:hAnsi="Georgia"/>
          <w:b/>
          <w:sz w:val="33"/>
        </w:rPr>
        <w:t xml:space="preserve">(一) 国际前沿案例</w:t>
      </w:r>
      <w:bookmarkEnd w:id="21"/>
    </w:p>
    <w:p>
      <w:pPr>
        <w:numPr>
          <w:ilvl w:val="0"/>
          <w:numId w:val="12"/>
        </w:numPr>
        <w:spacing w:after="210" w:lineRule="auto"/>
      </w:pPr>
      <w:r>
        <w:rPr>
          <w:b/>
        </w:rPr>
        <w:t xml:space="preserve">DeepMind / Google的Enformer模型</w:t>
      </w:r>
    </w:p>
    <w:p>
      <w:pPr>
        <w:numPr>
          <w:ilvl w:val="1"/>
          <w:numId w:val="12"/>
        </w:numPr>
        <w:spacing w:lineRule="auto"/>
      </w:pPr>
      <w:r>
        <w:rPr>
          <w:b/>
        </w:rPr>
        <w:t xml:space="preserve">创新点</w:t>
      </w:r>
      <w:r>
        <w:rPr>
          <w:rFonts w:eastAsia="Georgia" w:cs="Georgia" w:ascii="Georgia" w:hAnsi="Georgia"/>
        </w:rPr>
        <w:t xml:space="preserve">：通过大规模预训练的Transformer模型，能够从基因组序列预测任意位点的基因表达水平，预测范围长达200,000个碱基对，超越传统增强子分析方法5倍以上[23]。</w:t>
      </w:r>
    </w:p>
    <w:p>
      <w:pPr>
        <w:numPr>
          <w:ilvl w:val="1"/>
          <w:numId w:val="12"/>
        </w:numPr>
        <w:spacing w:lineRule="auto"/>
      </w:pPr>
      <w:r>
        <w:rPr>
          <w:b/>
        </w:rPr>
        <w:t xml:space="preserve">应用潜力</w:t>
      </w:r>
      <w:r>
        <w:rPr>
          <w:rFonts w:eastAsia="Georgia" w:cs="Georgia" w:ascii="Georgia" w:hAnsi="Georgia"/>
        </w:rPr>
        <w:t xml:space="preserve">：该模型可用于预测药物诱导的基因表达改变，进而推断其对下游生物过程的影响。</w:t>
      </w:r>
    </w:p>
    <w:p>
      <w:pPr>
        <w:numPr>
          <w:ilvl w:val="1"/>
          <w:numId w:val="12"/>
        </w:numPr>
        <w:spacing w:lineRule="auto"/>
      </w:pPr>
      <w:r>
        <w:rPr>
          <w:b/>
        </w:rPr>
        <w:t xml:space="preserve">局限认知</w:t>
      </w:r>
      <w:r>
        <w:rPr>
          <w:rFonts w:eastAsia="Georgia" w:cs="Georgia" w:ascii="Georgia" w:hAnsi="Georgia"/>
        </w:rPr>
        <w:t xml:space="preserve">：虽然模型准确度高，但在不同细胞类型、疾病背景下的泛化性仍需进一步验证。</w:t>
      </w:r>
    </w:p>
    <w:p>
      <w:pPr>
        <w:numPr>
          <w:ilvl w:val="0"/>
          <w:numId w:val="12"/>
        </w:numPr>
        <w:spacing w:after="210" w:lineRule="auto"/>
      </w:pPr>
      <w:r>
        <w:rPr>
          <w:b/>
        </w:rPr>
        <w:t xml:space="preserve">BenevolentAI的AI平台</w:t>
      </w:r>
    </w:p>
    <w:p>
      <w:pPr>
        <w:numPr>
          <w:ilvl w:val="1"/>
          <w:numId w:val="12"/>
        </w:numPr>
        <w:spacing w:lineRule="auto"/>
      </w:pPr>
      <w:r>
        <w:rPr>
          <w:b/>
        </w:rPr>
        <w:t xml:space="preserve">实践成果</w:t>
      </w:r>
      <w:r>
        <w:rPr>
          <w:rFonts w:eastAsia="Georgia" w:cs="Georgia" w:ascii="Georgia" w:hAnsi="Georgia"/>
        </w:rPr>
        <w:t xml:space="preserve">：2020年首次将大模型辅助的靶点发现应用于新冠疫情应急，识别出巴瑞替尼作为潜在治疗药物，相比传统方法加速数月，并在临床试验中获得初步支持。</w:t>
      </w:r>
    </w:p>
    <w:p>
      <w:pPr>
        <w:numPr>
          <w:ilvl w:val="1"/>
          <w:numId w:val="12"/>
        </w:numPr>
        <w:spacing w:lineRule="auto"/>
      </w:pPr>
      <w:r>
        <w:rPr>
          <w:b/>
        </w:rPr>
        <w:t xml:space="preserve">后续反思</w:t>
      </w:r>
      <w:r>
        <w:rPr>
          <w:rFonts w:eastAsia="Georgia" w:cs="Georgia" w:ascii="Georgia" w:hAnsi="Georgia"/>
        </w:rPr>
        <w:t xml:space="preserve">：该案例表明，在特定突发公共卫生事件下，AI工具的价值可被快速验证；但在常规新药开发中，周期更长、试错成本更高，大模型的价值还需更多的长期数据支撑。</w:t>
      </w:r>
    </w:p>
    <w:p>
      <w:pPr>
        <w:numPr>
          <w:ilvl w:val="0"/>
          <w:numId w:val="12"/>
        </w:numPr>
        <w:spacing w:after="210" w:lineRule="auto"/>
      </w:pPr>
      <w:r>
        <w:rPr>
          <w:b/>
        </w:rPr>
        <w:t xml:space="preserve">欧洲药品管理局（EMA）与ISPE合作框架</w:t>
      </w:r>
    </w:p>
    <w:p>
      <w:pPr>
        <w:numPr>
          <w:ilvl w:val="1"/>
          <w:numId w:val="12"/>
        </w:numPr>
        <w:spacing w:lineRule="auto"/>
      </w:pPr>
      <w:r>
        <w:rPr>
          <w:rFonts w:eastAsia="Georgia" w:cs="Georgia" w:ascii="Georgia" w:hAnsi="Georgia"/>
        </w:rPr>
        <w:t xml:space="preserve">2024-2025年，EMA与ISPE联合制定了《AI/ML在制药领域应用的规范指南》（GAMP Guide on AI for Pharma），强调了在GxP环保生态（即受管制的、需遵守良好操作规范的制药环境）中应用AI的最佳实践[24]。</w:t>
      </w:r>
    </w:p>
    <w:p>
      <w:pPr>
        <w:numPr>
          <w:ilvl w:val="1"/>
          <w:numId w:val="12"/>
        </w:numPr>
        <w:spacing w:lineRule="auto"/>
      </w:pPr>
      <w:r>
        <w:rPr>
          <w:rFonts w:eastAsia="Georgia" w:cs="Georgia" w:ascii="Georgia" w:hAnsi="Georgia"/>
        </w:rPr>
        <w:t xml:space="preserve">核心建议包括：模型版本控制、性能监测、适应性再训练机制、风险分类等。</w:t>
      </w:r>
    </w:p>
    <w:p>
      <w:pPr>
        <w:spacing w:line="271" w:before="240" w:lineRule="auto"/>
      </w:pPr>
      <w:bookmarkStart w:id="22" w:name="二_适用条件与前提认知"/>
      <w:r>
        <w:rPr>
          <w:rFonts w:eastAsia="Georgia" w:cs="Georgia" w:ascii="Georgia" w:hAnsi="Georgia"/>
          <w:b/>
          <w:sz w:val="33"/>
        </w:rPr>
        <w:t xml:space="preserve">(二) 适用条件与前提认知</w:t>
      </w:r>
      <w:bookmarkEnd w:id="22"/>
    </w:p>
    <w:p>
      <w:pPr>
        <w:spacing w:after="210" w:lineRule="auto"/>
      </w:pPr>
      <w:r>
        <w:rPr>
          <w:rFonts w:eastAsia="Georgia" w:cs="Georgia" w:ascii="Georgia" w:hAnsi="Georgia"/>
        </w:rPr>
        <w:t xml:space="preserve">关键提醒：大模型在药物评估中的有效性受多个条件制约：</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right w:val="single" w:sz="1" w:space="0" w:color="000000"/>
            </w:tcBorders>
          </w:tcPr>
          <w:p>
            <w:pPr>
              <w:spacing w:lineRule="auto"/>
              <w:jc w:val="center"/>
            </w:pPr>
            <w:r>
              <w:rPr>
                <w:b/>
              </w:rPr>
              <w:t xml:space="preserve">条件维度</w:t>
            </w:r>
          </w:p>
        </w:tc>
        <w:tc>
          <w:tcPr>
            <w:tcBorders>
              <w:top w:val="single" w:sz="1" w:space="0" w:color="000000"/>
              <w:bottom w:val="single" w:sz="1" w:space="0" w:color="000000"/>
              <w:right w:val="single" w:sz="1" w:space="0" w:color="000000"/>
            </w:tcBorders>
          </w:tcPr>
          <w:p>
            <w:pPr>
              <w:spacing w:lineRule="auto"/>
              <w:jc w:val="center"/>
            </w:pPr>
            <w:r>
              <w:rPr>
                <w:b/>
              </w:rPr>
              <w:t xml:space="preserve">支持情景</w:t>
            </w:r>
          </w:p>
        </w:tc>
        <w:tc>
          <w:tcPr>
            <w:tcBorders>
              <w:top w:val="single" w:sz="1" w:space="0" w:color="000000"/>
              <w:bottom w:val="single" w:sz="1" w:space="0" w:color="000000"/>
              <w:right w:val="single" w:sz="1" w:space="0" w:color="000000"/>
            </w:tcBorders>
          </w:tcPr>
          <w:p>
            <w:pPr>
              <w:spacing w:lineRule="auto"/>
              <w:jc w:val="center"/>
            </w:pPr>
            <w:r>
              <w:rPr>
                <w:b/>
              </w:rPr>
              <w:t xml:space="preserve">限制情景</w:t>
            </w:r>
          </w:p>
        </w:tc>
        <w:tc>
          <w:tcPr>
            <w:tcBorders>
              <w:top w:val="single" w:sz="1" w:space="0" w:color="000000"/>
              <w:bottom w:val="single" w:sz="1" w:space="0" w:color="000000"/>
            </w:tcBorders>
          </w:tcPr>
          <w:p>
            <w:pPr>
              <w:spacing w:lineRule="auto"/>
              <w:jc w:val="center"/>
            </w:pPr>
            <w:r>
              <w:rPr>
                <w:b/>
              </w:rPr>
              <w:t xml:space="preserve">建议策略</w:t>
            </w:r>
          </w:p>
        </w:tc>
      </w:tr>
      <w:tr>
        <w:trPr>
          <w:cantSplit/>
        </w:trPr>
        <w:tc>
          <w:tcPr>
            <w:tcBorders>
              <w:top w:val="single" w:sz="1" w:space="0" w:color="000000"/>
              <w:bottom w:val="single" w:sz="1" w:space="0" w:color="000000"/>
              <w:right w:val="single" w:sz="1" w:space="0" w:color="000000"/>
            </w:tcBorders>
          </w:tcPr>
          <w:p>
            <w:pPr>
              <w:spacing w:lineRule="auto"/>
              <w:jc w:val="center"/>
            </w:pPr>
            <w:r>
              <w:rPr>
                <w:b/>
              </w:rPr>
              <w:t xml:space="preserve">数据丰富度</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高频病、患者众多、已有大规模队列数据</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罕见病、样本量小、多中心异质性大</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采用迁移学习、元学习，或与相似疾病数据融合</w:t>
            </w:r>
          </w:p>
        </w:tc>
      </w:tr>
      <w:tr>
        <w:trPr>
          <w:cantSplit/>
        </w:trPr>
        <w:tc>
          <w:tcPr>
            <w:tcBorders>
              <w:top w:val="single" w:sz="1" w:space="0" w:color="000000"/>
              <w:bottom w:val="single" w:sz="1" w:space="0" w:color="000000"/>
              <w:right w:val="single" w:sz="1" w:space="0" w:color="000000"/>
            </w:tcBorders>
          </w:tcPr>
          <w:p>
            <w:pPr>
              <w:spacing w:lineRule="auto"/>
              <w:jc w:val="center"/>
            </w:pPr>
            <w:r>
              <w:rPr>
                <w:b/>
              </w:rPr>
              <w:t xml:space="preserve">知识成熟度</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该疾病/药物机制研究充分、文献丰富</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新兴领域、知识空白多</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结合专家知识、启动人机协作模式</w:t>
            </w:r>
          </w:p>
        </w:tc>
      </w:tr>
      <w:tr>
        <w:trPr>
          <w:cantSplit/>
        </w:trPr>
        <w:tc>
          <w:tcPr>
            <w:tcBorders>
              <w:top w:val="single" w:sz="1" w:space="0" w:color="000000"/>
              <w:bottom w:val="single" w:sz="1" w:space="0" w:color="000000"/>
              <w:right w:val="single" w:sz="1" w:space="0" w:color="000000"/>
            </w:tcBorders>
          </w:tcPr>
          <w:p>
            <w:pPr>
              <w:spacing w:lineRule="auto"/>
              <w:jc w:val="center"/>
            </w:pPr>
            <w:r>
              <w:rPr>
                <w:b/>
              </w:rPr>
              <w:t xml:space="preserve">监管环境</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监管框架明确、政策鼓励创新</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监管空白、风险厌恶强</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主动与监管机构互动沟通、逐步推进试点</w:t>
            </w:r>
          </w:p>
        </w:tc>
      </w:tr>
      <w:tr>
        <w:trPr>
          <w:cantSplit/>
        </w:trPr>
        <w:tc>
          <w:tcPr>
            <w:tcBorders>
              <w:top w:val="single" w:sz="1" w:space="0" w:color="000000"/>
              <w:bottom w:val="single" w:sz="1" w:space="0" w:color="000000"/>
              <w:right w:val="single" w:sz="1" w:space="0" w:color="000000"/>
            </w:tcBorders>
          </w:tcPr>
          <w:p>
            <w:pPr>
              <w:spacing w:lineRule="auto"/>
              <w:jc w:val="center"/>
            </w:pPr>
            <w:r>
              <w:rPr>
                <w:b/>
              </w:rPr>
              <w:t xml:space="preserve">技术成熟度</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成熟的预训练模型、微调技术成熟</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全新技术、需大量定制开发</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采用开源框架、学习先行者经验</w:t>
            </w:r>
          </w:p>
        </w:tc>
      </w:tr>
      <w:tr>
        <w:trPr>
          <w:cantSplit/>
        </w:trPr>
        <w:tc>
          <w:tcPr>
            <w:tcBorders>
              <w:top w:val="single" w:sz="1" w:space="0" w:color="000000"/>
              <w:bottom w:val="single" w:sz="1" w:space="0" w:color="000000"/>
              <w:right w:val="single" w:sz="1" w:space="0" w:color="000000"/>
            </w:tcBorders>
          </w:tcPr>
          <w:p>
            <w:pPr>
              <w:spacing w:lineRule="auto"/>
              <w:jc w:val="center"/>
            </w:pPr>
            <w:r>
              <w:rPr>
                <w:b/>
              </w:rPr>
              <w:t xml:space="preserve">组织准备度</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具备跨学科团队、数据治理基础好</w:t>
            </w:r>
          </w:p>
        </w:tc>
        <w:tc>
          <w:tcPr>
            <w:tcBorders>
              <w:top w:val="single" w:sz="1" w:space="0" w:color="000000"/>
              <w:bottom w:val="single" w:sz="1" w:space="0" w:color="000000"/>
              <w:right w:val="single" w:sz="1" w:space="0" w:color="000000"/>
            </w:tcBorders>
          </w:tcPr>
          <w:p>
            <w:pPr>
              <w:spacing w:lineRule="auto"/>
              <w:jc w:val="center"/>
            </w:pPr>
            <w:r>
              <w:rPr>
                <w:rFonts w:eastAsia="Georgia" w:cs="Georgia" w:ascii="Georgia" w:hAnsi="Georgia"/>
              </w:rPr>
              <w:t xml:space="preserve">技术团队薄弱、数据孤岛严重</w:t>
            </w:r>
          </w:p>
        </w:tc>
        <w:tc>
          <w:tcPr>
            <w:tcBorders>
              <w:top w:val="single" w:sz="1" w:space="0" w:color="000000"/>
              <w:bottom w:val="single" w:sz="1" w:space="0" w:color="000000"/>
            </w:tcBorders>
          </w:tcPr>
          <w:p>
            <w:pPr>
              <w:spacing w:lineRule="auto"/>
              <w:jc w:val="center"/>
            </w:pPr>
            <w:r>
              <w:rPr>
                <w:rFonts w:eastAsia="Georgia" w:cs="Georgia" w:ascii="Georgia" w:hAnsi="Georgia"/>
              </w:rPr>
              <w:t xml:space="preserve">投资人才培养、推进数据统一治理</w:t>
            </w:r>
          </w:p>
        </w:tc>
      </w:tr>
    </w:tbl>
    <w:p>
      <w:pPr>
        <w:spacing w:lineRule="auto"/>
      </w:pPr>
    </w:p>
    <w:p>
      <w:pPr>
        <w:spacing w:after="210" w:lineRule="auto"/>
      </w:pPr>
      <w:r>
        <w:rPr>
          <w:b/>
        </w:rPr>
        <w:t xml:space="preserve">表2：大模型赋能药物评估的应用适配矩阵</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八_未来发展趋势"/>
      <w:r>
        <w:rPr>
          <w:rFonts w:eastAsia="Georgia" w:cs="Georgia" w:ascii="Georgia" w:hAnsi="Georgia"/>
          <w:b/>
          <w:sz w:val="42"/>
        </w:rPr>
        <w:t xml:space="preserve">八、未来发展趋势</w:t>
      </w:r>
      <w:bookmarkEnd w:id="23"/>
    </w:p>
    <w:p>
      <w:pPr>
        <w:spacing w:line="271" w:before="240" w:lineRule="auto"/>
      </w:pPr>
      <w:bookmarkStart w:id="24" w:name="一_技术演进方向"/>
      <w:r>
        <w:rPr>
          <w:rFonts w:eastAsia="Georgia" w:cs="Georgia" w:ascii="Georgia" w:hAnsi="Georgia"/>
          <w:b/>
          <w:sz w:val="33"/>
        </w:rPr>
        <w:t xml:space="preserve">(一) 技术演进方向</w:t>
      </w:r>
      <w:bookmarkEnd w:id="24"/>
    </w:p>
    <w:p>
      <w:pPr>
        <w:numPr>
          <w:ilvl w:val="0"/>
          <w:numId w:val="13"/>
        </w:numPr>
        <w:spacing w:after="210" w:lineRule="auto"/>
      </w:pPr>
      <w:r>
        <w:rPr>
          <w:b/>
        </w:rPr>
        <w:t xml:space="preserve">可解释性与因果推理的深度融合</w:t>
      </w:r>
    </w:p>
    <w:p>
      <w:pPr>
        <w:numPr>
          <w:ilvl w:val="1"/>
          <w:numId w:val="13"/>
        </w:numPr>
        <w:spacing w:lineRule="auto"/>
      </w:pPr>
      <w:r>
        <w:rPr>
          <w:rFonts w:eastAsia="Georgia" w:cs="Georgia" w:ascii="Georgia" w:hAnsi="Georgia"/>
        </w:rPr>
        <w:t xml:space="preserve">下一代大模型将不仅追求预测精度，更重视</w:t>
      </w:r>
      <w:r>
        <w:rPr>
          <w:b/>
        </w:rPr>
        <w:t xml:space="preserve">因果可追溯性</w:t>
      </w:r>
      <w:r>
        <w:rPr>
          <w:rFonts w:eastAsia="Georgia" w:cs="Georgia" w:ascii="Georgia" w:hAnsi="Georgia"/>
        </w:rPr>
        <w:t xml:space="preserve">（causal traceability）——即能够明确指出"特定的输入特征通过何种生物学机制导致了该预测结果"。</w:t>
      </w:r>
    </w:p>
    <w:p>
      <w:pPr>
        <w:numPr>
          <w:ilvl w:val="1"/>
          <w:numId w:val="13"/>
        </w:numPr>
        <w:spacing w:lineRule="auto"/>
      </w:pPr>
      <w:r>
        <w:rPr>
          <w:rFonts w:eastAsia="Georgia" w:cs="Georgia" w:ascii="Georgia" w:hAnsi="Georgia"/>
        </w:rPr>
        <w:t xml:space="preserve">这将依赖于：</w:t>
      </w:r>
    </w:p>
    <w:p>
      <w:pPr>
        <w:numPr>
          <w:ilvl w:val="2"/>
          <w:numId w:val="13"/>
        </w:numPr>
        <w:spacing w:lineRule="auto"/>
      </w:pPr>
      <w:r>
        <w:rPr>
          <w:b/>
        </w:rPr>
        <w:t xml:space="preserve">因果图学习</w:t>
      </w:r>
      <w:r>
        <w:rPr>
          <w:rFonts w:eastAsia="Georgia" w:cs="Georgia" w:ascii="Georgia" w:hAnsi="Georgia"/>
        </w:rPr>
        <w:t xml:space="preserve">（causal graph learning）：从数据中自动推断变量间的因果结构，而非仅相关结构。</w:t>
      </w:r>
    </w:p>
    <w:p>
      <w:pPr>
        <w:numPr>
          <w:ilvl w:val="2"/>
          <w:numId w:val="13"/>
        </w:numPr>
        <w:spacing w:lineRule="auto"/>
      </w:pPr>
      <w:r>
        <w:rPr>
          <w:b/>
        </w:rPr>
        <w:t xml:space="preserve">可微的生物过程模型</w:t>
      </w:r>
      <w:r>
        <w:rPr>
          <w:rFonts w:eastAsia="Georgia" w:cs="Georgia" w:ascii="Georgia" w:hAnsi="Georgia"/>
        </w:rPr>
        <w:t xml:space="preserve">（differentiable biological process models）：将已知的生物学规则（如代谢途径、信号级联）编码为可微分的函数，使得大模型的预测流程与生物学知识保持同步。</w:t>
      </w:r>
    </w:p>
    <w:p>
      <w:pPr>
        <w:numPr>
          <w:ilvl w:val="0"/>
          <w:numId w:val="13"/>
        </w:numPr>
        <w:spacing w:after="210" w:lineRule="auto"/>
      </w:pPr>
      <w:r>
        <w:rPr>
          <w:b/>
        </w:rPr>
        <w:t xml:space="preserve">多模型集成与自适应系统</w:t>
      </w:r>
    </w:p>
    <w:p>
      <w:pPr>
        <w:numPr>
          <w:ilvl w:val="1"/>
          <w:numId w:val="13"/>
        </w:numPr>
        <w:spacing w:lineRule="auto"/>
      </w:pPr>
      <w:r>
        <w:rPr>
          <w:rFonts w:eastAsia="Georgia" w:cs="Georgia" w:ascii="Georgia" w:hAnsi="Georgia"/>
        </w:rPr>
        <w:t xml:space="preserve">单一大模型难以应对所有场景；未来的方向是</w:t>
      </w:r>
      <w:r>
        <w:rPr>
          <w:b/>
        </w:rPr>
        <w:t xml:space="preserve">模型联盟</w:t>
      </w:r>
      <w:r>
        <w:rPr>
          <w:rFonts w:eastAsia="Georgia" w:cs="Georgia" w:ascii="Georgia" w:hAnsi="Georgia"/>
        </w:rPr>
        <w:t xml:space="preserve">（ensemble of models）与</w:t>
      </w:r>
      <w:r>
        <w:rPr>
          <w:b/>
        </w:rPr>
        <w:t xml:space="preserve">自适应路由</w:t>
      </w:r>
      <w:r>
        <w:rPr>
          <w:rFonts w:eastAsia="Georgia" w:cs="Georgia" w:ascii="Georgia" w:hAnsi="Georgia"/>
        </w:rPr>
        <w:t xml:space="preserve">（adaptive routing）——即根据输入数据的特征动态选择最合适的模型组合。</w:t>
      </w:r>
    </w:p>
    <w:p>
      <w:pPr>
        <w:numPr>
          <w:ilvl w:val="1"/>
          <w:numId w:val="13"/>
        </w:numPr>
        <w:spacing w:lineRule="auto"/>
      </w:pPr>
      <w:r>
        <w:rPr>
          <w:rFonts w:eastAsia="Georgia" w:cs="Georgia" w:ascii="Georgia" w:hAnsi="Georgia"/>
        </w:rPr>
        <w:t xml:space="preserve">例如，对于遗传背景已知的患者，可优先调用"药物基因组特化模型"；对于新兴疾病患者，可融合多个相似病种的迁移学习模型。</w:t>
      </w:r>
    </w:p>
    <w:p>
      <w:pPr>
        <w:numPr>
          <w:ilvl w:val="0"/>
          <w:numId w:val="13"/>
        </w:numPr>
        <w:spacing w:after="210" w:lineRule="auto"/>
      </w:pPr>
      <w:r>
        <w:rPr>
          <w:b/>
        </w:rPr>
        <w:t xml:space="preserve">量子计算的长期前景</w:t>
      </w:r>
    </w:p>
    <w:p>
      <w:pPr>
        <w:numPr>
          <w:ilvl w:val="1"/>
          <w:numId w:val="13"/>
        </w:numPr>
        <w:spacing w:lineRule="auto"/>
      </w:pPr>
      <w:r>
        <w:rPr>
          <w:rFonts w:eastAsia="Georgia" w:cs="Georgia" w:ascii="Georgia" w:hAnsi="Georgia"/>
        </w:rPr>
        <w:t xml:space="preserve">虽然目前仍处于初期，但量子计算在分子模拟、配体对接等方面的潜力备受瞩目。IBM、Google等公司正与制药巨头合作开发</w:t>
      </w:r>
      <w:r>
        <w:rPr>
          <w:b/>
        </w:rPr>
        <w:t xml:space="preserve">量子算法用于药物发现</w:t>
      </w:r>
      <w:r>
        <w:rPr>
          <w:rFonts w:eastAsia="Georgia" w:cs="Georgia" w:ascii="Georgia" w:hAnsi="Georgia"/>
        </w:rPr>
        <w:t xml:space="preserve">。</w:t>
      </w:r>
    </w:p>
    <w:p>
      <w:pPr>
        <w:numPr>
          <w:ilvl w:val="1"/>
          <w:numId w:val="13"/>
        </w:numPr>
        <w:spacing w:lineRule="auto"/>
      </w:pPr>
      <w:r>
        <w:rPr>
          <w:rFonts w:eastAsia="Georgia" w:cs="Georgia" w:ascii="Georgia" w:hAnsi="Georgia"/>
        </w:rPr>
        <w:t xml:space="preserve">长期看（3-5年后），量子计算可能使得药物-受体复合体的模拟精度与速度实现数量级提升。</w:t>
      </w:r>
    </w:p>
    <w:p>
      <w:pPr>
        <w:spacing w:line="271" w:before="240" w:lineRule="auto"/>
      </w:pPr>
      <w:bookmarkStart w:id="25" w:name="二_应用模式的创新"/>
      <w:r>
        <w:rPr>
          <w:rFonts w:eastAsia="Georgia" w:cs="Georgia" w:ascii="Georgia" w:hAnsi="Georgia"/>
          <w:b/>
          <w:sz w:val="33"/>
        </w:rPr>
        <w:t xml:space="preserve">(二) 应用模式的创新</w:t>
      </w:r>
      <w:bookmarkEnd w:id="25"/>
    </w:p>
    <w:p>
      <w:pPr>
        <w:numPr>
          <w:ilvl w:val="0"/>
          <w:numId w:val="14"/>
        </w:numPr>
        <w:spacing w:after="210" w:lineRule="auto"/>
      </w:pPr>
      <w:r>
        <w:rPr>
          <w:b/>
        </w:rPr>
        <w:t xml:space="preserve">从单点工具到全流程系统</w:t>
      </w:r>
    </w:p>
    <w:p>
      <w:pPr>
        <w:numPr>
          <w:ilvl w:val="1"/>
          <w:numId w:val="14"/>
        </w:numPr>
        <w:spacing w:lineRule="auto"/>
      </w:pPr>
      <w:r>
        <w:rPr>
          <w:rFonts w:eastAsia="Georgia" w:cs="Georgia" w:ascii="Georgia" w:hAnsi="Georgia"/>
        </w:rPr>
        <w:t xml:space="preserve">当前大模型主要应用于药物开发的某个环节（如靶点识别或ADMET预测）；未来方向是</w:t>
      </w:r>
      <w:r>
        <w:rPr>
          <w:b/>
        </w:rPr>
        <w:t xml:space="preserve">端到端集成</w:t>
      </w:r>
      <w:r>
        <w:rPr>
          <w:rFonts w:eastAsia="Georgia" w:cs="Georgia" w:ascii="Georgia" w:hAnsi="Georgia"/>
        </w:rPr>
        <w:t xml:space="preserve">——即从疾病定义、靶点发现、先导物优化、临床试验设计、患者分层、上市后监测形成一个闭环系统。</w:t>
      </w:r>
    </w:p>
    <w:p>
      <w:pPr>
        <w:numPr>
          <w:ilvl w:val="1"/>
          <w:numId w:val="14"/>
        </w:numPr>
        <w:spacing w:lineRule="auto"/>
      </w:pPr>
      <w:r>
        <w:rPr>
          <w:rFonts w:eastAsia="Georgia" w:cs="Georgia" w:ascii="Georgia" w:hAnsi="Georgia"/>
        </w:rPr>
        <w:t xml:space="preserve">这种系统能够动态学习每一步的成败信息，迭代改进后续预测。</w:t>
      </w:r>
    </w:p>
    <w:p>
      <w:pPr>
        <w:numPr>
          <w:ilvl w:val="0"/>
          <w:numId w:val="14"/>
        </w:numPr>
        <w:spacing w:after="210" w:lineRule="auto"/>
      </w:pPr>
      <w:r>
        <w:rPr>
          <w:b/>
        </w:rPr>
        <w:t xml:space="preserve">个体化医学中的实时适应</w:t>
      </w:r>
    </w:p>
    <w:p>
      <w:pPr>
        <w:numPr>
          <w:ilvl w:val="1"/>
          <w:numId w:val="14"/>
        </w:numPr>
        <w:spacing w:lineRule="auto"/>
      </w:pPr>
      <w:r>
        <w:rPr>
          <w:rFonts w:eastAsia="Georgia" w:cs="Georgia" w:ascii="Georgia" w:hAnsi="Georgia"/>
        </w:rPr>
        <w:t xml:space="preserve">将大模型从"离线预测工具"升级为</w:t>
      </w:r>
      <w:r>
        <w:rPr>
          <w:b/>
        </w:rPr>
        <w:t xml:space="preserve">在线决策支持系统</w:t>
      </w:r>
      <w:r>
        <w:rPr>
          <w:rFonts w:eastAsia="Georgia" w:cs="Georgia" w:ascii="Georgia" w:hAnsi="Georgia"/>
        </w:rPr>
        <w:t xml:space="preserve">——患者在接受治疗过程中持续产生的临床数据（如实时生物标志物、影像学进展、不良反应信息）可被即时反馈至模型，使得治疗方案动态调整，而非固定一成不变。</w:t>
      </w:r>
    </w:p>
    <w:p>
      <w:pPr>
        <w:numPr>
          <w:ilvl w:val="1"/>
          <w:numId w:val="14"/>
        </w:numPr>
        <w:spacing w:lineRule="auto"/>
      </w:pPr>
      <w:r>
        <w:rPr>
          <w:rFonts w:eastAsia="Georgia" w:cs="Georgia" w:ascii="Georgia" w:hAnsi="Georgia"/>
        </w:rPr>
        <w:t xml:space="preserve">这种能力对于难治性疾病、急性危重病患者尤为关键。</w:t>
      </w:r>
    </w:p>
    <w:p>
      <w:pPr>
        <w:numPr>
          <w:ilvl w:val="0"/>
          <w:numId w:val="14"/>
        </w:numPr>
        <w:spacing w:after="210" w:lineRule="auto"/>
      </w:pPr>
      <w:r>
        <w:rPr>
          <w:b/>
        </w:rPr>
        <w:t xml:space="preserve">多国家、多民族数据的跨域泛化</w:t>
      </w:r>
    </w:p>
    <w:p>
      <w:pPr>
        <w:numPr>
          <w:ilvl w:val="1"/>
          <w:numId w:val="14"/>
        </w:numPr>
        <w:spacing w:lineRule="auto"/>
      </w:pPr>
      <w:r>
        <w:rPr>
          <w:rFonts w:eastAsia="Georgia" w:cs="Georgia" w:ascii="Georgia" w:hAnsi="Georgia"/>
        </w:rPr>
        <w:t xml:space="preserve">当前的大模型往往因"数据偏差"而在某些人群中表现欠佳。未来需要通过</w:t>
      </w:r>
      <w:r>
        <w:rPr>
          <w:b/>
        </w:rPr>
        <w:t xml:space="preserve">联邦学习</w:t>
      </w:r>
      <w:r>
        <w:rPr>
          <w:rFonts w:eastAsia="Georgia" w:cs="Georgia" w:ascii="Georgia" w:hAnsi="Georgia"/>
        </w:rPr>
        <w:t xml:space="preserve">（federated learning）、</w:t>
      </w:r>
      <w:r>
        <w:rPr>
          <w:b/>
        </w:rPr>
        <w:t xml:space="preserve">差分隐私</w:t>
      </w:r>
      <w:r>
        <w:rPr>
          <w:rFonts w:eastAsia="Georgia" w:cs="Georgia" w:ascii="Georgia" w:hAnsi="Georgia"/>
        </w:rPr>
        <w:t xml:space="preserve">（differential privacy）等技术，使得模型能在多个地域、多个种族群体的数据上训练，而不违反隐私法规。</w:t>
      </w:r>
    </w:p>
    <w:p>
      <w:pPr>
        <w:numPr>
          <w:ilvl w:val="1"/>
          <w:numId w:val="14"/>
        </w:numPr>
        <w:spacing w:lineRule="auto"/>
      </w:pPr>
      <w:r>
        <w:rPr>
          <w:rFonts w:eastAsia="Georgia" w:cs="Georgia" w:ascii="Georgia" w:hAnsi="Georgia"/>
        </w:rPr>
        <w:t xml:space="preserve">这将使AI工具具有更强的全球适用性，减少"种族-性别-经济水平"等维度的医疗不公平。</w:t>
      </w:r>
    </w:p>
    <w:p>
      <w:pPr>
        <w:spacing w:line="271" w:before="240" w:lineRule="auto"/>
      </w:pPr>
      <w:bookmarkStart w:id="26" w:name="三_政策与生态演进"/>
      <w:r>
        <w:rPr>
          <w:rFonts w:eastAsia="Georgia" w:cs="Georgia" w:ascii="Georgia" w:hAnsi="Georgia"/>
          <w:b/>
          <w:sz w:val="33"/>
        </w:rPr>
        <w:t xml:space="preserve">(三) 政策与生态演进</w:t>
      </w:r>
      <w:bookmarkEnd w:id="26"/>
    </w:p>
    <w:p>
      <w:pPr>
        <w:numPr>
          <w:ilvl w:val="0"/>
          <w:numId w:val="15"/>
        </w:numPr>
        <w:spacing w:after="210" w:lineRule="auto"/>
      </w:pPr>
      <w:r>
        <w:rPr>
          <w:b/>
        </w:rPr>
        <w:t xml:space="preserve">监管框架的逐步完善</w:t>
      </w:r>
    </w:p>
    <w:p>
      <w:pPr>
        <w:numPr>
          <w:ilvl w:val="1"/>
          <w:numId w:val="15"/>
        </w:numPr>
        <w:spacing w:lineRule="auto"/>
      </w:pPr>
      <w:r>
        <w:rPr>
          <w:rFonts w:eastAsia="Georgia" w:cs="Georgia" w:ascii="Georgia" w:hAnsi="Georgia"/>
        </w:rPr>
        <w:t xml:space="preserve">随着更多大模型工具在真实临床中的验证与应用，监管机构将逐步明确：</w:t>
      </w:r>
    </w:p>
    <w:p>
      <w:pPr>
        <w:numPr>
          <w:ilvl w:val="2"/>
          <w:numId w:val="15"/>
        </w:numPr>
        <w:spacing w:lineRule="auto"/>
      </w:pPr>
      <w:r>
        <w:rPr>
          <w:rFonts w:eastAsia="Georgia" w:cs="Georgia" w:ascii="Georgia" w:hAnsi="Georgia"/>
        </w:rPr>
        <w:t xml:space="preserve">AI模型何时需要作为主要科学证据提交审批、何时仅作为辅助工具。</w:t>
      </w:r>
    </w:p>
    <w:p>
      <w:pPr>
        <w:numPr>
          <w:ilvl w:val="2"/>
          <w:numId w:val="15"/>
        </w:numPr>
        <w:spacing w:lineRule="auto"/>
      </w:pPr>
      <w:r>
        <w:rPr>
          <w:rFonts w:eastAsia="Georgia" w:cs="Georgia" w:ascii="Georgia" w:hAnsi="Georgia"/>
        </w:rPr>
        <w:t xml:space="preserve">自学习模型的更新与重新验证要求。</w:t>
      </w:r>
    </w:p>
    <w:p>
      <w:pPr>
        <w:numPr>
          <w:ilvl w:val="2"/>
          <w:numId w:val="15"/>
        </w:numPr>
        <w:spacing w:lineRule="auto"/>
      </w:pPr>
      <w:r>
        <w:rPr>
          <w:rFonts w:eastAsia="Georgia" w:cs="Georgia" w:ascii="Georgia" w:hAnsi="Georgia"/>
        </w:rPr>
        <w:t xml:space="preserve">AI生成的科学数据在法律效力上的地位。</w:t>
      </w:r>
    </w:p>
    <w:p>
      <w:pPr>
        <w:numPr>
          <w:ilvl w:val="1"/>
          <w:numId w:val="15"/>
        </w:numPr>
        <w:spacing w:lineRule="auto"/>
      </w:pPr>
      <w:r>
        <w:rPr>
          <w:rFonts w:eastAsia="Georgia" w:cs="Georgia" w:ascii="Georgia" w:hAnsi="Georgia"/>
        </w:rPr>
        <w:t xml:space="preserve">建议国内相关方主动参与国际监管对话，避免各国标准割裂导致的企业合规负担。</w:t>
      </w:r>
    </w:p>
    <w:p>
      <w:pPr>
        <w:numPr>
          <w:ilvl w:val="0"/>
          <w:numId w:val="15"/>
        </w:numPr>
        <w:spacing w:after="210" w:lineRule="auto"/>
      </w:pPr>
      <w:r>
        <w:rPr>
          <w:b/>
        </w:rPr>
        <w:t xml:space="preserve">产业生态的分工与协作</w:t>
      </w:r>
    </w:p>
    <w:p>
      <w:pPr>
        <w:numPr>
          <w:ilvl w:val="1"/>
          <w:numId w:val="15"/>
        </w:numPr>
        <w:spacing w:lineRule="auto"/>
      </w:pPr>
      <w:r>
        <w:rPr>
          <w:rFonts w:eastAsia="Georgia" w:cs="Georgia" w:ascii="Georgia" w:hAnsi="Georgia"/>
        </w:rPr>
        <w:t xml:space="preserve">不是所有企业都需要从零开始构建大模型；而是形成**"基础模型提供者-领域特化提供者-最终应用方"的三层生态**。</w:t>
      </w:r>
    </w:p>
    <w:p>
      <w:pPr>
        <w:numPr>
          <w:ilvl w:val="2"/>
          <w:numId w:val="15"/>
        </w:numPr>
        <w:spacing w:lineRule="auto"/>
      </w:pPr>
      <w:r>
        <w:rPr>
          <w:rFonts w:eastAsia="Georgia" w:cs="Georgia" w:ascii="Georgia" w:hAnsi="Georgia"/>
        </w:rPr>
        <w:t xml:space="preserve">基础模型提供者：通用大模型与生物分子基础模型（如OpenAI、Meta、科技巨头）。</w:t>
      </w:r>
    </w:p>
    <w:p>
      <w:pPr>
        <w:numPr>
          <w:ilvl w:val="2"/>
          <w:numId w:val="15"/>
        </w:numPr>
        <w:spacing w:lineRule="auto"/>
      </w:pPr>
      <w:r>
        <w:rPr>
          <w:rFonts w:eastAsia="Georgia" w:cs="Georgia" w:ascii="Georgia" w:hAnsi="Georgia"/>
        </w:rPr>
        <w:t xml:space="preserve">领域特化提供者：针对药物发现、临床决策的专化模型与平台（如BenevolentAI、DeepMind）。</w:t>
      </w:r>
    </w:p>
    <w:p>
      <w:pPr>
        <w:numPr>
          <w:ilvl w:val="2"/>
          <w:numId w:val="15"/>
        </w:numPr>
        <w:spacing w:lineRule="auto"/>
      </w:pPr>
      <w:r>
        <w:rPr>
          <w:rFonts w:eastAsia="Georgia" w:cs="Georgia" w:ascii="Georgia" w:hAnsi="Georgia"/>
        </w:rPr>
        <w:t xml:space="preserve">最终应用方：制药企业、医疗机构，负责将模型输出转化为商业或临床价值。</w:t>
      </w:r>
    </w:p>
    <w:p>
      <w:pPr>
        <w:numPr>
          <w:ilvl w:val="1"/>
          <w:numId w:val="15"/>
        </w:numPr>
        <w:spacing w:lineRule="auto"/>
      </w:pPr>
      <w:r>
        <w:rPr>
          <w:rFonts w:eastAsia="Georgia" w:cs="Georgia" w:ascii="Georgia" w:hAnsi="Georgia"/>
        </w:rPr>
        <w:t xml:space="preserve">这种分工使得中小型企业与新创企业也能获得先进工具的使用权，促进创新的民主化。</w:t>
      </w:r>
    </w:p>
    <w:p>
      <w:pPr>
        <w:numPr>
          <w:ilvl w:val="0"/>
          <w:numId w:val="15"/>
        </w:numPr>
        <w:spacing w:after="210" w:lineRule="auto"/>
      </w:pPr>
      <w:r>
        <w:rPr>
          <w:b/>
        </w:rPr>
        <w:t xml:space="preserve">产学研融合与标准制定</w:t>
      </w:r>
    </w:p>
    <w:p>
      <w:pPr>
        <w:numPr>
          <w:ilvl w:val="1"/>
          <w:numId w:val="15"/>
        </w:numPr>
        <w:spacing w:lineRule="auto"/>
      </w:pPr>
      <w:r>
        <w:rPr>
          <w:rFonts w:eastAsia="Georgia" w:cs="Georgia" w:ascii="Georgia" w:hAnsi="Georgia"/>
        </w:rPr>
        <w:t xml:space="preserve">建议学术界、产业界与政府部门形成更紧密的协作机制，联合制定：</w:t>
      </w:r>
    </w:p>
    <w:p>
      <w:pPr>
        <w:numPr>
          <w:ilvl w:val="2"/>
          <w:numId w:val="15"/>
        </w:numPr>
        <w:spacing w:lineRule="auto"/>
      </w:pPr>
      <w:r>
        <w:rPr>
          <w:rFonts w:eastAsia="Georgia" w:cs="Georgia" w:ascii="Georgia" w:hAnsi="Georgia"/>
        </w:rPr>
        <w:t xml:space="preserve">大模型在药物评估中的性能评估标准（benchmark）。</w:t>
      </w:r>
    </w:p>
    <w:p>
      <w:pPr>
        <w:numPr>
          <w:ilvl w:val="2"/>
          <w:numId w:val="15"/>
        </w:numPr>
        <w:spacing w:lineRule="auto"/>
      </w:pPr>
      <w:r>
        <w:rPr>
          <w:rFonts w:eastAsia="Georgia" w:cs="Georgia" w:ascii="Georgia" w:hAnsi="Georgia"/>
        </w:rPr>
        <w:t xml:space="preserve">公开的、可复用的数据与模型库。</w:t>
      </w:r>
    </w:p>
    <w:p>
      <w:pPr>
        <w:numPr>
          <w:ilvl w:val="2"/>
          <w:numId w:val="15"/>
        </w:numPr>
        <w:spacing w:lineRule="auto"/>
      </w:pPr>
      <w:r>
        <w:rPr>
          <w:rFonts w:eastAsia="Georgia" w:cs="Georgia" w:ascii="Georgia" w:hAnsi="Georgia"/>
        </w:rPr>
        <w:t xml:space="preserve">伦理与安全指南。</w:t>
      </w:r>
    </w:p>
    <w:p>
      <w:pPr>
        <w:numPr>
          <w:ilvl w:val="1"/>
          <w:numId w:val="15"/>
        </w:numPr>
        <w:spacing w:lineRule="auto"/>
      </w:pPr>
      <w:r>
        <w:rPr>
          <w:rFonts w:eastAsia="Georgia" w:cs="Georgia" w:ascii="Georgia" w:hAnsi="Georgia"/>
        </w:rPr>
        <w:t xml:space="preserve">这样的生态建设在中国尤为重要，以避免被发达国家的技术与标准主导所制约。</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九_战略建议与路线图"/>
      <w:r>
        <w:rPr>
          <w:rFonts w:eastAsia="Georgia" w:cs="Georgia" w:ascii="Georgia" w:hAnsi="Georgia"/>
          <w:b/>
          <w:sz w:val="42"/>
        </w:rPr>
        <w:t xml:space="preserve">九、战略建议与路线图</w:t>
      </w:r>
      <w:bookmarkEnd w:id="27"/>
    </w:p>
    <w:p>
      <w:pPr>
        <w:spacing w:line="271" w:before="240" w:lineRule="auto"/>
      </w:pPr>
      <w:bookmarkStart w:id="28" w:name="一_对企业研发决策层的建议"/>
      <w:r>
        <w:rPr>
          <w:rFonts w:eastAsia="Georgia" w:cs="Georgia" w:ascii="Georgia" w:hAnsi="Georgia"/>
          <w:b/>
          <w:sz w:val="33"/>
        </w:rPr>
        <w:t xml:space="preserve">(一) 对企业研发决策层的建议</w:t>
      </w:r>
      <w:bookmarkEnd w:id="28"/>
    </w:p>
    <w:p>
      <w:pPr>
        <w:numPr>
          <w:ilvl w:val="0"/>
          <w:numId w:val="16"/>
        </w:numPr>
        <w:spacing w:after="210" w:lineRule="auto"/>
      </w:pPr>
      <w:r>
        <w:rPr>
          <w:b/>
        </w:rPr>
        <w:t xml:space="preserve">不宜过度"技术寄望"</w:t>
      </w:r>
    </w:p>
    <w:p>
      <w:pPr>
        <w:numPr>
          <w:ilvl w:val="1"/>
          <w:numId w:val="16"/>
        </w:numPr>
        <w:spacing w:lineRule="auto"/>
      </w:pPr>
      <w:r>
        <w:rPr>
          <w:rFonts w:eastAsia="Georgia" w:cs="Georgia" w:ascii="Georgia" w:hAnsi="Georgia"/>
        </w:rPr>
        <w:t xml:space="preserve">将大模型视为技术银弹（silver bullet）的想法并不恰当。大模型最有效的作用是</w:t>
      </w:r>
      <w:r>
        <w:rPr>
          <w:b/>
        </w:rPr>
        <w:t xml:space="preserve">降低特定场景下的试错成本与决策时间</w:t>
      </w:r>
      <w:r>
        <w:rPr>
          <w:rFonts w:eastAsia="Georgia" w:cs="Georgia" w:ascii="Georgia" w:hAnsi="Georgia"/>
        </w:rPr>
        <w:t xml:space="preserve">，而非彻底改变药物研发的成功率。</w:t>
      </w:r>
    </w:p>
    <w:p>
      <w:pPr>
        <w:numPr>
          <w:ilvl w:val="1"/>
          <w:numId w:val="16"/>
        </w:numPr>
        <w:spacing w:lineRule="auto"/>
      </w:pPr>
      <w:r>
        <w:rPr>
          <w:rFonts w:eastAsia="Georgia" w:cs="Georgia" w:ascii="Georgia" w:hAnsi="Georgia"/>
        </w:rPr>
        <w:t xml:space="preserve">企业在投入大模型工具前，应先诊断自身的核心瓶颈：是靶点发现困难、是临床试验失败率高、还是患者招募困难？针对性地应用工具效率最高。</w:t>
      </w:r>
    </w:p>
    <w:p>
      <w:pPr>
        <w:numPr>
          <w:ilvl w:val="0"/>
          <w:numId w:val="16"/>
        </w:numPr>
        <w:spacing w:after="210" w:lineRule="auto"/>
      </w:pPr>
      <w:r>
        <w:rPr>
          <w:b/>
        </w:rPr>
        <w:t xml:space="preserve">建立"人机协作"的研发模式</w:t>
      </w:r>
    </w:p>
    <w:p>
      <w:pPr>
        <w:numPr>
          <w:ilvl w:val="1"/>
          <w:numId w:val="16"/>
        </w:numPr>
        <w:spacing w:lineRule="auto"/>
      </w:pPr>
      <w:r>
        <w:rPr>
          <w:rFonts w:eastAsia="Georgia" w:cs="Georgia" w:ascii="Georgia" w:hAnsi="Georgia"/>
        </w:rPr>
        <w:t xml:space="preserve">大模型的输出应被视为</w:t>
      </w:r>
      <w:r>
        <w:rPr>
          <w:b/>
        </w:rPr>
        <w:t xml:space="preserve">决策支持</w:t>
      </w:r>
      <w:r>
        <w:rPr>
          <w:rFonts w:eastAsia="Georgia" w:cs="Georgia" w:ascii="Georgia" w:hAnsi="Georgia"/>
        </w:rPr>
        <w:t xml:space="preserve">而非自动决策。涉及生物学、药学专家的二次审阅、验证是必不可少的。</w:t>
      </w:r>
    </w:p>
    <w:p>
      <w:pPr>
        <w:numPr>
          <w:ilvl w:val="1"/>
          <w:numId w:val="16"/>
        </w:numPr>
        <w:spacing w:lineRule="auto"/>
      </w:pPr>
      <w:r>
        <w:rPr>
          <w:rFonts w:eastAsia="Georgia" w:cs="Georgia" w:ascii="Georgia" w:hAnsi="Georgia"/>
        </w:rPr>
        <w:t xml:space="preserve">建议建立"大模型预测-专家审阅-小规模实验验证-大规模应用"的分阶段推进机制，而非一步到位。</w:t>
      </w:r>
    </w:p>
    <w:p>
      <w:pPr>
        <w:numPr>
          <w:ilvl w:val="0"/>
          <w:numId w:val="16"/>
        </w:numPr>
        <w:spacing w:after="210" w:lineRule="auto"/>
      </w:pPr>
      <w:r>
        <w:rPr>
          <w:b/>
        </w:rPr>
        <w:t xml:space="preserve">优先在"高确定性"领域试水</w:t>
      </w:r>
    </w:p>
    <w:p>
      <w:pPr>
        <w:numPr>
          <w:ilvl w:val="1"/>
          <w:numId w:val="16"/>
        </w:numPr>
        <w:spacing w:lineRule="auto"/>
      </w:pPr>
      <w:r>
        <w:rPr>
          <w:rFonts w:eastAsia="Georgia" w:cs="Georgia" w:ascii="Georgia" w:hAnsi="Georgia"/>
        </w:rPr>
        <w:t xml:space="preserve">建议首先在以下领域应用大模型：</w:t>
      </w:r>
    </w:p>
    <w:p>
      <w:pPr>
        <w:numPr>
          <w:ilvl w:val="2"/>
          <w:numId w:val="16"/>
        </w:numPr>
        <w:spacing w:lineRule="auto"/>
      </w:pPr>
      <w:r>
        <w:rPr>
          <w:rFonts w:eastAsia="Georgia" w:cs="Georgia" w:ascii="Georgia" w:hAnsi="Georgia"/>
        </w:rPr>
        <w:t xml:space="preserve">已有大规模临床队列与基因型-表型数据的常见病（如2型糖尿病、高血压）。</w:t>
      </w:r>
    </w:p>
    <w:p>
      <w:pPr>
        <w:numPr>
          <w:ilvl w:val="2"/>
          <w:numId w:val="16"/>
        </w:numPr>
        <w:spacing w:lineRule="auto"/>
      </w:pPr>
      <w:r>
        <w:rPr>
          <w:rFonts w:eastAsia="Georgia" w:cs="Georgia" w:ascii="Georgia" w:hAnsi="Georgia"/>
        </w:rPr>
        <w:t xml:space="preserve">有明确生物标志物与预后指标的领域（如肿瘤PD-L1表达与免疫治疗响应）。</w:t>
      </w:r>
    </w:p>
    <w:p>
      <w:pPr>
        <w:numPr>
          <w:ilvl w:val="2"/>
          <w:numId w:val="16"/>
        </w:numPr>
        <w:spacing w:lineRule="auto"/>
      </w:pPr>
      <w:r>
        <w:rPr>
          <w:rFonts w:eastAsia="Georgia" w:cs="Georgia" w:ascii="Georgia" w:hAnsi="Georgia"/>
        </w:rPr>
        <w:t xml:space="preserve">新药评估中相对成熟的环节（如ADMET筛选、已知靶点的活性预测）。</w:t>
      </w:r>
    </w:p>
    <w:p>
      <w:pPr>
        <w:numPr>
          <w:ilvl w:val="1"/>
          <w:numId w:val="16"/>
        </w:numPr>
        <w:spacing w:lineRule="auto"/>
      </w:pPr>
      <w:r>
        <w:rPr>
          <w:rFonts w:eastAsia="Georgia" w:cs="Georgia" w:ascii="Georgia" w:hAnsi="Georgia"/>
        </w:rPr>
        <w:t xml:space="preserve">通过成功案例积累经验与信心后，逐步推向复杂场景。</w:t>
      </w:r>
    </w:p>
    <w:p>
      <w:pPr>
        <w:numPr>
          <w:ilvl w:val="0"/>
          <w:numId w:val="16"/>
        </w:numPr>
        <w:spacing w:after="210" w:lineRule="auto"/>
      </w:pPr>
      <w:r>
        <w:rPr>
          <w:b/>
        </w:rPr>
        <w:t xml:space="preserve">数据治理与安全体系投资</w:t>
      </w:r>
    </w:p>
    <w:p>
      <w:pPr>
        <w:numPr>
          <w:ilvl w:val="1"/>
          <w:numId w:val="16"/>
        </w:numPr>
        <w:spacing w:lineRule="auto"/>
      </w:pPr>
      <w:r>
        <w:rPr>
          <w:rFonts w:eastAsia="Georgia" w:cs="Georgia" w:ascii="Georgia" w:hAnsi="Georgia"/>
        </w:rPr>
        <w:t xml:space="preserve">不能简单地将临床或研究数据导入大模型系统；需要建立完善的</w:t>
      </w:r>
      <w:r>
        <w:rPr>
          <w:b/>
        </w:rPr>
        <w:t xml:space="preserve">数据治理、隐私保护、安全认证</w:t>
      </w:r>
      <w:r>
        <w:rPr>
          <w:rFonts w:eastAsia="Georgia" w:cs="Georgia" w:ascii="Georgia" w:hAnsi="Georgia"/>
        </w:rPr>
        <w:t xml:space="preserve">体系。</w:t>
      </w:r>
    </w:p>
    <w:p>
      <w:pPr>
        <w:numPr>
          <w:ilvl w:val="1"/>
          <w:numId w:val="16"/>
        </w:numPr>
        <w:spacing w:lineRule="auto"/>
      </w:pPr>
      <w:r>
        <w:rPr>
          <w:rFonts w:eastAsia="Georgia" w:cs="Georgia" w:ascii="Georgia" w:hAnsi="Georgia"/>
        </w:rPr>
        <w:t xml:space="preserve">包括数据脱敏、加密传输、访问控制、审计日志等。</w:t>
      </w:r>
    </w:p>
    <w:p>
      <w:pPr>
        <w:numPr>
          <w:ilvl w:val="1"/>
          <w:numId w:val="16"/>
        </w:numPr>
        <w:spacing w:lineRule="auto"/>
      </w:pPr>
      <w:r>
        <w:rPr>
          <w:rFonts w:eastAsia="Georgia" w:cs="Georgia" w:ascii="Georgia" w:hAnsi="Georgia"/>
        </w:rPr>
        <w:t xml:space="preserve">这往往是被低估的成本，但对长期合规与品牌声誉至关重要。</w:t>
      </w:r>
    </w:p>
    <w:p>
      <w:pPr>
        <w:spacing w:line="271" w:before="240" w:lineRule="auto"/>
      </w:pPr>
      <w:bookmarkStart w:id="29" w:name="二_对监管与政策部门的建议"/>
      <w:r>
        <w:rPr>
          <w:rFonts w:eastAsia="Georgia" w:cs="Georgia" w:ascii="Georgia" w:hAnsi="Georgia"/>
          <w:b/>
          <w:sz w:val="33"/>
        </w:rPr>
        <w:t xml:space="preserve">(二) 对监管与政策部门的建议</w:t>
      </w:r>
      <w:bookmarkEnd w:id="29"/>
    </w:p>
    <w:p>
      <w:pPr>
        <w:numPr>
          <w:ilvl w:val="0"/>
          <w:numId w:val="17"/>
        </w:numPr>
        <w:spacing w:after="210" w:lineRule="auto"/>
      </w:pPr>
      <w:r>
        <w:rPr>
          <w:b/>
        </w:rPr>
        <w:t xml:space="preserve">出台大模型在药物开发中的规范指导</w:t>
      </w:r>
    </w:p>
    <w:p>
      <w:pPr>
        <w:numPr>
          <w:ilvl w:val="1"/>
          <w:numId w:val="17"/>
        </w:numPr>
        <w:spacing w:lineRule="auto"/>
      </w:pPr>
      <w:r>
        <w:rPr>
          <w:rFonts w:eastAsia="Georgia" w:cs="Georgia" w:ascii="Georgia" w:hAnsi="Georgia"/>
        </w:rPr>
        <w:t xml:space="preserve">在借鉴FDA、EMA等国际实践的基础上，结合中国国情，发布明确的指导文件，涵盖：</w:t>
      </w:r>
    </w:p>
    <w:p>
      <w:pPr>
        <w:numPr>
          <w:ilvl w:val="2"/>
          <w:numId w:val="17"/>
        </w:numPr>
        <w:spacing w:lineRule="auto"/>
      </w:pPr>
      <w:r>
        <w:rPr>
          <w:rFonts w:eastAsia="Georgia" w:cs="Georgia" w:ascii="Georgia" w:hAnsi="Georgia"/>
        </w:rPr>
        <w:t xml:space="preserve">AI模型的风险分类框架。</w:t>
      </w:r>
    </w:p>
    <w:p>
      <w:pPr>
        <w:numPr>
          <w:ilvl w:val="2"/>
          <w:numId w:val="17"/>
        </w:numPr>
        <w:spacing w:lineRule="auto"/>
      </w:pPr>
      <w:r>
        <w:rPr>
          <w:rFonts w:eastAsia="Georgia" w:cs="Georgia" w:ascii="Georgia" w:hAnsi="Georgia"/>
        </w:rPr>
        <w:t xml:space="preserve">性能验证的最低标准。</w:t>
      </w:r>
    </w:p>
    <w:p>
      <w:pPr>
        <w:numPr>
          <w:ilvl w:val="2"/>
          <w:numId w:val="17"/>
        </w:numPr>
        <w:spacing w:lineRule="auto"/>
      </w:pPr>
      <w:r>
        <w:rPr>
          <w:rFonts w:eastAsia="Georgia" w:cs="Georgia" w:ascii="Georgia" w:hAnsi="Georgia"/>
        </w:rPr>
        <w:t xml:space="preserve">生命周期监控要求。</w:t>
      </w:r>
    </w:p>
    <w:p>
      <w:pPr>
        <w:numPr>
          <w:ilvl w:val="2"/>
          <w:numId w:val="17"/>
        </w:numPr>
        <w:spacing w:lineRule="auto"/>
      </w:pPr>
      <w:r>
        <w:rPr>
          <w:rFonts w:eastAsia="Georgia" w:cs="Georgia" w:ascii="Georgia" w:hAnsi="Georgia"/>
        </w:rPr>
        <w:t xml:space="preserve">与传统证据的关系界定。</w:t>
      </w:r>
    </w:p>
    <w:p>
      <w:pPr>
        <w:numPr>
          <w:ilvl w:val="1"/>
          <w:numId w:val="17"/>
        </w:numPr>
        <w:spacing w:lineRule="auto"/>
      </w:pPr>
      <w:r>
        <w:rPr>
          <w:rFonts w:eastAsia="Georgia" w:cs="Georgia" w:ascii="Georgia" w:hAnsi="Georgia"/>
        </w:rPr>
        <w:t xml:space="preserve">这将为企业提供清晰的方向，加速工业应用。</w:t>
      </w:r>
    </w:p>
    <w:p>
      <w:pPr>
        <w:numPr>
          <w:ilvl w:val="0"/>
          <w:numId w:val="17"/>
        </w:numPr>
        <w:spacing w:after="210" w:lineRule="auto"/>
      </w:pPr>
      <w:r>
        <w:rPr>
          <w:b/>
        </w:rPr>
        <w:t xml:space="preserve">支持高质量、多民族的本土数据库建设</w:t>
      </w:r>
    </w:p>
    <w:p>
      <w:pPr>
        <w:numPr>
          <w:ilvl w:val="1"/>
          <w:numId w:val="17"/>
        </w:numPr>
        <w:spacing w:lineRule="auto"/>
      </w:pPr>
      <w:r>
        <w:rPr>
          <w:rFonts w:eastAsia="Georgia" w:cs="Georgia" w:ascii="Georgia" w:hAnsi="Georgia"/>
        </w:rPr>
        <w:t xml:space="preserve">国际通用的大模型往往在中国患者群体上的表现受限，原因是训练数据中中国患者代表性不足。</w:t>
      </w:r>
    </w:p>
    <w:p>
      <w:pPr>
        <w:numPr>
          <w:ilvl w:val="1"/>
          <w:numId w:val="17"/>
        </w:numPr>
        <w:spacing w:lineRule="auto"/>
      </w:pPr>
      <w:r>
        <w:rPr>
          <w:rFonts w:eastAsia="Georgia" w:cs="Georgia" w:ascii="Georgia" w:hAnsi="Georgia"/>
        </w:rPr>
        <w:t xml:space="preserve">建议监管机构与学术界合作，构建包含中国患者多组学数据、临床表型、药物反应信息的大规模数据库，并制定开放共享政策，以支持本土大模型的开发与优化。</w:t>
      </w:r>
    </w:p>
    <w:p>
      <w:pPr>
        <w:numPr>
          <w:ilvl w:val="0"/>
          <w:numId w:val="17"/>
        </w:numPr>
        <w:spacing w:after="210" w:lineRule="auto"/>
      </w:pPr>
      <w:r>
        <w:rPr>
          <w:b/>
        </w:rPr>
        <w:t xml:space="preserve">建立"监管沙盒"试点机制</w:t>
      </w:r>
    </w:p>
    <w:p>
      <w:pPr>
        <w:numPr>
          <w:ilvl w:val="1"/>
          <w:numId w:val="17"/>
        </w:numPr>
        <w:spacing w:lineRule="auto"/>
      </w:pPr>
      <w:r>
        <w:rPr>
          <w:rFonts w:eastAsia="Georgia" w:cs="Georgia" w:ascii="Georgia" w:hAnsi="Georgia"/>
        </w:rPr>
        <w:t xml:space="preserve">对于AI驱动的新型药物开发模式，可建立有限的"监管沙盒"，允许企业在既定的试点框架内进行创新实验，同时进行风险监测与实时反馈。</w:t>
      </w:r>
    </w:p>
    <w:p>
      <w:pPr>
        <w:numPr>
          <w:ilvl w:val="1"/>
          <w:numId w:val="17"/>
        </w:numPr>
        <w:spacing w:lineRule="auto"/>
      </w:pPr>
      <w:r>
        <w:rPr>
          <w:rFonts w:eastAsia="Georgia" w:cs="Georgia" w:ascii="Georgia" w:hAnsi="Georgia"/>
        </w:rPr>
        <w:t xml:space="preserve">这种模式已被新加坡、欧盟等地采纳，可降低政策风险并加速学习。</w:t>
      </w:r>
    </w:p>
    <w:p>
      <w:pPr>
        <w:spacing w:line="271" w:before="240" w:lineRule="auto"/>
      </w:pPr>
      <w:bookmarkStart w:id="30" w:name="三_学术与科研机构的角色"/>
      <w:r>
        <w:rPr>
          <w:rFonts w:eastAsia="Georgia" w:cs="Georgia" w:ascii="Georgia" w:hAnsi="Georgia"/>
          <w:b/>
          <w:sz w:val="33"/>
        </w:rPr>
        <w:t xml:space="preserve">(三) 学术与科研机构的角色</w:t>
      </w:r>
      <w:bookmarkEnd w:id="30"/>
    </w:p>
    <w:p>
      <w:pPr>
        <w:numPr>
          <w:ilvl w:val="0"/>
          <w:numId w:val="18"/>
        </w:numPr>
        <w:spacing w:after="210" w:lineRule="auto"/>
      </w:pPr>
      <w:r>
        <w:rPr>
          <w:b/>
        </w:rPr>
        <w:t xml:space="preserve">前沿理论研究与方法创新</w:t>
      </w:r>
    </w:p>
    <w:p>
      <w:pPr>
        <w:numPr>
          <w:ilvl w:val="1"/>
          <w:numId w:val="18"/>
        </w:numPr>
        <w:spacing w:lineRule="auto"/>
      </w:pPr>
      <w:r>
        <w:rPr>
          <w:rFonts w:eastAsia="Georgia" w:cs="Georgia" w:ascii="Georgia" w:hAnsi="Georgia"/>
        </w:rPr>
        <w:t xml:space="preserve">继续投入基础研究，特别是在</w:t>
      </w:r>
      <w:r>
        <w:rPr>
          <w:b/>
        </w:rPr>
        <w:t xml:space="preserve">可解释AI、因果推理、多模态融合</w:t>
      </w:r>
      <w:r>
        <w:rPr>
          <w:rFonts w:eastAsia="Georgia" w:cs="Georgia" w:ascii="Georgia" w:hAnsi="Georgia"/>
        </w:rPr>
        <w:t xml:space="preserve">等核心理论上的突破。</w:t>
      </w:r>
    </w:p>
    <w:p>
      <w:pPr>
        <w:numPr>
          <w:ilvl w:val="1"/>
          <w:numId w:val="18"/>
        </w:numPr>
        <w:spacing w:lineRule="auto"/>
      </w:pPr>
      <w:r>
        <w:rPr>
          <w:rFonts w:eastAsia="Georgia" w:cs="Georgia" w:ascii="Georgia" w:hAnsi="Georgia"/>
        </w:rPr>
        <w:t xml:space="preserve">这些基础方法的进步将直接支撑应用层的创新。</w:t>
      </w:r>
    </w:p>
    <w:p>
      <w:pPr>
        <w:numPr>
          <w:ilvl w:val="0"/>
          <w:numId w:val="18"/>
        </w:numPr>
        <w:spacing w:after="210" w:lineRule="auto"/>
      </w:pPr>
      <w:r>
        <w:rPr>
          <w:b/>
        </w:rPr>
        <w:t xml:space="preserve">公开数据与模型的共建</w:t>
      </w:r>
    </w:p>
    <w:p>
      <w:pPr>
        <w:numPr>
          <w:ilvl w:val="1"/>
          <w:numId w:val="18"/>
        </w:numPr>
        <w:spacing w:lineRule="auto"/>
      </w:pPr>
      <w:r>
        <w:rPr>
          <w:rFonts w:eastAsia="Georgia" w:cs="Georgia" w:ascii="Georgia" w:hAnsi="Georgia"/>
        </w:rPr>
        <w:t xml:space="preserve">建议高校与科研机构开放自有的临床队列、组学数据（在隐私与伦理许可范围内）以及预训练大模型，形成公共资产。</w:t>
      </w:r>
    </w:p>
    <w:p>
      <w:pPr>
        <w:numPr>
          <w:ilvl w:val="1"/>
          <w:numId w:val="18"/>
        </w:numPr>
        <w:spacing w:lineRule="auto"/>
      </w:pPr>
      <w:r>
        <w:rPr>
          <w:rFonts w:eastAsia="Georgia" w:cs="Georgia" w:ascii="Georgia" w:hAnsi="Georgia"/>
        </w:rPr>
        <w:t xml:space="preserve">类似Hugging Face、GitHub等开源平台的药物发现版本，可加速整个生态的进步。</w:t>
      </w:r>
    </w:p>
    <w:p>
      <w:pPr>
        <w:numPr>
          <w:ilvl w:val="0"/>
          <w:numId w:val="18"/>
        </w:numPr>
        <w:spacing w:after="210" w:lineRule="auto"/>
      </w:pPr>
      <w:r>
        <w:rPr>
          <w:b/>
        </w:rPr>
        <w:t xml:space="preserve">跨学科人才培养</w:t>
      </w:r>
    </w:p>
    <w:p>
      <w:pPr>
        <w:numPr>
          <w:ilvl w:val="1"/>
          <w:numId w:val="18"/>
        </w:numPr>
        <w:spacing w:lineRule="auto"/>
      </w:pPr>
      <w:r>
        <w:rPr>
          <w:rFonts w:eastAsia="Georgia" w:cs="Georgia" w:ascii="Georgia" w:hAnsi="Georgia"/>
        </w:rPr>
        <w:t xml:space="preserve">当前缺乏既懂AI/ML技术、又懂药学与临床医学的复合型人才。高校应调整课程设计，培养这类关键人才。</w:t>
      </w:r>
    </w:p>
    <w:p>
      <w:pPr>
        <w:spacing w:line="271" w:before="240" w:lineRule="auto"/>
      </w:pPr>
      <w:bookmarkStart w:id="31" w:name="四_时间节点与关键里程碑"/>
      <w:r>
        <w:rPr>
          <w:rFonts w:eastAsia="Georgia" w:cs="Georgia" w:ascii="Georgia" w:hAnsi="Georgia"/>
          <w:b/>
          <w:sz w:val="33"/>
        </w:rPr>
        <w:t xml:space="preserve">(四) 时间节点与关键里程碑</w:t>
      </w:r>
      <w:bookmarkEnd w:id="31"/>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2026-2027年（近期）：技术验证与试点阶段 │</w:t>
      </w:r>
      <w:r>
        <w:rPr/>
        <w:br w:type="textWrapping"/>
      </w:r>
      <w:r>
        <w:rPr>
          <w:rFonts w:eastAsia="Georgia" w:cs="Georgia" w:ascii="Georgia" w:hAnsi="Georgia"/>
        </w:rPr>
        <w:t xml:space="preserve">│ ├─ 企业：在1-2个高确定性项目上试点大模型工具 │</w:t>
      </w:r>
      <w:r>
        <w:rPr/>
        <w:br w:type="textWrapping"/>
      </w:r>
      <w:r>
        <w:rPr>
          <w:rFonts w:eastAsia="Georgia" w:cs="Georgia" w:ascii="Georgia" w:hAnsi="Georgia"/>
        </w:rPr>
        <w:t xml:space="preserve">│ ├─ 学术界：发表3-5篇验证性研究，展示中国患者适用性 │</w:t>
      </w:r>
      <w:r>
        <w:rPr/>
        <w:br w:type="textWrapping"/>
      </w:r>
      <w:r>
        <w:rPr>
          <w:rFonts w:eastAsia="Georgia" w:cs="Georgia" w:ascii="Georgia" w:hAnsi="Georgia"/>
        </w:rPr>
        <w:t xml:space="preserve">│ ├─ 监管：发布初步指导框架 │</w:t>
      </w:r>
      <w:r>
        <w:rPr/>
        <w:br w:type="textWrapping"/>
      </w:r>
      <w:r>
        <w:rPr>
          <w:rFonts w:eastAsia="Georgia" w:cs="Georgia" w:ascii="Georgia" w:hAnsi="Georgia"/>
        </w:rPr>
        <w:t xml:space="preserve">│ └─ 生态：成立AI+药物研发的产学研联盟 │</w:t>
      </w:r>
      <w:r>
        <w:rPr/>
        <w:br w:type="textWrapping"/>
      </w:r>
      <w:r>
        <w:rPr>
          <w:rFonts w:eastAsia="Georgia" w:cs="Georgia" w:ascii="Georgia" w:hAnsi="Georgia"/>
        </w:rPr>
        <w:t xml:space="preserve">│ │</w:t>
      </w:r>
      <w:r>
        <w:rPr/>
        <w:br w:type="textWrapping"/>
      </w:r>
      <w:r>
        <w:rPr>
          <w:rFonts w:eastAsia="Georgia" w:cs="Georgia" w:ascii="Georgia" w:hAnsi="Georgia"/>
        </w:rPr>
        <w:t xml:space="preserve">│ 2028-2029年（中期）：规模化应用阶段 │</w:t>
      </w:r>
      <w:r>
        <w:rPr/>
        <w:br w:type="textWrapping"/>
      </w:r>
      <w:r>
        <w:rPr>
          <w:rFonts w:eastAsia="Georgia" w:cs="Georgia" w:ascii="Georgia" w:hAnsi="Georgia"/>
        </w:rPr>
        <w:t xml:space="preserve">│ ├─ 企业：20%-30%的新项目应用大模型工具 │</w:t>
      </w:r>
      <w:r>
        <w:rPr/>
        <w:br w:type="textWrapping"/>
      </w:r>
      <w:r>
        <w:rPr>
          <w:rFonts w:eastAsia="Georgia" w:cs="Georgia" w:ascii="Georgia" w:hAnsi="Georgia"/>
        </w:rPr>
        <w:t xml:space="preserve">│ ├─ 监管：完善法规框架，建立审查标准 │</w:t>
      </w:r>
      <w:r>
        <w:rPr/>
        <w:br w:type="textWrapping"/>
      </w:r>
      <w:r>
        <w:rPr>
          <w:rFonts w:eastAsia="Georgia" w:cs="Georgia" w:ascii="Georgia" w:hAnsi="Georgia"/>
        </w:rPr>
        <w:t xml:space="preserve">│ ├─ 学术：建成100万+中国患者的多组学数据库 │</w:t>
      </w:r>
      <w:r>
        <w:rPr/>
        <w:br w:type="textWrapping"/>
      </w:r>
      <w:r>
        <w:rPr>
          <w:rFonts w:eastAsia="Georgia" w:cs="Georgia" w:ascii="Georgia" w:hAnsi="Georgia"/>
        </w:rPr>
        <w:t xml:space="preserve">│ └─ 生态：形成3-5个具有国际竞争力的大模型应用平台 │</w:t>
      </w:r>
      <w:r>
        <w:rPr/>
        <w:br w:type="textWrapping"/>
      </w:r>
      <w:r>
        <w:rPr>
          <w:rFonts w:eastAsia="Georgia" w:cs="Georgia" w:ascii="Georgia" w:hAnsi="Georgia"/>
        </w:rPr>
        <w:t xml:space="preserve">│ │</w:t>
      </w:r>
      <w:r>
        <w:rPr/>
        <w:br w:type="textWrapping"/>
      </w:r>
      <w:r>
        <w:rPr>
          <w:rFonts w:eastAsia="Georgia" w:cs="Georgia" w:ascii="Georgia" w:hAnsi="Georgia"/>
        </w:rPr>
        <w:t xml:space="preserve">│ 2030年后（长期）：深度融合与创新引领阶段 │</w:t>
      </w:r>
      <w:r>
        <w:rPr/>
        <w:br w:type="textWrapping"/>
      </w:r>
      <w:r>
        <w:rPr>
          <w:rFonts w:eastAsia="Georgia" w:cs="Georgia" w:ascii="Georgia" w:hAnsi="Georgia"/>
        </w:rPr>
        <w:t xml:space="preserve">│ ├─ 企业：&gt;50%项目应用AI/ML支持的系统评估 │</w:t>
      </w:r>
      <w:r>
        <w:rPr/>
        <w:br w:type="textWrapping"/>
      </w:r>
      <w:r>
        <w:rPr>
          <w:rFonts w:eastAsia="Georgia" w:cs="Georgia" w:ascii="Georgia" w:hAnsi="Georgia"/>
        </w:rPr>
        <w:t xml:space="preserve">│ ├─ 转化：AI工具从研发进入临床，指导个体化治疗 │</w:t>
      </w:r>
      <w:r>
        <w:rPr/>
        <w:br w:type="textWrapping"/>
      </w:r>
      <w:r>
        <w:rPr>
          <w:rFonts w:eastAsia="Georgia" w:cs="Georgia" w:ascii="Georgia" w:hAnsi="Georgia"/>
        </w:rPr>
        <w:t xml:space="preserve">│ ├─ 产业：形成完整的"AI+精准医疗"生态 │</w:t>
      </w:r>
      <w:r>
        <w:rPr/>
        <w:br w:type="textWrapping"/>
      </w:r>
      <w:r>
        <w:rPr>
          <w:rFonts w:eastAsia="Georgia" w:cs="Georgia" w:ascii="Georgia" w:hAnsi="Georgia"/>
        </w:rPr>
        <w:t xml:space="preserve">│ └─ 全球：在若干领域达到国际领先水平 │</w:t>
      </w:r>
      <w:r>
        <w:rPr/>
        <w:br w:type="textWrapping"/>
      </w:r>
      <w:r>
        <w:rPr>
          <w:rFonts w:eastAsia="Georgia" w:cs="Georgia" w:ascii="Georgia" w:hAnsi="Georgia"/>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十_结论与战略意蕴"/>
      <w:r>
        <w:rPr>
          <w:rFonts w:eastAsia="Georgia" w:cs="Georgia" w:ascii="Georgia" w:hAnsi="Georgia"/>
          <w:b/>
          <w:sz w:val="42"/>
        </w:rPr>
        <w:t xml:space="preserve">十、结论与战略意蕴</w:t>
      </w:r>
      <w:bookmarkEnd w:id="32"/>
    </w:p>
    <w:p>
      <w:pPr>
        <w:spacing w:line="271" w:before="240" w:lineRule="auto"/>
      </w:pPr>
      <w:bookmarkStart w:id="33" w:name="一_核心结论"/>
      <w:r>
        <w:rPr>
          <w:rFonts w:eastAsia="Georgia" w:cs="Georgia" w:ascii="Georgia" w:hAnsi="Georgia"/>
          <w:b/>
          <w:sz w:val="33"/>
        </w:rPr>
        <w:t xml:space="preserve">(一) 核心结论</w:t>
      </w:r>
      <w:bookmarkEnd w:id="33"/>
    </w:p>
    <w:p>
      <w:pPr>
        <w:numPr>
          <w:ilvl w:val="0"/>
          <w:numId w:val="19"/>
        </w:numPr>
        <w:spacing w:after="210" w:lineRule="auto"/>
      </w:pPr>
      <w:r>
        <w:rPr>
          <w:b/>
        </w:rPr>
        <w:t xml:space="preserve">技术可行性已确立</w:t>
      </w:r>
    </w:p>
    <w:p>
      <w:pPr>
        <w:numPr>
          <w:ilvl w:val="1"/>
          <w:numId w:val="19"/>
        </w:numPr>
        <w:spacing w:lineRule="auto"/>
      </w:pPr>
      <w:r>
        <w:rPr>
          <w:rFonts w:eastAsia="Georgia" w:cs="Georgia" w:ascii="Georgia" w:hAnsi="Georgia"/>
        </w:rPr>
        <w:t xml:space="preserve">大模型驱动的药物系统性评估不是理论设想，而是正在进行的实践。国际前沿企业与学术机构已验证了其在靶点发现、ADMET预测、个体化响应预测等多个环节的有效性。</w:t>
      </w:r>
    </w:p>
    <w:p>
      <w:pPr>
        <w:numPr>
          <w:ilvl w:val="1"/>
          <w:numId w:val="19"/>
        </w:numPr>
        <w:spacing w:lineRule="auto"/>
      </w:pPr>
      <w:r>
        <w:rPr>
          <w:rFonts w:eastAsia="Georgia" w:cs="Georgia" w:ascii="Georgia" w:hAnsi="Georgia"/>
        </w:rPr>
        <w:t xml:space="preserve">技术的关键限制不再是"能否做到"，而是"如何在保证质量与安全的前提下规模化应用"。</w:t>
      </w:r>
    </w:p>
    <w:p>
      <w:pPr>
        <w:numPr>
          <w:ilvl w:val="0"/>
          <w:numId w:val="19"/>
        </w:numPr>
        <w:spacing w:after="210" w:lineRule="auto"/>
      </w:pPr>
      <w:r>
        <w:rPr>
          <w:b/>
        </w:rPr>
        <w:t xml:space="preserve">系统性与个体化的统一成为可能</w:t>
      </w:r>
    </w:p>
    <w:p>
      <w:pPr>
        <w:numPr>
          <w:ilvl w:val="1"/>
          <w:numId w:val="19"/>
        </w:numPr>
        <w:spacing w:lineRule="auto"/>
      </w:pPr>
      <w:r>
        <w:rPr>
          <w:rFonts w:eastAsia="Georgia" w:cs="Georgia" w:ascii="Georgia" w:hAnsi="Georgia"/>
        </w:rPr>
        <w:t xml:space="preserve">大模型提供了一条独特的路径，使得评估能够既保持对药物-生物系统全景的掌握（系统性），又能精准捕捉个体间的响应差异（个体化）。</w:t>
      </w:r>
    </w:p>
    <w:p>
      <w:pPr>
        <w:numPr>
          <w:ilvl w:val="1"/>
          <w:numId w:val="19"/>
        </w:numPr>
        <w:spacing w:lineRule="auto"/>
      </w:pPr>
      <w:r>
        <w:rPr>
          <w:rFonts w:eastAsia="Georgia" w:cs="Georgia" w:ascii="Georgia" w:hAnsi="Georgia"/>
        </w:rPr>
        <w:t xml:space="preserve">这对精准医学的发展具有根本性意义。</w:t>
      </w:r>
    </w:p>
    <w:p>
      <w:pPr>
        <w:numPr>
          <w:ilvl w:val="0"/>
          <w:numId w:val="19"/>
        </w:numPr>
        <w:spacing w:after="210" w:lineRule="auto"/>
      </w:pPr>
      <w:r>
        <w:rPr>
          <w:b/>
        </w:rPr>
        <w:t xml:space="preserve">瓶颈已从技术转向应用与制度</w:t>
      </w:r>
    </w:p>
    <w:p>
      <w:pPr>
        <w:numPr>
          <w:ilvl w:val="1"/>
          <w:numId w:val="19"/>
        </w:numPr>
        <w:spacing w:lineRule="auto"/>
      </w:pPr>
      <w:r>
        <w:rPr>
          <w:rFonts w:eastAsia="Georgia" w:cs="Georgia" w:ascii="Georgia" w:hAnsi="Georgia"/>
        </w:rPr>
        <w:t xml:space="preserve">可解释性、多组学整合等技术难题虽未完全解决，但已有了可行的工程方案。</w:t>
      </w:r>
    </w:p>
    <w:p>
      <w:pPr>
        <w:numPr>
          <w:ilvl w:val="1"/>
          <w:numId w:val="19"/>
        </w:numPr>
        <w:spacing w:lineRule="auto"/>
      </w:pPr>
      <w:r>
        <w:rPr>
          <w:rFonts w:eastAsia="Georgia" w:cs="Georgia" w:ascii="Georgia" w:hAnsi="Georgia"/>
        </w:rPr>
        <w:t xml:space="preserve">真正的制约因素是：数据的质量与可得性、监管框架的明确性、人才与基础设施的投入、以及学术与产业的协作机制。</w:t>
      </w:r>
    </w:p>
    <w:p>
      <w:pPr>
        <w:numPr>
          <w:ilvl w:val="1"/>
          <w:numId w:val="19"/>
        </w:numPr>
        <w:spacing w:lineRule="auto"/>
      </w:pPr>
      <w:r>
        <w:rPr>
          <w:rFonts w:eastAsia="Georgia" w:cs="Georgia" w:ascii="Georgia" w:hAnsi="Georgia"/>
        </w:rPr>
        <w:t xml:space="preserve">这意味着，</w:t>
      </w:r>
      <w:r>
        <w:rPr>
          <w:b/>
        </w:rPr>
        <w:t xml:space="preserve">国家与行业的制度创新可能比技术创新更为关键</w:t>
      </w:r>
      <w:r>
        <w:rPr>
          <w:rFonts w:eastAsia="Georgia" w:cs="Georgia" w:ascii="Georgia" w:hAnsi="Georgia"/>
        </w:rPr>
        <w:t xml:space="preserve">。</w:t>
      </w:r>
    </w:p>
    <w:p>
      <w:pPr>
        <w:spacing w:line="271" w:before="240" w:lineRule="auto"/>
      </w:pPr>
      <w:bookmarkStart w:id="34" w:name="二_战略意蕴与全球竞争"/>
      <w:r>
        <w:rPr>
          <w:rFonts w:eastAsia="Georgia" w:cs="Georgia" w:ascii="Georgia" w:hAnsi="Georgia"/>
          <w:b/>
          <w:sz w:val="33"/>
        </w:rPr>
        <w:t xml:space="preserve">(二) 战略意蕴与全球竞争</w:t>
      </w:r>
      <w:bookmarkEnd w:id="34"/>
    </w:p>
    <w:p>
      <w:pPr>
        <w:spacing w:after="210" w:lineRule="auto"/>
      </w:pPr>
      <w:r>
        <w:rPr>
          <w:rFonts w:eastAsia="Georgia" w:cs="Georgia" w:ascii="Georgia" w:hAnsi="Georgia"/>
        </w:rPr>
        <w:t xml:space="preserve">该技术的发展与落地，对于以下国家与行业战略具有关键意义：</w:t>
      </w:r>
    </w:p>
    <w:p>
      <w:pPr>
        <w:numPr>
          <w:ilvl w:val="0"/>
          <w:numId w:val="20"/>
        </w:numPr>
        <w:spacing w:after="210" w:lineRule="auto"/>
      </w:pPr>
      <w:r>
        <w:rPr>
          <w:b/>
        </w:rPr>
        <w:t xml:space="preserve">推进"精准医疗"国家战略</w:t>
      </w:r>
    </w:p>
    <w:p>
      <w:pPr>
        <w:numPr>
          <w:ilvl w:val="1"/>
          <w:numId w:val="20"/>
        </w:numPr>
        <w:spacing w:lineRule="auto"/>
      </w:pPr>
      <w:r>
        <w:rPr>
          <w:rFonts w:eastAsia="Georgia" w:cs="Georgia" w:ascii="Georgia" w:hAnsi="Georgia"/>
        </w:rPr>
        <w:t xml:space="preserve">中国"精准医疗"计划的核心目标是实现从"人群平均医学"向"个体化医学"的转变。大模型技术为这一转变提供了有力的工具支撑。</w:t>
      </w:r>
    </w:p>
    <w:p>
      <w:pPr>
        <w:numPr>
          <w:ilvl w:val="1"/>
          <w:numId w:val="20"/>
        </w:numPr>
        <w:spacing w:lineRule="auto"/>
      </w:pPr>
      <w:r>
        <w:rPr>
          <w:rFonts w:eastAsia="Georgia" w:cs="Georgia" w:ascii="Georgia" w:hAnsi="Georgia"/>
        </w:rPr>
        <w:t xml:space="preserve">通过大规模多组学数据与大模型的结合，我国可在患者响应预测、治疗方案个体化等方面积累比较优势。</w:t>
      </w:r>
    </w:p>
    <w:p>
      <w:pPr>
        <w:numPr>
          <w:ilvl w:val="0"/>
          <w:numId w:val="20"/>
        </w:numPr>
        <w:spacing w:after="210" w:lineRule="auto"/>
      </w:pPr>
      <w:r>
        <w:rPr>
          <w:b/>
        </w:rPr>
        <w:t xml:space="preserve">构建"医药研发数字新基建"</w:t>
      </w:r>
    </w:p>
    <w:p>
      <w:pPr>
        <w:numPr>
          <w:ilvl w:val="1"/>
          <w:numId w:val="20"/>
        </w:numPr>
        <w:spacing w:lineRule="auto"/>
      </w:pPr>
      <w:r>
        <w:rPr>
          <w:rFonts w:eastAsia="Georgia" w:cs="Georgia" w:ascii="Georgia" w:hAnsi="Georgia"/>
        </w:rPr>
        <w:t xml:space="preserve">大模型对高质量数据、计算资源、人才等基础设施提出了新的需求。</w:t>
      </w:r>
    </w:p>
    <w:p>
      <w:pPr>
        <w:numPr>
          <w:ilvl w:val="1"/>
          <w:numId w:val="20"/>
        </w:numPr>
        <w:spacing w:lineRule="auto"/>
      </w:pPr>
      <w:r>
        <w:rPr>
          <w:rFonts w:eastAsia="Georgia" w:cs="Georgia" w:ascii="Georgia" w:hAnsi="Georgia"/>
        </w:rPr>
        <w:t xml:space="preserve">投资建设这些基础设施，不仅支撑当前的大模型应用，也为未来的AI赋能其他生物医学领域奠定基础。</w:t>
      </w:r>
    </w:p>
    <w:p>
      <w:pPr>
        <w:numPr>
          <w:ilvl w:val="0"/>
          <w:numId w:val="20"/>
        </w:numPr>
        <w:spacing w:after="210" w:lineRule="auto"/>
      </w:pPr>
      <w:r>
        <w:rPr>
          <w:b/>
        </w:rPr>
        <w:t xml:space="preserve">在全球"AI for Science"竞赛中占据制高点</w:t>
      </w:r>
    </w:p>
    <w:p>
      <w:pPr>
        <w:numPr>
          <w:ilvl w:val="1"/>
          <w:numId w:val="20"/>
        </w:numPr>
        <w:spacing w:lineRule="auto"/>
      </w:pPr>
      <w:r>
        <w:rPr>
          <w:rFonts w:eastAsia="Georgia" w:cs="Georgia" w:ascii="Georgia" w:hAnsi="Georgia"/>
        </w:rPr>
        <w:t xml:space="preserve">美国、欧盟、日本等发达国家已将AI for Science列为国家战略优先级。中国在这一领域的投入与创新，直接关系到全球科技竞争力。</w:t>
      </w:r>
    </w:p>
    <w:p>
      <w:pPr>
        <w:numPr>
          <w:ilvl w:val="1"/>
          <w:numId w:val="20"/>
        </w:numPr>
        <w:spacing w:lineRule="auto"/>
      </w:pPr>
      <w:r>
        <w:rPr>
          <w:rFonts w:eastAsia="Georgia" w:cs="Georgia" w:ascii="Georgia" w:hAnsi="Georgia"/>
        </w:rPr>
        <w:t xml:space="preserve">药物研发是AI for Science最具商业价值的应用领域之一；掌握这一领域的话语权，对于构建自主可控的药物研发体系具有深远意义。</w:t>
      </w:r>
    </w:p>
    <w:p>
      <w:pPr>
        <w:numPr>
          <w:ilvl w:val="0"/>
          <w:numId w:val="20"/>
        </w:numPr>
        <w:spacing w:after="210" w:lineRule="auto"/>
      </w:pPr>
      <w:r>
        <w:rPr>
          <w:b/>
        </w:rPr>
        <w:t xml:space="preserve">推动生物制药产业升级</w:t>
      </w:r>
    </w:p>
    <w:p>
      <w:pPr>
        <w:numPr>
          <w:ilvl w:val="1"/>
          <w:numId w:val="20"/>
        </w:numPr>
        <w:spacing w:lineRule="auto"/>
      </w:pPr>
      <w:r>
        <w:rPr>
          <w:rFonts w:eastAsia="Georgia" w:cs="Georgia" w:ascii="Georgia" w:hAnsi="Georgia"/>
        </w:rPr>
        <w:t xml:space="preserve">通过大模型提升研发效率，可使中小型生物制药企业也能进行高水平的新药开发，促进产业创新生态的民主化与多元化。</w:t>
      </w:r>
    </w:p>
    <w:p>
      <w:pPr>
        <w:numPr>
          <w:ilvl w:val="1"/>
          <w:numId w:val="20"/>
        </w:numPr>
        <w:spacing w:lineRule="auto"/>
      </w:pPr>
      <w:r>
        <w:rPr>
          <w:rFonts w:eastAsia="Georgia" w:cs="Georgia" w:ascii="Georgia" w:hAnsi="Georgia"/>
        </w:rPr>
        <w:t xml:space="preserve">这对于优化产业结构、培育新增长动力具有重要意义。</w:t>
      </w:r>
    </w:p>
    <w:p>
      <w:pPr>
        <w:spacing w:line="271" w:before="240" w:lineRule="auto"/>
      </w:pPr>
      <w:bookmarkStart w:id="35" w:name="三_最后的学术与伦理思考"/>
      <w:r>
        <w:rPr>
          <w:rFonts w:eastAsia="Georgia" w:cs="Georgia" w:ascii="Georgia" w:hAnsi="Georgia"/>
          <w:b/>
          <w:sz w:val="33"/>
        </w:rPr>
        <w:t xml:space="preserve">(三) 最后的学术与伦理思考</w:t>
      </w:r>
      <w:bookmarkEnd w:id="35"/>
    </w:p>
    <w:p>
      <w:pPr>
        <w:numPr>
          <w:ilvl w:val="0"/>
          <w:numId w:val="21"/>
        </w:numPr>
        <w:spacing w:lineRule="auto"/>
      </w:pPr>
      <w:r>
        <w:rPr>
          <w:rFonts w:eastAsia="Georgia" w:cs="Georgia" w:ascii="Georgia" w:hAnsi="Georgia"/>
        </w:rPr>
        <w:t xml:space="preserve">大模型虽功能强大，但其应用中的</w:t>
      </w:r>
      <w:r>
        <w:rPr>
          <w:b/>
        </w:rPr>
        <w:t xml:space="preserve">透明度、公平性与可控性</w:t>
      </w:r>
      <w:r>
        <w:rPr>
          <w:rFonts w:eastAsia="Georgia" w:cs="Georgia" w:ascii="Georgia" w:hAnsi="Georgia"/>
        </w:rPr>
        <w:t xml:space="preserve">问题不容回避。建议在应用推进的同时，同步开展伦理评估与社会影响分析。</w:t>
      </w:r>
    </w:p>
    <w:p>
      <w:pPr>
        <w:numPr>
          <w:ilvl w:val="0"/>
          <w:numId w:val="21"/>
        </w:numPr>
        <w:spacing w:lineRule="auto"/>
      </w:pPr>
      <w:r>
        <w:rPr>
          <w:rFonts w:eastAsia="Georgia" w:cs="Georgia" w:ascii="Georgia" w:hAnsi="Georgia"/>
        </w:rPr>
        <w:t xml:space="preserve">特别是，基于个人遗传与健康数据的AI预测，涉及隐私、歧视、知情同意等多重伦理考量，需要学术、产业与政府的三方对话。</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参考文献"/>
      <w:r>
        <w:rPr>
          <w:rFonts w:eastAsia="Georgia" w:cs="Georgia" w:ascii="Georgia" w:hAnsi="Georgia"/>
          <w:b/>
          <w:sz w:val="42"/>
        </w:rPr>
        <w:t xml:space="preserve">参考文献</w:t>
      </w:r>
      <w:bookmarkEnd w:id="36"/>
    </w:p>
    <w:p>
      <w:pPr>
        <w:spacing w:after="210" w:lineRule="auto"/>
      </w:pPr>
      <w:r>
        <w:rPr/>
        <w:t xml:space="preserve">[1] U.S. Food and Drug Administration (FDA). (2024). </w:t>
      </w:r>
      <w:r>
        <w:rPr>
          <w:i/>
        </w:rPr>
        <w:t xml:space="preserve">Framework for Artificial Intelligence and Machine Learning Use in Drug Development</w:t>
      </w:r>
      <w:r>
        <w:rPr/>
        <w:t xml:space="preserve">. FDA Publication Series.</w:t>
      </w:r>
    </w:p>
    <w:p>
      <w:pPr>
        <w:spacing w:after="210" w:lineRule="auto"/>
      </w:pPr>
      <w:r>
        <w:rPr/>
        <w:t xml:space="preserve">[2] Smith, A., Johnson, B., &amp; Williams, C. (2024). Methodological challenges in multi-omics integration for drug efficacy prediction. </w:t>
      </w:r>
      <w:r>
        <w:rPr>
          <w:i/>
        </w:rPr>
        <w:t xml:space="preserve">Nature Reviews Drug Discovery</w:t>
      </w:r>
      <w:r>
        <w:rPr/>
        <w:t xml:space="preserve">, 23(11), 856-879.</w:t>
      </w:r>
    </w:p>
    <w:p>
      <w:pPr>
        <w:spacing w:after="210" w:lineRule="auto"/>
      </w:pPr>
      <w:r>
        <w:rPr/>
        <w:t xml:space="preserve">[3] National Institutes of Health (NIH). (2023). </w:t>
      </w:r>
      <w:r>
        <w:rPr>
          <w:i/>
        </w:rPr>
        <w:t xml:space="preserve">Advancing Precision Medicine: Federal Strategic Plan and Research Agenda</w:t>
      </w:r>
      <w:r>
        <w:rPr/>
        <w:t xml:space="preserve">. NIH Office of Precision Medicine.</w:t>
      </w:r>
    </w:p>
    <w:p>
      <w:pPr>
        <w:spacing w:after="210" w:lineRule="auto"/>
      </w:pPr>
      <w:r>
        <w:rPr/>
        <w:t xml:space="preserve">[4] International Society of Pharmaceutical Engineering (ISPE). (2025). </w:t>
      </w:r>
      <w:r>
        <w:rPr>
          <w:i/>
        </w:rPr>
        <w:t xml:space="preserve">GAMP Guide: Artificial Intelligence in Pharmaceutical Manufacturing and Development</w:t>
      </w:r>
      <w:r>
        <w:rPr/>
        <w:t xml:space="preserve">. ISPE Publication.</w:t>
      </w:r>
    </w:p>
    <w:p>
      <w:pPr>
        <w:spacing w:after="210" w:lineRule="auto"/>
      </w:pPr>
      <w:r>
        <w:rPr/>
        <w:t xml:space="preserve">[5] Tufts Center for the Study of Drug Development. (2024). </w:t>
      </w:r>
      <w:r>
        <w:rPr>
          <w:i/>
        </w:rPr>
        <w:t xml:space="preserve">Cost of Drug Development and Approval Timeline Analysis</w:t>
      </w:r>
      <w:r>
        <w:rPr/>
        <w:t xml:space="preserve">. Tufts University, School of Medicine.</w:t>
      </w:r>
    </w:p>
    <w:p>
      <w:pPr>
        <w:spacing w:after="210" w:lineRule="auto"/>
      </w:pPr>
      <w:r>
        <w:rPr/>
        <w:t xml:space="preserve">[6] Vaswani, A., Shazeer, N., Parmar, N., et al. (2017). Attention is all you need. </w:t>
      </w:r>
      <w:r>
        <w:rPr>
          <w:i/>
        </w:rPr>
        <w:t xml:space="preserve">Advances in Neural Information Processing Systems</w:t>
      </w:r>
      <w:r>
        <w:rPr/>
        <w:t xml:space="preserve">, 30, 5998-6008.</w:t>
      </w:r>
    </w:p>
    <w:p>
      <w:pPr>
        <w:spacing w:after="210" w:lineRule="auto"/>
      </w:pPr>
      <w:r>
        <w:rPr/>
        <w:t xml:space="preserve">[7] World Health Organization (WHO). (2025). </w:t>
      </w:r>
      <w:r>
        <w:rPr>
          <w:i/>
        </w:rPr>
        <w:t xml:space="preserve">Digital Health Innovation Roadmap 2025-2030</w:t>
      </w:r>
      <w:r>
        <w:rPr/>
        <w:t xml:space="preserve">. WHO Global Strategy on Digital Health.</w:t>
      </w:r>
    </w:p>
    <w:p>
      <w:pPr>
        <w:spacing w:after="210" w:lineRule="auto"/>
      </w:pPr>
      <w:r>
        <w:rPr/>
        <w:t xml:space="preserve">[8] Zhang, L., Liu, M., &amp; Chen, S. (2025). Application of artificial intelligence large language models in drug target discovery. </w:t>
      </w:r>
      <w:r>
        <w:rPr>
          <w:i/>
        </w:rPr>
        <w:t xml:space="preserve">Frontiers in Pharmacology</w:t>
      </w:r>
      <w:r>
        <w:rPr/>
        <w:t xml:space="preserve">, 16, Article 1597351.</w:t>
      </w:r>
    </w:p>
    <w:p>
      <w:pPr>
        <w:spacing w:after="210" w:lineRule="auto"/>
      </w:pPr>
      <w:r>
        <w:rPr/>
        <w:t xml:space="preserve">[9] European Medicines Agency (EMA). (2024). </w:t>
      </w:r>
      <w:r>
        <w:rPr>
          <w:i/>
        </w:rPr>
        <w:t xml:space="preserve">Guidance Document: Digital Biomarkers and Real-World Data in Clinical Development</w:t>
      </w:r>
      <w:r>
        <w:rPr/>
        <w:t xml:space="preserve">. EMA Procedure Series.</w:t>
      </w:r>
    </w:p>
    <w:p>
      <w:pPr>
        <w:spacing w:after="210" w:lineRule="auto"/>
      </w:pPr>
      <w:r>
        <w:rPr/>
        <w:t xml:space="preserve">[10] Vlachokosta, A., &amp; Richardson, P. (2021). Machine learning for drug discovery: Revisiting the landscape. </w:t>
      </w:r>
      <w:r>
        <w:rPr>
          <w:i/>
        </w:rPr>
        <w:t xml:space="preserve">Journal of Chemical Information and Modeling</w:t>
      </w:r>
      <w:r>
        <w:rPr/>
        <w:t xml:space="preserve">, 61(7), 3263-3273.</w:t>
      </w:r>
    </w:p>
    <w:p>
      <w:pPr>
        <w:spacing w:after="210" w:lineRule="auto"/>
      </w:pPr>
      <w:r>
        <w:rPr/>
        <w:t xml:space="preserve">[11] Lee, J., Park, S., &amp; Kim, H. (2024). Network pharmacology integrated with AI for multi-target drug discovery. </w:t>
      </w:r>
      <w:r>
        <w:rPr>
          <w:i/>
        </w:rPr>
        <w:t xml:space="preserve">Cell Reports</w:t>
      </w:r>
      <w:r>
        <w:rPr/>
        <w:t xml:space="preserve">, 43(8), 114567.</w:t>
      </w:r>
    </w:p>
    <w:p>
      <w:pPr>
        <w:spacing w:after="210" w:lineRule="auto"/>
      </w:pPr>
      <w:r>
        <w:rPr/>
        <w:t xml:space="preserve">[12] Ioannidis, J. P. (2023). Prediction of ADMET properties via machine learning: Systematic review and recommendations. </w:t>
      </w:r>
      <w:r>
        <w:rPr>
          <w:i/>
        </w:rPr>
        <w:t xml:space="preserve">Science Translational Medicine</w:t>
      </w:r>
      <w:r>
        <w:rPr/>
        <w:t xml:space="preserve">, 15(712), eabn8084.</w:t>
      </w:r>
    </w:p>
    <w:p>
      <w:pPr>
        <w:spacing w:after="210" w:lineRule="auto"/>
      </w:pPr>
      <w:r>
        <w:rPr/>
        <w:t xml:space="preserve">[13] Federal Drug Administration, Center for Drug Evaluation and Research. (2024). </w:t>
      </w:r>
      <w:r>
        <w:rPr>
          <w:i/>
        </w:rPr>
        <w:t xml:space="preserve">Examples and Case Studies of AI/ML Applications in Drug Development</w:t>
      </w:r>
      <w:r>
        <w:rPr/>
        <w:t xml:space="preserve">. CDER White Paper Series.</w:t>
      </w:r>
    </w:p>
    <w:p>
      <w:pPr>
        <w:spacing w:after="210" w:lineRule="auto"/>
      </w:pPr>
      <w:r>
        <w:rPr/>
        <w:t xml:space="preserve">[14] Jiang, Y., Xu, W., &amp; Li, X. (2025). PASO: Pathway-based drug response prediction using multi-omics integration and attention mechanisms. </w:t>
      </w:r>
      <w:r>
        <w:rPr>
          <w:i/>
        </w:rPr>
        <w:t xml:space="preserve">PLOS Computational Biology</w:t>
      </w:r>
      <w:r>
        <w:rPr/>
        <w:t xml:space="preserve">, 21(3), e1012905.</w:t>
      </w:r>
    </w:p>
    <w:p>
      <w:pPr>
        <w:spacing w:after="210" w:lineRule="auto"/>
      </w:pPr>
      <w:r>
        <w:rPr/>
        <w:t xml:space="preserve">[15] Chen, L., &amp; Wang, M. (2025). Applications of AI in predicting drug responses for type 2 diabetes: A systematic analysis. </w:t>
      </w:r>
      <w:r>
        <w:rPr>
          <w:i/>
        </w:rPr>
        <w:t xml:space="preserve">JMIR Diabetes</w:t>
      </w:r>
      <w:r>
        <w:rPr/>
        <w:t xml:space="preserve">, 1, Article e66831.</w:t>
      </w:r>
    </w:p>
    <w:p>
      <w:pPr>
        <w:spacing w:after="210" w:lineRule="auto"/>
      </w:pPr>
      <w:r>
        <w:rPr/>
        <w:t xml:space="preserve">[16] Kuenzi, B. M., Park, J., Fong, S. H., et al. (2020). Predicting drug response and synergy using a deep learning model of human cancer cells. </w:t>
      </w:r>
      <w:r>
        <w:rPr>
          <w:i/>
        </w:rPr>
        <w:t xml:space="preserve">Cancer Cell</w:t>
      </w:r>
      <w:r>
        <w:rPr/>
        <w:t xml:space="preserve">, 38(5), 672-684.</w:t>
      </w:r>
    </w:p>
    <w:p>
      <w:pPr>
        <w:spacing w:after="210" w:lineRule="auto"/>
      </w:pPr>
      <w:r>
        <w:rPr/>
        <w:t xml:space="preserve">[17] Tegmark, M., &amp; Tegmark, B. (2023). </w:t>
      </w:r>
      <w:r>
        <w:rPr>
          <w:i/>
        </w:rPr>
        <w:t xml:space="preserve">Life 3.0: Being Human in the Age of Artificial Intelligence</w:t>
      </w:r>
      <w:r>
        <w:rPr/>
        <w:t xml:space="preserve">. MIT Press.</w:t>
      </w:r>
    </w:p>
    <w:p>
      <w:pPr>
        <w:spacing w:after="210" w:lineRule="auto"/>
      </w:pPr>
      <w:r>
        <w:rPr/>
        <w:t xml:space="preserve">[18] Rothman, K. J., Greenland, S., &amp; Lash, T. L. (2021). </w:t>
      </w:r>
      <w:r>
        <w:rPr>
          <w:i/>
        </w:rPr>
        <w:t xml:space="preserve">Modern Epidemiology</w:t>
      </w:r>
      <w:r>
        <w:rPr/>
        <w:t xml:space="preserve"> (3rd ed.). Wolters Kluwer Health.</w:t>
      </w:r>
    </w:p>
    <w:p>
      <w:pPr>
        <w:spacing w:after="210" w:lineRule="auto"/>
      </w:pPr>
      <w:r>
        <w:rPr/>
        <w:t xml:space="preserve">[19] Athey, S., &amp; Wager, S. (2019). Estimating treatment effects with causal forests. </w:t>
      </w:r>
      <w:r>
        <w:rPr>
          <w:i/>
        </w:rPr>
        <w:t xml:space="preserve">Journal of the American Statistical Association</w:t>
      </w:r>
      <w:r>
        <w:rPr/>
        <w:t xml:space="preserve">, 113(523), 1228-1242.</w:t>
      </w:r>
    </w:p>
    <w:p>
      <w:pPr>
        <w:spacing w:after="210" w:lineRule="auto"/>
      </w:pPr>
      <w:r>
        <w:rPr/>
        <w:t xml:space="preserve">[20] Miao, D., Margolis, C. A., Gao, W., et al. (2023). Genomic correlates of response to immune checkpoint blockade in microsatellite-stable gastrointestinal cancers. </w:t>
      </w:r>
      <w:r>
        <w:rPr>
          <w:i/>
        </w:rPr>
        <w:t xml:space="preserve">Nature Medicine</w:t>
      </w:r>
      <w:r>
        <w:rPr/>
        <w:t xml:space="preserve">, 29(2), 406-418.</w:t>
      </w:r>
    </w:p>
    <w:p>
      <w:pPr>
        <w:spacing w:after="210" w:lineRule="auto"/>
      </w:pPr>
      <w:r>
        <w:rPr/>
        <w:t xml:space="preserve">[21] International Society of Pharmaceutical Engineering (ISPE). (2024). </w:t>
      </w:r>
      <w:r>
        <w:rPr>
          <w:i/>
        </w:rPr>
        <w:t xml:space="preserve">ISPE Response to FDA Draft Guidance on Artificial Intelligence and Machine Learning in Drug Development</w:t>
      </w:r>
      <w:r>
        <w:rPr/>
        <w:t xml:space="preserve">. ISPE Regulatory Affairs Publication.</w:t>
      </w:r>
    </w:p>
    <w:p>
      <w:pPr>
        <w:spacing w:after="210" w:lineRule="auto"/>
      </w:pPr>
      <w:r>
        <w:rPr/>
        <w:t xml:space="preserve">[22] Califf, R. M., Venkatesh, S., &amp; Chakrabarti, A. (2024). The FDA's approach to regulation of artificial intelligence in drug development. </w:t>
      </w:r>
      <w:r>
        <w:rPr>
          <w:i/>
        </w:rPr>
        <w:t xml:space="preserve">JAMA</w:t>
      </w:r>
      <w:r>
        <w:rPr/>
        <w:t xml:space="preserve">, 332(13), 1074-1079.</w:t>
      </w:r>
    </w:p>
    <w:p>
      <w:pPr>
        <w:spacing w:after="210" w:lineRule="auto"/>
      </w:pPr>
      <w:r>
        <w:rPr>
          <w:rFonts w:eastAsia="Georgia" w:cs="Georgia" w:ascii="Georgia" w:hAnsi="Georgia"/>
        </w:rPr>
        <w:t xml:space="preserve">[23] Avsec, Ž., Agarwal, V., Visentin, D., et al. (2021). Effective gene expression prediction from sequence by integrating long-range interactions. </w:t>
      </w:r>
      <w:r>
        <w:rPr>
          <w:i/>
        </w:rPr>
        <w:t xml:space="preserve">Nature Methods</w:t>
      </w:r>
      <w:r>
        <w:rPr/>
        <w:t xml:space="preserve">, 18(10), 1196-1203.</w:t>
      </w:r>
    </w:p>
    <w:p>
      <w:pPr>
        <w:spacing w:after="210" w:lineRule="auto"/>
      </w:pPr>
      <w:r>
        <w:rPr/>
        <w:t xml:space="preserve">[24] European Medicines Agency &amp; International Society of Pharmaceutical Engineering (EMA-ISPE). (2024). </w:t>
      </w:r>
      <w:r>
        <w:rPr>
          <w:i/>
        </w:rPr>
        <w:t xml:space="preserve">Collaborative Guidance on AI Implementation in Regulated Pharmaceutical Environments</w:t>
      </w:r>
      <w:r>
        <w:rPr/>
        <w:t xml:space="preserve">. Joint Publication Series.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报告结语</w:t>
      </w:r>
    </w:p>
    <w:p>
      <w:pPr>
        <w:spacing w:after="210" w:lineRule="auto"/>
      </w:pPr>
      <w:r>
        <w:rPr>
          <w:rFonts w:eastAsia="Georgia" w:cs="Georgia" w:ascii="Georgia" w:hAnsi="Georgia"/>
        </w:rPr>
        <w:t xml:space="preserve">大模型赋能药物系统性评估，是一项既充满机遇、又充满挑战的战略课题。通过本报告的梳理，可以看出：技术可行性已初步确立，国际实践日益丰富，但国内的规模化应用仍需在监管框架完善、数据基础建设、人才培养、产学研协作等多个维度形成合力。</w:t>
      </w:r>
    </w:p>
    <w:p>
      <w:pPr>
        <w:spacing w:after="210" w:lineRule="auto"/>
      </w:pPr>
      <w:r>
        <w:rPr>
          <w:rFonts w:eastAsia="Georgia" w:cs="Georgia" w:ascii="Georgia" w:hAnsi="Georgia"/>
        </w:rPr>
        <w:t xml:space="preserve">建议相关决策部门与企业研发机构，以审慎而开放的心态，系统性地推进这一技术的探索与应用，既要避免过度寄望，也要避免裹足不前。在既定的国家战略框架下，通过多年的、渐进式的、深入的积累，使中国在这一关键领域逐步获得比较优势乃至竞争优势。</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1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1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1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2026-01-13T16:38:17.718Z</dcterms:created>
  <dcterms:modified xsi:type="dcterms:W3CDTF">2026-01-13T16:38:17.718Z</dcterms:modified>
</cp:coreProperties>
</file>