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66"/>
        <w:spacing w:before="45" w:line="340" w:lineRule="auto"/>
        <w:jc w:val="both"/>
        <w:rPr/>
      </w:pPr>
      <w:r>
        <w:rPr>
          <w:spacing w:val="12"/>
        </w:rPr>
        <w:t>这份报告聚焦于1950年代至今中国大陆中国古代文学研究</w:t>
      </w:r>
      <w:r>
        <w:rPr>
          <w:spacing w:val="11"/>
        </w:rPr>
        <w:t>头部学者的知识背景差异调查。通过系</w:t>
      </w:r>
      <w:r>
        <w:rPr/>
        <w:t xml:space="preserve"> </w:t>
      </w:r>
      <w:r>
        <w:rPr>
          <w:spacing w:val="10"/>
        </w:rPr>
        <w:t>统梳理代表性学者的教育、职业、师承及院校环境，结合各时期政策与学术潮流，分析背景变迁</w:t>
      </w:r>
      <w:r>
        <w:rPr>
          <w:spacing w:val="17"/>
        </w:rPr>
        <w:t xml:space="preserve"> </w:t>
      </w:r>
      <w:r>
        <w:rPr>
          <w:spacing w:val="7"/>
        </w:rPr>
        <w:t>及其对研究范式的影响。</w:t>
      </w:r>
    </w:p>
    <w:p>
      <w:pPr>
        <w:spacing w:line="245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8" w:line="223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4"/>
        </w:rPr>
        <w:t>引言</w:t>
      </w:r>
    </w:p>
    <w:p>
      <w:pPr>
        <w:pStyle w:val="BodyText"/>
        <w:ind w:right="67"/>
        <w:spacing w:before="195" w:line="338" w:lineRule="auto"/>
        <w:rPr/>
      </w:pPr>
      <w:r>
        <w:rPr>
          <w:spacing w:val="12"/>
        </w:rPr>
        <w:t>中国古代文学研究作为中国语言文学的核心分支，自195</w:t>
      </w:r>
      <w:r>
        <w:rPr>
          <w:spacing w:val="11"/>
        </w:rPr>
        <w:t>0年代以来经历了从高度意识形态化到逐</w:t>
      </w:r>
      <w:r>
        <w:rPr/>
        <w:t xml:space="preserve"> </w:t>
      </w:r>
      <w:r>
        <w:rPr>
          <w:spacing w:val="13"/>
        </w:rPr>
        <w:t>步开放、多元，再到强调文化主体性的演变过程。头部学者(定义为：在国家级学会担任重要职</w:t>
      </w:r>
      <w:r>
        <w:rPr>
          <w:spacing w:val="6"/>
        </w:rPr>
        <w:t xml:space="preserve"> </w:t>
      </w:r>
      <w:r>
        <w:rPr>
          <w:spacing w:val="10"/>
        </w:rPr>
        <w:t>务、主持国家级重大项目、主编权威文学史或大型古籍整理项目、在北大、复旦、南大、社科院</w:t>
      </w:r>
      <w:r>
        <w:rPr>
          <w:spacing w:val="17"/>
        </w:rPr>
        <w:t xml:space="preserve"> </w:t>
      </w:r>
      <w:r>
        <w:rPr>
          <w:spacing w:val="13"/>
        </w:rPr>
        <w:t>等顶尖机构长期任职或毕业、其代表作被广泛引用或纳入高校核心教材的学者)知识背景的代际</w:t>
      </w:r>
      <w:r>
        <w:rPr>
          <w:spacing w:val="5"/>
        </w:rPr>
        <w:t xml:space="preserve"> </w:t>
      </w:r>
      <w:r>
        <w:rPr>
          <w:spacing w:val="11"/>
        </w:rPr>
        <w:t>差异，深刻反映了时代语境对学术知识结构的塑造。本报告选取约15-20位跨代际代表人物作为</w:t>
      </w:r>
      <w:r>
        <w:rPr>
          <w:spacing w:val="5"/>
        </w:rPr>
        <w:t xml:space="preserve">  </w:t>
      </w:r>
      <w:r>
        <w:rPr>
          <w:spacing w:val="10"/>
        </w:rPr>
        <w:t>样本，覆盖北京大学、复旦大学、南京大学、中国社会科学院文学研究所等主要机构，避免地域</w:t>
      </w:r>
      <w:r>
        <w:rPr>
          <w:spacing w:val="16"/>
        </w:rPr>
        <w:t xml:space="preserve"> </w:t>
      </w:r>
      <w:r>
        <w:rPr>
          <w:spacing w:val="19"/>
        </w:rPr>
        <w:t>与机构偏差。时间分期为：1950-1970年代(建国初期至文革)、1980-1990年代(改革开放初</w:t>
      </w:r>
      <w:r>
        <w:rPr>
          <w:spacing w:val="1"/>
        </w:rPr>
        <w:t xml:space="preserve">  </w:t>
      </w:r>
      <w:r>
        <w:rPr>
          <w:spacing w:val="19"/>
        </w:rPr>
        <w:t>期)、2000年至今(深化期与新时代)。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"/>
        <w:spacing w:before="97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4"/>
        </w:rPr>
        <w:t>文献综述</w:t>
      </w:r>
    </w:p>
    <w:p>
      <w:pPr>
        <w:pStyle w:val="BodyText"/>
        <w:ind w:right="70"/>
        <w:spacing w:before="231" w:line="331" w:lineRule="auto"/>
        <w:jc w:val="both"/>
        <w:rPr/>
      </w:pPr>
      <w:r>
        <w:rPr>
          <w:spacing w:val="13"/>
        </w:rPr>
        <w:t>现有研究多聚焦具体作家或文学史编写(如游国恩等主编的《中国文学史》),对学者群体背景的</w:t>
      </w:r>
      <w:r>
        <w:rPr>
          <w:spacing w:val="4"/>
        </w:rPr>
        <w:t xml:space="preserve"> </w:t>
      </w:r>
      <w:r>
        <w:rPr>
          <w:spacing w:val="12"/>
        </w:rPr>
        <w:t>系统调查较少。相关讨论见于学科回顾文章，如刘跃进、葛晓音等对改革开放</w:t>
      </w:r>
      <w:r>
        <w:rPr>
          <w:spacing w:val="11"/>
        </w:rPr>
        <w:t>40年古代文学研究</w:t>
      </w:r>
      <w:r>
        <w:rPr/>
        <w:t xml:space="preserve"> </w:t>
      </w:r>
      <w:r>
        <w:rPr>
          <w:spacing w:val="10"/>
        </w:rPr>
        <w:t>的总结，强调从阶级分析到人文精神、从文献考据到理论多元的转向。蒋寅等学者提出代际划分</w:t>
      </w:r>
    </w:p>
    <w:p>
      <w:pPr>
        <w:pStyle w:val="BodyText"/>
        <w:ind w:firstLine="170"/>
        <w:spacing w:before="13" w:line="348" w:lineRule="auto"/>
        <w:rPr/>
      </w:pPr>
      <w:r>
        <w:rPr>
          <w:spacing w:val="12"/>
        </w:rPr>
        <w:t>(第一代贯通型、第二代等),但缺乏量化比较。本报告填补这一空白，结合质性描述与有限量化</w:t>
      </w:r>
      <w:r>
        <w:rPr>
          <w:spacing w:val="7"/>
        </w:rPr>
        <w:t xml:space="preserve"> </w:t>
      </w:r>
      <w:r>
        <w:rPr>
          <w:spacing w:val="1"/>
        </w:rPr>
        <w:t>分析。</w:t>
      </w:r>
    </w:p>
    <w:p>
      <w:pPr>
        <w:pStyle w:val="BodyText"/>
        <w:ind w:left="4"/>
        <w:spacing w:before="320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6"/>
        </w:rPr>
        <w:t>研究方法</w:t>
      </w:r>
    </w:p>
    <w:p>
      <w:pPr>
        <w:pStyle w:val="BodyText"/>
        <w:ind w:left="678" w:right="59" w:hanging="319"/>
        <w:spacing w:before="223" w:line="283" w:lineRule="auto"/>
        <w:rPr/>
      </w:pPr>
      <w:r>
        <w:rPr>
          <w:rFonts w:ascii="SimSun" w:hAnsi="SimSun" w:eastAsia="SimSun" w:cs="SimSun"/>
          <w:spacing w:val="12"/>
        </w:rPr>
        <w:t>1. </w:t>
      </w:r>
      <w:r>
        <w:rPr>
          <w:spacing w:val="12"/>
        </w:rPr>
        <w:t>样本选取：基于学术影响力(引用率、奖项、学会职务)、代</w:t>
      </w:r>
      <w:r>
        <w:rPr>
          <w:spacing w:val="11"/>
        </w:rPr>
        <w:t>表性著作、机构地位，选取约</w:t>
      </w:r>
      <w:r>
        <w:rPr/>
        <w:t xml:space="preserve"> </w:t>
      </w:r>
      <w:r>
        <w:rPr>
          <w:spacing w:val="8"/>
        </w:rPr>
        <w:t>15位头部学者。</w:t>
      </w:r>
    </w:p>
    <w:p>
      <w:pPr>
        <w:pStyle w:val="BodyText"/>
        <w:ind w:left="359"/>
        <w:spacing w:before="264" w:line="221" w:lineRule="auto"/>
        <w:rPr/>
      </w:pPr>
      <w:r>
        <w:rPr>
          <w:rFonts w:ascii="SimSun" w:hAnsi="SimSun" w:eastAsia="SimSun" w:cs="SimSun"/>
          <w:spacing w:val="8"/>
        </w:rPr>
        <w:t>2.</w:t>
      </w:r>
      <w:r>
        <w:rPr>
          <w:rFonts w:ascii="SimSun" w:hAnsi="SimSun" w:eastAsia="SimSun" w:cs="SimSun"/>
          <w:spacing w:val="-22"/>
        </w:rPr>
        <w:t xml:space="preserve"> </w:t>
      </w:r>
      <w:r>
        <w:rPr>
          <w:spacing w:val="8"/>
        </w:rPr>
        <w:t>信息维度：教育背景、职业背景、师承、院校倾向。</w:t>
      </w:r>
    </w:p>
    <w:p>
      <w:pPr>
        <w:pStyle w:val="BodyText"/>
        <w:ind w:left="678" w:right="123" w:hanging="319"/>
        <w:spacing w:before="265" w:line="279" w:lineRule="auto"/>
        <w:rPr/>
      </w:pPr>
      <w:r>
        <w:rPr>
          <w:rFonts w:ascii="SimSun" w:hAnsi="SimSun" w:eastAsia="SimSun" w:cs="SimSun"/>
          <w:spacing w:val="2"/>
        </w:rPr>
        <w:t>3. </w:t>
      </w:r>
      <w:r>
        <w:rPr>
          <w:spacing w:val="2"/>
        </w:rPr>
        <w:t>时代背景：梳理政策(如1956年“双百方针”、文革时期“儒法斗争”、1978年后改革开</w:t>
      </w:r>
      <w:r>
        <w:rPr>
          <w:spacing w:val="1"/>
        </w:rPr>
        <w:t>放、</w:t>
      </w:r>
      <w:r>
        <w:rPr/>
        <w:t xml:space="preserve"> </w:t>
      </w:r>
      <w:r>
        <w:rPr>
          <w:spacing w:val="10"/>
        </w:rPr>
        <w:t>2010年代“文化自信”)与潮流(如文史结合、西方理论引入、数字化)。</w:t>
      </w:r>
    </w:p>
    <w:p>
      <w:pPr>
        <w:pStyle w:val="BodyText"/>
        <w:ind w:left="678" w:right="15" w:hanging="319"/>
        <w:spacing w:before="257" w:line="290" w:lineRule="auto"/>
        <w:rPr/>
      </w:pPr>
      <w:r>
        <w:rPr>
          <w:rFonts w:ascii="SimSun" w:hAnsi="SimSun" w:eastAsia="SimSun" w:cs="SimSun"/>
          <w:spacing w:val="19"/>
        </w:rPr>
        <w:t>4.</w:t>
      </w:r>
      <w:r>
        <w:rPr>
          <w:rFonts w:ascii="SimSun" w:hAnsi="SimSun" w:eastAsia="SimSun" w:cs="SimSun"/>
          <w:spacing w:val="-13"/>
        </w:rPr>
        <w:t xml:space="preserve"> </w:t>
      </w:r>
      <w:r>
        <w:rPr>
          <w:spacing w:val="19"/>
        </w:rPr>
        <w:t>分析方法：定性比较为主，辅以加权量化(示例权重：院校声望30%、导师影响力25%、</w:t>
      </w:r>
      <w:r>
        <w:rPr/>
        <w:t xml:space="preserve"> </w:t>
      </w:r>
      <w:r>
        <w:rPr>
          <w:spacing w:val="19"/>
        </w:rPr>
        <w:t>时代政策强度20%、专业方向匹配15%、研究经历多样性1</w:t>
      </w:r>
      <w:r>
        <w:rPr>
          <w:spacing w:val="18"/>
        </w:rPr>
        <w:t>0%)。权重基于学术传承重要性</w:t>
      </w:r>
      <w:r>
        <w:rPr/>
        <w:t xml:space="preserve"> </w:t>
      </w:r>
      <w:r>
        <w:rPr>
          <w:spacing w:val="10"/>
        </w:rPr>
        <w:t>与时代制约强度主观赋值，总分100分，用于群体比较。</w:t>
      </w:r>
    </w:p>
    <w:p>
      <w:pPr>
        <w:spacing w:line="290" w:lineRule="auto"/>
        <w:sectPr>
          <w:pgSz w:w="12240" w:h="15840"/>
          <w:pgMar w:top="1148" w:right="1030" w:bottom="0" w:left="970" w:header="0" w:footer="0" w:gutter="0"/>
        </w:sectPr>
        <w:rPr/>
      </w:pPr>
    </w:p>
    <w:p>
      <w:pPr>
        <w:pStyle w:val="BodyText"/>
        <w:ind w:left="4"/>
        <w:spacing w:before="60" w:line="221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8"/>
        </w:rPr>
        <w:t>分期论述与学者样本</w:t>
      </w:r>
    </w:p>
    <w:p>
      <w:pPr>
        <w:pStyle w:val="BodyText"/>
        <w:ind w:left="3"/>
        <w:spacing w:before="210" w:line="222" w:lineRule="auto"/>
        <w:outlineLvl w:val="0"/>
        <w:rPr/>
      </w:pPr>
      <w:r>
        <w:rPr>
          <w:b/>
          <w:bCs/>
          <w:spacing w:val="12"/>
        </w:rPr>
        <w:t>1.1950-1970年代：高度意识形态化与文献实证</w:t>
      </w:r>
      <w:r>
        <w:rPr>
          <w:b/>
          <w:bCs/>
          <w:spacing w:val="11"/>
        </w:rPr>
        <w:t>并重</w:t>
      </w:r>
    </w:p>
    <w:p>
      <w:pPr>
        <w:pStyle w:val="BodyText"/>
        <w:spacing w:before="216" w:line="213" w:lineRule="auto"/>
        <w:rPr/>
      </w:pPr>
      <w:r>
        <w:rPr>
          <w:spacing w:val="3"/>
        </w:rPr>
        <w:t>时代背景：建国初期强调马克思主义指导，“双百方针”短暂鼓励争鸣，但很快受政治运动影响，</w:t>
      </w:r>
    </w:p>
    <w:p>
      <w:pPr>
        <w:pStyle w:val="BodyText"/>
        <w:ind w:right="5"/>
        <w:spacing w:before="155" w:line="346" w:lineRule="auto"/>
        <w:rPr/>
      </w:pPr>
      <w:r>
        <w:rPr>
          <w:spacing w:val="1"/>
        </w:rPr>
        <w:t>文革时期极端化(如以“儒法斗争”重评文学)。学术潮流偏向“文史结合”、阶级分析，文献考据仍</w:t>
      </w:r>
      <w:r>
        <w:rPr>
          <w:spacing w:val="15"/>
        </w:rPr>
        <w:t xml:space="preserve"> </w:t>
      </w:r>
      <w:r>
        <w:rPr>
          <w:spacing w:val="3"/>
        </w:rPr>
        <w:t>为基础。</w:t>
      </w:r>
    </w:p>
    <w:p>
      <w:pPr>
        <w:pStyle w:val="BodyText"/>
        <w:spacing w:before="117" w:line="221" w:lineRule="auto"/>
        <w:rPr/>
      </w:pPr>
      <w:r>
        <w:rPr>
          <w:spacing w:val="3"/>
        </w:rPr>
        <w:t>代表学者(多为“第二代”或承前启后者):</w:t>
      </w:r>
    </w:p>
    <w:p>
      <w:pPr>
        <w:pStyle w:val="BodyText"/>
        <w:ind w:left="509" w:right="147" w:hanging="130"/>
        <w:spacing w:before="264" w:line="279" w:lineRule="auto"/>
        <w:rPr/>
      </w:pPr>
      <w:r>
        <w:rPr>
          <w:spacing w:val="16"/>
        </w:rPr>
        <w:t>·</w:t>
      </w:r>
      <w:r>
        <w:rPr>
          <w:spacing w:val="-88"/>
        </w:rPr>
        <w:t xml:space="preserve"> </w:t>
      </w:r>
      <w:r>
        <w:rPr>
          <w:spacing w:val="16"/>
        </w:rPr>
        <w:t>游国恩(北大):教育：早年北大等；师承：传统国学；院校：北大</w:t>
      </w:r>
      <w:r>
        <w:rPr>
          <w:spacing w:val="15"/>
        </w:rPr>
        <w:t>(文献与史学倾向强);</w:t>
      </w:r>
      <w:r>
        <w:rPr/>
        <w:t xml:space="preserve"> </w:t>
      </w:r>
      <w:r>
        <w:rPr>
          <w:spacing w:val="-1"/>
        </w:rPr>
        <w:t>研究：主编《中国文学史》。</w:t>
      </w:r>
    </w:p>
    <w:p>
      <w:pPr>
        <w:pStyle w:val="BodyText"/>
        <w:ind w:left="379"/>
        <w:spacing w:before="255" w:line="213" w:lineRule="auto"/>
        <w:rPr/>
      </w:pPr>
      <w:r>
        <w:rPr>
          <w:spacing w:val="11"/>
        </w:rPr>
        <w:t>·</w:t>
      </w:r>
      <w:r>
        <w:rPr>
          <w:spacing w:val="-74"/>
        </w:rPr>
        <w:t xml:space="preserve"> </w:t>
      </w:r>
      <w:r>
        <w:rPr>
          <w:spacing w:val="11"/>
        </w:rPr>
        <w:t>王瑶(北大/清华):教育：清华；师承：闻一多等；职业：北大长期；偏向：文史哲贯通。</w:t>
      </w:r>
    </w:p>
    <w:p>
      <w:pPr>
        <w:pStyle w:val="BodyText"/>
        <w:ind w:left="379"/>
        <w:spacing w:before="274" w:line="213" w:lineRule="auto"/>
        <w:rPr/>
      </w:pPr>
      <w:r>
        <w:rPr>
          <w:spacing w:val="13"/>
        </w:rPr>
        <w:t>·</w:t>
      </w:r>
      <w:r>
        <w:rPr>
          <w:spacing w:val="-87"/>
        </w:rPr>
        <w:t xml:space="preserve"> </w:t>
      </w:r>
      <w:r>
        <w:rPr>
          <w:spacing w:val="13"/>
        </w:rPr>
        <w:t>郭绍虞(复旦等):教育：传统+现代大学；师承：</w:t>
      </w:r>
      <w:r>
        <w:rPr>
          <w:spacing w:val="12"/>
        </w:rPr>
        <w:t>古典文论；代表：中国文学批评史》。</w:t>
      </w:r>
    </w:p>
    <w:p>
      <w:pPr>
        <w:pStyle w:val="BodyText"/>
        <w:ind w:left="379"/>
        <w:spacing w:before="285" w:line="213" w:lineRule="auto"/>
        <w:rPr/>
      </w:pPr>
      <w:r>
        <w:rPr>
          <w:spacing w:val="12"/>
        </w:rPr>
        <w:t>·</w:t>
      </w:r>
      <w:r>
        <w:rPr>
          <w:spacing w:val="-78"/>
        </w:rPr>
        <w:t xml:space="preserve"> </w:t>
      </w:r>
      <w:r>
        <w:rPr>
          <w:spacing w:val="12"/>
        </w:rPr>
        <w:t>林庚(北大):师承：清华系统；偏重诗歌。</w:t>
      </w:r>
    </w:p>
    <w:p>
      <w:pPr>
        <w:pStyle w:val="BodyText"/>
        <w:ind w:left="379"/>
        <w:spacing w:before="275" w:line="213" w:lineRule="auto"/>
        <w:rPr/>
      </w:pPr>
      <w:r>
        <w:rPr>
          <w:spacing w:val="12"/>
        </w:rPr>
        <w:t>·</w:t>
      </w:r>
      <w:r>
        <w:rPr>
          <w:spacing w:val="-89"/>
        </w:rPr>
        <w:t xml:space="preserve"> </w:t>
      </w:r>
      <w:r>
        <w:rPr>
          <w:spacing w:val="12"/>
        </w:rPr>
        <w:t>程千帆(南大，后影响大):教育：金陵大学等；师承：传统；后文革后复出。</w:t>
      </w:r>
    </w:p>
    <w:p>
      <w:pPr>
        <w:pStyle w:val="BodyText"/>
        <w:ind w:right="121"/>
        <w:spacing w:before="315" w:line="346" w:lineRule="auto"/>
        <w:rPr/>
      </w:pPr>
      <w:r>
        <w:rPr>
          <w:spacing w:val="10"/>
        </w:rPr>
        <w:t>这一期学者多有民国大学背景，师承传统国学或清华北大老</w:t>
      </w:r>
      <w:r>
        <w:rPr>
          <w:spacing w:val="9"/>
        </w:rPr>
        <w:t>先生，院校偏文献考据与文史结合，</w:t>
      </w:r>
      <w:r>
        <w:rPr/>
        <w:t xml:space="preserve"> </w:t>
      </w:r>
      <w:r>
        <w:rPr>
          <w:spacing w:val="8"/>
        </w:rPr>
        <w:t>受政策制约研究方向政治化。</w:t>
      </w:r>
    </w:p>
    <w:p>
      <w:pPr>
        <w:pStyle w:val="BodyText"/>
        <w:ind w:left="3"/>
        <w:spacing w:before="196" w:line="222" w:lineRule="auto"/>
        <w:outlineLvl w:val="0"/>
        <w:rPr/>
      </w:pPr>
      <w:r>
        <w:rPr>
          <w:b/>
          <w:bCs/>
          <w:spacing w:val="15"/>
        </w:rPr>
        <w:t>2.1980-1990年代：思想解放与理论引入</w:t>
      </w:r>
    </w:p>
    <w:p>
      <w:pPr>
        <w:pStyle w:val="BodyText"/>
        <w:spacing w:before="232" w:line="337" w:lineRule="auto"/>
        <w:rPr/>
      </w:pPr>
      <w:r>
        <w:rPr>
          <w:spacing w:val="9"/>
        </w:rPr>
        <w:t>时代背景：改革开放、“实践是检验真理的唯一标准”、西方文论涌入(如新批评、接受美学),学</w:t>
      </w:r>
      <w:r>
        <w:rPr>
          <w:spacing w:val="15"/>
        </w:rPr>
        <w:t xml:space="preserve"> </w:t>
      </w:r>
      <w:r>
        <w:rPr>
          <w:spacing w:val="8"/>
        </w:rPr>
        <w:t>术从阶级论转向人文精神、主体性，文献整理复兴。</w:t>
      </w:r>
    </w:p>
    <w:p>
      <w:pPr>
        <w:pStyle w:val="BodyText"/>
        <w:spacing w:before="133" w:line="221" w:lineRule="auto"/>
        <w:rPr/>
      </w:pPr>
      <w:r>
        <w:rPr/>
        <w:t>代表学者(“第三代”或恢复期):</w:t>
      </w:r>
    </w:p>
    <w:p>
      <w:pPr>
        <w:pStyle w:val="BodyText"/>
        <w:ind w:left="509" w:right="164" w:hanging="130"/>
        <w:spacing w:before="264" w:line="275" w:lineRule="auto"/>
        <w:rPr/>
      </w:pPr>
      <w:r>
        <w:rPr>
          <w:spacing w:val="13"/>
        </w:rPr>
        <w:t>·</w:t>
      </w:r>
      <w:r>
        <w:rPr>
          <w:spacing w:val="-92"/>
        </w:rPr>
        <w:t xml:space="preserve"> </w:t>
      </w:r>
      <w:r>
        <w:rPr>
          <w:spacing w:val="13"/>
        </w:rPr>
        <w:t>袁行霈(北大):教育：北大；师承：游国恩、林庚等；职业：北大中文系主任；代表：主</w:t>
      </w:r>
      <w:r>
        <w:rPr/>
        <w:t xml:space="preserve"> </w:t>
      </w:r>
      <w:r>
        <w:rPr>
          <w:spacing w:val="-4"/>
        </w:rPr>
        <w:t>编《中国文学史》。</w:t>
      </w:r>
    </w:p>
    <w:p>
      <w:pPr>
        <w:pStyle w:val="BodyText"/>
        <w:ind w:left="509" w:right="75" w:hanging="130"/>
        <w:spacing w:before="256" w:line="284" w:lineRule="auto"/>
        <w:rPr/>
      </w:pPr>
      <w:r>
        <w:rPr>
          <w:spacing w:val="12"/>
        </w:rPr>
        <w:t>·</w:t>
      </w:r>
      <w:r>
        <w:rPr>
          <w:spacing w:val="-89"/>
        </w:rPr>
        <w:t xml:space="preserve"> </w:t>
      </w:r>
      <w:r>
        <w:rPr>
          <w:spacing w:val="12"/>
        </w:rPr>
        <w:t>傅璇琮(社科院/清华):教育：清华；师承：清华系统；职业：社科院文学所；偏重唐宋文</w:t>
      </w:r>
      <w:r>
        <w:rPr/>
        <w:t xml:space="preserve"> </w:t>
      </w:r>
      <w:r>
        <w:rPr>
          <w:spacing w:val="-2"/>
        </w:rPr>
        <w:t>献。</w:t>
      </w:r>
    </w:p>
    <w:p>
      <w:pPr>
        <w:pStyle w:val="BodyText"/>
        <w:ind w:left="509" w:right="538" w:hanging="130"/>
        <w:spacing w:before="251" w:line="287" w:lineRule="auto"/>
        <w:rPr>
          <w:rFonts w:ascii="SimSun" w:hAnsi="SimSun" w:eastAsia="SimSun" w:cs="SimSun"/>
        </w:rPr>
      </w:pPr>
      <w:r>
        <w:rPr>
          <w:spacing w:val="16"/>
        </w:rPr>
        <w:t>·</w:t>
      </w:r>
      <w:r>
        <w:rPr>
          <w:spacing w:val="-86"/>
        </w:rPr>
        <w:t xml:space="preserve"> </w:t>
      </w:r>
      <w:r>
        <w:rPr>
          <w:spacing w:val="16"/>
        </w:rPr>
        <w:t>章培恒(复旦):教育：复旦；师承：传统；职业：复旦古籍</w:t>
      </w:r>
      <w:r>
        <w:rPr>
          <w:spacing w:val="15"/>
        </w:rPr>
        <w:t>所；代表：伊国文学史新</w:t>
      </w:r>
      <w:r>
        <w:rPr/>
        <w:t xml:space="preserve"> </w:t>
      </w:r>
      <w:r>
        <w:rPr>
          <w:rFonts w:ascii="SimSun" w:hAnsi="SimSun" w:eastAsia="SimSun" w:cs="SimSun"/>
          <w:spacing w:val="-28"/>
        </w:rPr>
        <w:t>著》。</w:t>
      </w:r>
    </w:p>
    <w:p>
      <w:pPr>
        <w:pStyle w:val="BodyText"/>
        <w:ind w:left="379"/>
        <w:spacing w:before="256" w:line="213" w:lineRule="auto"/>
        <w:rPr/>
      </w:pPr>
      <w:r>
        <w:rPr>
          <w:spacing w:val="13"/>
        </w:rPr>
        <w:t>·</w:t>
      </w:r>
      <w:r>
        <w:rPr>
          <w:spacing w:val="-79"/>
        </w:rPr>
        <w:t xml:space="preserve"> </w:t>
      </w:r>
      <w:r>
        <w:rPr>
          <w:spacing w:val="13"/>
        </w:rPr>
        <w:t>程千帆(南大):文革后复出，弟子辈兴起。</w:t>
      </w:r>
    </w:p>
    <w:p>
      <w:pPr>
        <w:pStyle w:val="BodyText"/>
        <w:ind w:left="509" w:right="270" w:hanging="130"/>
        <w:spacing w:before="275" w:line="283" w:lineRule="auto"/>
        <w:rPr/>
      </w:pPr>
      <w:r>
        <w:rPr>
          <w:spacing w:val="14"/>
        </w:rPr>
        <w:t>·莫砺锋(南大):教育：安徽大学+南大硕士博士；师承：程千帆、周勋</w:t>
      </w:r>
      <w:r>
        <w:rPr>
          <w:spacing w:val="13"/>
        </w:rPr>
        <w:t>初；第一位文学博</w:t>
      </w:r>
      <w:r>
        <w:rPr/>
        <w:t xml:space="preserve"> </w:t>
      </w:r>
      <w:r>
        <w:rPr>
          <w:spacing w:val="-2"/>
        </w:rPr>
        <w:t>士。</w:t>
      </w:r>
    </w:p>
    <w:p>
      <w:pPr>
        <w:spacing w:line="283" w:lineRule="auto"/>
        <w:sectPr>
          <w:pgSz w:w="12240" w:h="15840"/>
          <w:pgMar w:top="1284" w:right="1082" w:bottom="0" w:left="970" w:header="0" w:footer="0" w:gutter="0"/>
        </w:sectPr>
        <w:rPr/>
      </w:pPr>
    </w:p>
    <w:p>
      <w:pPr>
        <w:pStyle w:val="BodyText"/>
        <w:ind w:right="29"/>
        <w:spacing w:before="48" w:line="332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这一期学者教育背景趋向本土研究生教育恢复，师承老</w:t>
      </w:r>
      <w:r>
        <w:rPr>
          <w:sz w:val="24"/>
          <w:szCs w:val="24"/>
          <w:spacing w:val="2"/>
        </w:rPr>
        <w:t>一辈但引入新方法，院校(如南大程门、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8"/>
        </w:rPr>
        <w:t>北大袁门)强调诗学与文献。</w:t>
      </w:r>
    </w:p>
    <w:p>
      <w:pPr>
        <w:pStyle w:val="BodyText"/>
        <w:ind w:left="3"/>
        <w:spacing w:before="190" w:line="219" w:lineRule="auto"/>
        <w:outlineLvl w:val="0"/>
        <w:rPr>
          <w:sz w:val="24"/>
          <w:szCs w:val="24"/>
        </w:rPr>
      </w:pPr>
      <w:r>
        <w:rPr>
          <w:sz w:val="24"/>
          <w:szCs w:val="24"/>
          <w:b/>
          <w:bCs/>
          <w:spacing w:val="6"/>
        </w:rPr>
        <w:t>3.2000年至今：多元化、学科化与文</w:t>
      </w:r>
      <w:r>
        <w:rPr>
          <w:sz w:val="24"/>
          <w:szCs w:val="24"/>
          <w:b/>
          <w:bCs/>
          <w:spacing w:val="5"/>
        </w:rPr>
        <w:t>化自信</w:t>
      </w:r>
    </w:p>
    <w:p>
      <w:pPr>
        <w:pStyle w:val="BodyText"/>
        <w:ind w:right="265"/>
        <w:spacing w:before="220" w:line="339" w:lineRule="auto"/>
        <w:rPr>
          <w:sz w:val="24"/>
          <w:szCs w:val="24"/>
        </w:rPr>
      </w:pPr>
      <w:r>
        <w:rPr>
          <w:sz w:val="24"/>
          <w:szCs w:val="24"/>
          <w:spacing w:val="-6"/>
        </w:rPr>
        <w:t>时代背景：市场化、全球化、数字化转向，十八大后“文化自信”强调主体性、中华文学体系构</w:t>
      </w:r>
      <w:r>
        <w:rPr>
          <w:sz w:val="24"/>
          <w:szCs w:val="24"/>
          <w:spacing w:val="4"/>
        </w:rPr>
        <w:t xml:space="preserve"> </w:t>
      </w:r>
      <w:r>
        <w:rPr>
          <w:sz w:val="24"/>
          <w:szCs w:val="24"/>
          <w:spacing w:val="-6"/>
        </w:rPr>
        <w:t>建。</w:t>
      </w:r>
    </w:p>
    <w:p>
      <w:pPr>
        <w:pStyle w:val="BodyText"/>
        <w:spacing w:before="89" w:line="221" w:lineRule="auto"/>
        <w:rPr>
          <w:sz w:val="24"/>
          <w:szCs w:val="24"/>
        </w:rPr>
      </w:pPr>
      <w:r>
        <w:rPr>
          <w:sz w:val="24"/>
          <w:szCs w:val="24"/>
          <w:spacing w:val="-8"/>
        </w:rPr>
        <w:t>代表学者(“第四代”及新生代):</w:t>
      </w:r>
    </w:p>
    <w:p>
      <w:pPr>
        <w:pStyle w:val="BodyText"/>
        <w:ind w:left="369"/>
        <w:spacing w:before="252" w:line="213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·</w:t>
      </w:r>
      <w:r>
        <w:rPr>
          <w:sz w:val="24"/>
          <w:szCs w:val="24"/>
          <w:spacing w:val="-86"/>
        </w:rPr>
        <w:t xml:space="preserve"> </w:t>
      </w:r>
      <w:r>
        <w:rPr>
          <w:sz w:val="24"/>
          <w:szCs w:val="24"/>
          <w:spacing w:val="3"/>
        </w:rPr>
        <w:t>葛晓音(北大):教育：北大；师承：袁行霈等；偏重唐诗。</w:t>
      </w:r>
    </w:p>
    <w:p>
      <w:pPr>
        <w:pStyle w:val="BodyText"/>
        <w:ind w:left="369"/>
        <w:spacing w:before="274" w:line="213" w:lineRule="auto"/>
        <w:rPr>
          <w:sz w:val="24"/>
          <w:szCs w:val="24"/>
        </w:rPr>
      </w:pPr>
      <w:r>
        <w:rPr>
          <w:sz w:val="24"/>
          <w:szCs w:val="24"/>
          <w:spacing w:val="3"/>
        </w:rPr>
        <w:t>·</w:t>
      </w:r>
      <w:r>
        <w:rPr>
          <w:sz w:val="24"/>
          <w:szCs w:val="24"/>
          <w:spacing w:val="-95"/>
        </w:rPr>
        <w:t xml:space="preserve"> </w:t>
      </w:r>
      <w:r>
        <w:rPr>
          <w:sz w:val="24"/>
          <w:szCs w:val="24"/>
          <w:spacing w:val="3"/>
        </w:rPr>
        <w:t>陈平原(北大):教育：北大；师承：王瑶等；偏现当代与古代交</w:t>
      </w:r>
      <w:r>
        <w:rPr>
          <w:sz w:val="24"/>
          <w:szCs w:val="24"/>
          <w:spacing w:val="2"/>
        </w:rPr>
        <w:t>叉。</w:t>
      </w:r>
    </w:p>
    <w:p>
      <w:pPr>
        <w:pStyle w:val="BodyText"/>
        <w:ind w:left="369"/>
        <w:spacing w:before="263" w:line="221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·</w:t>
      </w:r>
      <w:r>
        <w:rPr>
          <w:sz w:val="24"/>
          <w:szCs w:val="24"/>
          <w:spacing w:val="-81"/>
        </w:rPr>
        <w:t xml:space="preserve"> </w:t>
      </w:r>
      <w:r>
        <w:rPr>
          <w:sz w:val="24"/>
          <w:szCs w:val="24"/>
          <w:spacing w:val="5"/>
        </w:rPr>
        <w:t>莫砺锋(南大):持续活跃。</w:t>
      </w:r>
    </w:p>
    <w:p>
      <w:pPr>
        <w:pStyle w:val="BodyText"/>
        <w:ind w:left="369"/>
        <w:spacing w:before="262" w:line="213" w:lineRule="auto"/>
        <w:rPr>
          <w:sz w:val="24"/>
          <w:szCs w:val="24"/>
        </w:rPr>
      </w:pPr>
      <w:r>
        <w:rPr>
          <w:sz w:val="24"/>
          <w:szCs w:val="24"/>
          <w:spacing w:val="5"/>
        </w:rPr>
        <w:t>·</w:t>
      </w:r>
      <w:r>
        <w:rPr>
          <w:sz w:val="24"/>
          <w:szCs w:val="24"/>
          <w:spacing w:val="-96"/>
        </w:rPr>
        <w:t xml:space="preserve"> </w:t>
      </w:r>
      <w:r>
        <w:rPr>
          <w:sz w:val="24"/>
          <w:szCs w:val="24"/>
          <w:spacing w:val="5"/>
        </w:rPr>
        <w:t>杜晓勤(北大):教育：北大；研究：唐诗。</w:t>
      </w:r>
    </w:p>
    <w:p>
      <w:pPr>
        <w:pStyle w:val="BodyText"/>
        <w:ind w:left="369"/>
        <w:spacing w:before="233" w:line="213" w:lineRule="auto"/>
        <w:rPr>
          <w:sz w:val="24"/>
          <w:szCs w:val="24"/>
        </w:rPr>
      </w:pPr>
      <w:r>
        <w:rPr>
          <w:sz w:val="24"/>
          <w:szCs w:val="24"/>
          <w:spacing w:val="-3"/>
        </w:rPr>
        <w:t>·其他如北大、复旦、南大、社科院中青年教授，多有博士后、海</w:t>
      </w:r>
      <w:r>
        <w:rPr>
          <w:sz w:val="24"/>
          <w:szCs w:val="24"/>
          <w:spacing w:val="-4"/>
        </w:rPr>
        <w:t>外访学经历。</w:t>
      </w:r>
    </w:p>
    <w:p>
      <w:pPr>
        <w:spacing w:line="254" w:lineRule="auto"/>
        <w:rPr>
          <w:rFonts w:ascii="Arial"/>
          <w:sz w:val="21"/>
        </w:rPr>
      </w:pPr>
      <w:r/>
    </w:p>
    <w:p>
      <w:pPr>
        <w:pStyle w:val="BodyText"/>
        <w:spacing w:before="79" w:line="324" w:lineRule="auto"/>
        <w:rPr>
          <w:sz w:val="24"/>
          <w:szCs w:val="24"/>
        </w:rPr>
      </w:pPr>
      <w:r>
        <w:rPr>
          <w:sz w:val="24"/>
          <w:szCs w:val="24"/>
          <w:spacing w:val="9"/>
        </w:rPr>
        <w:t>这一期学者教育国际化(部分海外经历)、师承本土强但方法多元(文化研究</w:t>
      </w:r>
      <w:r>
        <w:rPr>
          <w:sz w:val="24"/>
          <w:szCs w:val="24"/>
          <w:spacing w:val="8"/>
        </w:rPr>
        <w:t>、传播学),院校倾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3"/>
        </w:rPr>
        <w:t>向跨学科与数字化。</w:t>
      </w:r>
    </w:p>
    <w:p>
      <w:pPr>
        <w:pStyle w:val="BodyText"/>
        <w:ind w:left="3"/>
        <w:spacing w:before="123" w:line="221" w:lineRule="auto"/>
        <w:rPr>
          <w:sz w:val="24"/>
          <w:szCs w:val="24"/>
        </w:rPr>
      </w:pPr>
      <w:r>
        <w:rPr>
          <w:sz w:val="24"/>
          <w:szCs w:val="24"/>
          <w:b/>
          <w:bCs/>
          <w:spacing w:val="6"/>
        </w:rPr>
        <w:t>表1:部分头部学者背景简表</w:t>
      </w:r>
    </w:p>
    <w:p>
      <w:pPr>
        <w:spacing w:line="221" w:lineRule="auto"/>
        <w:sectPr>
          <w:pgSz w:w="12240" w:h="15840"/>
          <w:pgMar w:top="1118" w:right="1160" w:bottom="0" w:left="980" w:header="0" w:footer="0" w:gutter="0"/>
        </w:sectPr>
        <w:rPr>
          <w:sz w:val="24"/>
          <w:szCs w:val="24"/>
        </w:rPr>
      </w:pPr>
    </w:p>
    <w:p>
      <w:pPr>
        <w:spacing w:line="372" w:lineRule="auto"/>
        <w:rPr>
          <w:rFonts w:ascii="Arial"/>
          <w:sz w:val="21"/>
        </w:rPr>
      </w:pPr>
      <w:r/>
    </w:p>
    <w:p>
      <w:pPr>
        <w:ind w:left="43"/>
        <w:spacing w:before="71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时期</w:t>
      </w:r>
      <w:r>
        <w:rPr>
          <w:rFonts w:ascii="SimSun" w:hAnsi="SimSun" w:eastAsia="SimSun" w:cs="SimSun"/>
          <w:sz w:val="22"/>
          <w:szCs w:val="22"/>
          <w:spacing w:val="14"/>
        </w:rPr>
        <w:t xml:space="preserve">       </w:t>
      </w:r>
      <w:r>
        <w:rPr>
          <w:rFonts w:ascii="SimSun" w:hAnsi="SimSun" w:eastAsia="SimSun" w:cs="SimSun"/>
          <w:sz w:val="22"/>
          <w:szCs w:val="22"/>
          <w:b/>
          <w:bCs/>
          <w:spacing w:val="-2"/>
        </w:rPr>
        <w:t>学者</w:t>
      </w:r>
    </w:p>
    <w:p>
      <w:pPr>
        <w:spacing w:line="256" w:lineRule="auto"/>
        <w:rPr>
          <w:rFonts w:ascii="Arial"/>
          <w:sz w:val="21"/>
        </w:rPr>
      </w:pPr>
      <w:r/>
    </w:p>
    <w:p>
      <w:pPr>
        <w:ind w:left="50"/>
        <w:spacing w:before="71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</w:rPr>
        <w:t>50-70年</w:t>
      </w:r>
      <w:r>
        <w:rPr>
          <w:rFonts w:ascii="SimSun" w:hAnsi="SimSun" w:eastAsia="SimSun" w:cs="SimSun"/>
          <w:sz w:val="22"/>
          <w:szCs w:val="22"/>
          <w:spacing w:val="21"/>
        </w:rPr>
        <w:t xml:space="preserve">   </w:t>
      </w:r>
      <w:r>
        <w:rPr>
          <w:rFonts w:ascii="SimSun" w:hAnsi="SimSun" w:eastAsia="SimSun" w:cs="SimSun"/>
          <w:sz w:val="22"/>
          <w:szCs w:val="22"/>
          <w:spacing w:val="2"/>
        </w:rPr>
        <w:t>游国</w:t>
      </w:r>
    </w:p>
    <w:p>
      <w:pPr>
        <w:ind w:left="50"/>
        <w:spacing w:before="67" w:line="227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4"/>
          <w:position w:val="1"/>
        </w:rPr>
        <w:t>代</w:t>
      </w:r>
      <w:r>
        <w:rPr>
          <w:rFonts w:ascii="SimSun" w:hAnsi="SimSun" w:eastAsia="SimSun" w:cs="SimSun"/>
          <w:sz w:val="22"/>
          <w:szCs w:val="22"/>
          <w:spacing w:val="1"/>
          <w:position w:val="1"/>
        </w:rPr>
        <w:t xml:space="preserve">         </w:t>
      </w:r>
      <w:r>
        <w:rPr>
          <w:rFonts w:ascii="SimSun" w:hAnsi="SimSun" w:eastAsia="SimSun" w:cs="SimSun"/>
          <w:sz w:val="22"/>
          <w:szCs w:val="22"/>
          <w:spacing w:val="-4"/>
          <w:position w:val="-1"/>
        </w:rPr>
        <w:t>恩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43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毕业院校/最高</w:t>
      </w:r>
      <w:r>
        <w:rPr>
          <w:rFonts w:ascii="SimSun" w:hAnsi="SimSun" w:eastAsia="SimSun" w:cs="SimSun"/>
          <w:sz w:val="22"/>
          <w:szCs w:val="22"/>
          <w:spacing w:val="6"/>
        </w:rPr>
        <w:t xml:space="preserve">              </w:t>
      </w: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长期任职机</w:t>
      </w:r>
    </w:p>
    <w:p>
      <w:pPr>
        <w:ind w:left="219"/>
        <w:spacing w:before="139" w:line="22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学历</w:t>
      </w:r>
      <w:r>
        <w:rPr>
          <w:rFonts w:ascii="SimSun" w:hAnsi="SimSun" w:eastAsia="SimSun" w:cs="SimSun"/>
          <w:sz w:val="22"/>
          <w:szCs w:val="22"/>
          <w:spacing w:val="10"/>
        </w:rPr>
        <w:t xml:space="preserve">         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主要师承</w:t>
      </w:r>
      <w:r>
        <w:rPr>
          <w:rFonts w:ascii="SimSun" w:hAnsi="SimSun" w:eastAsia="SimSun" w:cs="SimSun"/>
          <w:sz w:val="22"/>
          <w:szCs w:val="22"/>
          <w:spacing w:val="41"/>
        </w:rPr>
        <w:t xml:space="preserve">  </w:t>
      </w:r>
      <w:r>
        <w:rPr>
          <w:rFonts w:ascii="SimSun" w:hAnsi="SimSun" w:eastAsia="SimSun" w:cs="SimSun"/>
          <w:sz w:val="22"/>
          <w:szCs w:val="22"/>
          <w:b/>
          <w:bCs/>
          <w:spacing w:val="-3"/>
        </w:rPr>
        <w:t>构</w:t>
      </w:r>
    </w:p>
    <w:p>
      <w:pPr>
        <w:spacing w:line="345" w:lineRule="auto"/>
        <w:rPr>
          <w:rFonts w:ascii="Arial"/>
          <w:sz w:val="21"/>
        </w:rPr>
      </w:pPr>
      <w:r/>
    </w:p>
    <w:p>
      <w:pPr>
        <w:ind w:left="106"/>
        <w:spacing w:before="72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北大等</w:t>
      </w:r>
      <w:r>
        <w:rPr>
          <w:rFonts w:ascii="SimSun" w:hAnsi="SimSun" w:eastAsia="SimSun" w:cs="SimSun"/>
          <w:sz w:val="22"/>
          <w:szCs w:val="22"/>
          <w:spacing w:val="11"/>
        </w:rPr>
        <w:t xml:space="preserve">         </w:t>
      </w:r>
      <w:r>
        <w:rPr>
          <w:rFonts w:ascii="SimSun" w:hAnsi="SimSun" w:eastAsia="SimSun" w:cs="SimSun"/>
          <w:sz w:val="22"/>
          <w:szCs w:val="22"/>
          <w:spacing w:val="1"/>
        </w:rPr>
        <w:t>传统国学</w:t>
      </w:r>
      <w:r>
        <w:rPr>
          <w:rFonts w:ascii="SimSun" w:hAnsi="SimSun" w:eastAsia="SimSun" w:cs="SimSun"/>
          <w:sz w:val="22"/>
          <w:szCs w:val="22"/>
          <w:spacing w:val="40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1"/>
        </w:rPr>
        <w:t>北大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370" w:lineRule="auto"/>
        <w:rPr>
          <w:rFonts w:ascii="Arial"/>
          <w:sz w:val="21"/>
        </w:rPr>
      </w:pPr>
      <w:r/>
    </w:p>
    <w:p>
      <w:pPr>
        <w:ind w:left="3"/>
        <w:spacing w:before="72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</w:rPr>
        <w:t>院校时期倾向</w:t>
      </w:r>
    </w:p>
    <w:p>
      <w:pPr>
        <w:ind w:right="206"/>
        <w:spacing w:before="312" w:line="27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1"/>
        </w:rPr>
        <w:t>文献考据+文史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spacing w:val="4"/>
        </w:rPr>
        <w:t>结合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10" w:right="852" w:hanging="110"/>
        <w:spacing w:before="43" w:line="341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4"/>
        </w:rPr>
        <w:t>加权分估(示</w:t>
      </w:r>
      <w:r>
        <w:rPr>
          <w:rFonts w:ascii="SimSun" w:hAnsi="SimSun" w:eastAsia="SimSun" w:cs="SimSun"/>
          <w:sz w:val="22"/>
          <w:szCs w:val="22"/>
        </w:rPr>
        <w:t xml:space="preserve"> </w:t>
      </w:r>
      <w:r>
        <w:rPr>
          <w:rFonts w:ascii="SimSun" w:hAnsi="SimSun" w:eastAsia="SimSun" w:cs="SimSun"/>
          <w:sz w:val="22"/>
          <w:szCs w:val="22"/>
          <w:b/>
          <w:bCs/>
          <w:spacing w:val="18"/>
        </w:rPr>
        <w:t>例)</w:t>
      </w:r>
    </w:p>
    <w:p>
      <w:pPr>
        <w:ind w:left="116"/>
        <w:spacing w:before="293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3"/>
        </w:rPr>
        <w:t>85</w:t>
      </w:r>
    </w:p>
    <w:p>
      <w:pPr>
        <w:sectPr>
          <w:pgSz w:w="12240" w:h="15840"/>
          <w:pgMar w:top="1080" w:right="1083" w:bottom="0" w:left="929" w:header="0" w:footer="0" w:gutter="0"/>
          <w:cols w:equalWidth="0" w:num="4">
            <w:col w:w="1834" w:space="100"/>
            <w:col w:w="4397" w:space="100"/>
            <w:col w:w="1644" w:space="100"/>
            <w:col w:w="2054" w:space="0"/>
          </w:cols>
        </w:sectPr>
        <w:rPr>
          <w:rFonts w:ascii="SimSun" w:hAnsi="SimSun" w:eastAsia="SimSun" w:cs="SimSun"/>
          <w:sz w:val="22"/>
          <w:szCs w:val="22"/>
        </w:rPr>
      </w:pPr>
    </w:p>
    <w:tbl>
      <w:tblPr>
        <w:tblStyle w:val="TableNormal"/>
        <w:tblW w:w="10160" w:type="dxa"/>
        <w:tblInd w:w="0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055"/>
        <w:gridCol w:w="855"/>
        <w:gridCol w:w="1440"/>
        <w:gridCol w:w="1548"/>
        <w:gridCol w:w="1377"/>
        <w:gridCol w:w="1630"/>
        <w:gridCol w:w="2255"/>
      </w:tblGrid>
      <w:tr>
        <w:trPr>
          <w:trHeight w:val="973" w:hRule="atLeast"/>
        </w:trPr>
        <w:tc>
          <w:tcPr>
            <w:tcW w:w="10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/>
              <w:spacing w:before="71" w:line="219" w:lineRule="auto"/>
              <w:rPr/>
            </w:pPr>
            <w:r>
              <w:rPr>
                <w:spacing w:val="4"/>
              </w:rPr>
              <w:t>50-70年</w:t>
            </w:r>
          </w:p>
          <w:p>
            <w:pPr>
              <w:pStyle w:val="TableText"/>
              <w:ind w:left="50"/>
              <w:spacing w:before="69" w:line="219" w:lineRule="auto"/>
              <w:rPr/>
            </w:pPr>
            <w:r>
              <w:rPr/>
              <w:t>代</w:t>
            </w:r>
          </w:p>
        </w:tc>
        <w:tc>
          <w:tcPr>
            <w:tcW w:w="8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5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304"/>
              <w:spacing w:before="71" w:line="224" w:lineRule="auto"/>
              <w:rPr/>
            </w:pPr>
            <w:r>
              <w:rPr>
                <w:spacing w:val="-3"/>
              </w:rPr>
              <w:t>王瑶</w:t>
            </w:r>
          </w:p>
        </w:tc>
        <w:tc>
          <w:tcPr>
            <w:tcW w:w="14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48"/>
              <w:spacing w:before="71" w:line="220" w:lineRule="auto"/>
              <w:rPr/>
            </w:pPr>
            <w:r>
              <w:rPr>
                <w:spacing w:val="-3"/>
              </w:rPr>
              <w:t>清华</w:t>
            </w:r>
          </w:p>
        </w:tc>
        <w:tc>
          <w:tcPr>
            <w:tcW w:w="15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0"/>
              <w:spacing w:before="72" w:line="219" w:lineRule="auto"/>
              <w:rPr/>
            </w:pPr>
            <w:r>
              <w:rPr>
                <w:spacing w:val="2"/>
              </w:rPr>
              <w:t>闻一多等</w:t>
            </w:r>
          </w:p>
        </w:tc>
        <w:tc>
          <w:tcPr>
            <w:tcW w:w="137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"/>
              <w:spacing w:before="71" w:line="220" w:lineRule="auto"/>
              <w:rPr/>
            </w:pPr>
            <w:r>
              <w:rPr>
                <w:spacing w:val="5"/>
              </w:rPr>
              <w:t>北大</w:t>
            </w:r>
          </w:p>
        </w:tc>
        <w:tc>
          <w:tcPr>
            <w:tcW w:w="16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/>
              <w:spacing w:before="71" w:line="220" w:lineRule="auto"/>
              <w:rPr/>
            </w:pPr>
            <w:r>
              <w:rPr>
                <w:spacing w:val="-2"/>
              </w:rPr>
              <w:t>文史哲贯通</w:t>
            </w:r>
          </w:p>
        </w:tc>
        <w:tc>
          <w:tcPr>
            <w:tcW w:w="22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72"/>
              <w:rPr/>
            </w:pPr>
            <w:r>
              <w:rPr>
                <w:spacing w:val="-3"/>
              </w:rPr>
              <w:t>88</w:t>
            </w:r>
          </w:p>
        </w:tc>
      </w:tr>
      <w:tr>
        <w:trPr>
          <w:trHeight w:val="948" w:hRule="atLeast"/>
        </w:trPr>
        <w:tc>
          <w:tcPr>
            <w:tcW w:w="10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pStyle w:val="TableText"/>
              <w:ind w:left="40"/>
              <w:spacing w:before="311" w:line="219" w:lineRule="auto"/>
              <w:rPr/>
            </w:pPr>
            <w:r>
              <w:rPr>
                <w:spacing w:val="9"/>
              </w:rPr>
              <w:t>80-90年</w:t>
            </w:r>
          </w:p>
          <w:p>
            <w:pPr>
              <w:pStyle w:val="TableText"/>
              <w:ind w:left="40"/>
              <w:spacing w:before="78" w:line="219" w:lineRule="auto"/>
              <w:rPr/>
            </w:pPr>
            <w:r>
              <w:rPr/>
              <w:t>代</w:t>
            </w:r>
          </w:p>
        </w:tc>
        <w:tc>
          <w:tcPr>
            <w:tcW w:w="8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 w:right="228"/>
              <w:spacing w:before="71" w:line="250" w:lineRule="auto"/>
              <w:rPr/>
            </w:pPr>
            <w:r>
              <w:rPr>
                <w:spacing w:val="-5"/>
              </w:rPr>
              <w:t>袁行</w:t>
            </w:r>
            <w:r>
              <w:rPr/>
              <w:t xml:space="preserve"> </w:t>
            </w:r>
            <w:r>
              <w:rPr/>
              <w:t>霈</w:t>
            </w:r>
          </w:p>
        </w:tc>
        <w:tc>
          <w:tcPr>
            <w:tcW w:w="14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71" w:line="220" w:lineRule="auto"/>
              <w:rPr/>
            </w:pPr>
            <w:r>
              <w:rPr>
                <w:spacing w:val="5"/>
              </w:rPr>
              <w:t>北大</w:t>
            </w:r>
          </w:p>
        </w:tc>
        <w:tc>
          <w:tcPr>
            <w:tcW w:w="15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29" w:right="64"/>
              <w:spacing w:before="71" w:line="255" w:lineRule="auto"/>
              <w:rPr/>
            </w:pPr>
            <w:r>
              <w:rPr>
                <w:spacing w:val="-10"/>
              </w:rPr>
              <w:t>游国恩、林</w:t>
            </w:r>
            <w:r>
              <w:rPr>
                <w:spacing w:val="2"/>
              </w:rPr>
              <w:t xml:space="preserve"> </w:t>
            </w:r>
            <w:r>
              <w:rPr/>
              <w:t>庚</w:t>
            </w:r>
          </w:p>
        </w:tc>
        <w:tc>
          <w:tcPr>
            <w:tcW w:w="137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94"/>
              <w:spacing w:before="71" w:line="220" w:lineRule="auto"/>
              <w:rPr/>
            </w:pPr>
            <w:r>
              <w:rPr>
                <w:spacing w:val="-4"/>
              </w:rPr>
              <w:t>北大</w:t>
            </w:r>
          </w:p>
        </w:tc>
        <w:tc>
          <w:tcPr>
            <w:tcW w:w="16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/>
              <w:spacing w:before="71" w:line="220" w:lineRule="auto"/>
              <w:rPr/>
            </w:pPr>
            <w:r>
              <w:rPr>
                <w:spacing w:val="2"/>
              </w:rPr>
              <w:t>文学史+人文</w:t>
            </w:r>
          </w:p>
        </w:tc>
        <w:tc>
          <w:tcPr>
            <w:tcW w:w="22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71"/>
              <w:rPr/>
            </w:pPr>
            <w:r>
              <w:rPr>
                <w:spacing w:val="-3"/>
              </w:rPr>
              <w:t>92</w:t>
            </w:r>
          </w:p>
        </w:tc>
      </w:tr>
      <w:tr>
        <w:trPr>
          <w:trHeight w:val="947" w:hRule="atLeast"/>
        </w:trPr>
        <w:tc>
          <w:tcPr>
            <w:tcW w:w="10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/>
              <w:spacing w:before="71" w:line="219" w:lineRule="auto"/>
              <w:rPr/>
            </w:pPr>
            <w:r>
              <w:rPr>
                <w:spacing w:val="4"/>
              </w:rPr>
              <w:t>80-90年</w:t>
            </w:r>
          </w:p>
          <w:p>
            <w:pPr>
              <w:pStyle w:val="TableText"/>
              <w:ind w:left="50"/>
              <w:spacing w:before="78" w:line="219" w:lineRule="auto"/>
              <w:rPr/>
            </w:pPr>
            <w:r>
              <w:rPr/>
              <w:t>代</w:t>
            </w:r>
          </w:p>
        </w:tc>
        <w:tc>
          <w:tcPr>
            <w:tcW w:w="8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1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 w:right="220"/>
              <w:spacing w:before="72" w:line="261" w:lineRule="auto"/>
              <w:rPr/>
            </w:pPr>
            <w:r>
              <w:rPr>
                <w:spacing w:val="-6"/>
              </w:rPr>
              <w:t>傅璇</w:t>
            </w:r>
            <w:r>
              <w:rPr/>
              <w:t xml:space="preserve"> </w:t>
            </w:r>
            <w:r>
              <w:rPr/>
              <w:t>琮</w:t>
            </w:r>
          </w:p>
        </w:tc>
        <w:tc>
          <w:tcPr>
            <w:tcW w:w="14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71" w:line="220" w:lineRule="auto"/>
              <w:rPr/>
            </w:pPr>
            <w:r>
              <w:rPr>
                <w:spacing w:val="-3"/>
              </w:rPr>
              <w:t>清华</w:t>
            </w:r>
          </w:p>
        </w:tc>
        <w:tc>
          <w:tcPr>
            <w:tcW w:w="15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0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50"/>
              <w:spacing w:before="71" w:line="220" w:lineRule="auto"/>
              <w:rPr/>
            </w:pPr>
            <w:r>
              <w:rPr>
                <w:spacing w:val="-2"/>
              </w:rPr>
              <w:t>清华系统</w:t>
            </w:r>
          </w:p>
        </w:tc>
        <w:tc>
          <w:tcPr>
            <w:tcW w:w="137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32" w:right="143"/>
              <w:spacing w:before="71" w:line="258" w:lineRule="auto"/>
              <w:rPr/>
            </w:pPr>
            <w:r>
              <w:rPr>
                <w:spacing w:val="2"/>
              </w:rPr>
              <w:t>社科院/清</w:t>
            </w:r>
            <w:r>
              <w:rPr/>
              <w:t xml:space="preserve"> </w:t>
            </w:r>
            <w:r>
              <w:rPr/>
              <w:t>华</w:t>
            </w:r>
          </w:p>
        </w:tc>
        <w:tc>
          <w:tcPr>
            <w:tcW w:w="16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98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/>
              <w:spacing w:before="71" w:line="219" w:lineRule="auto"/>
              <w:rPr/>
            </w:pPr>
            <w:r>
              <w:rPr>
                <w:spacing w:val="1"/>
              </w:rPr>
              <w:t>古籍整理</w:t>
            </w:r>
          </w:p>
        </w:tc>
        <w:tc>
          <w:tcPr>
            <w:tcW w:w="22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2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4"/>
              <w:spacing w:before="72"/>
              <w:rPr/>
            </w:pPr>
            <w:r>
              <w:rPr>
                <w:spacing w:val="-3"/>
              </w:rPr>
              <w:t>90</w:t>
            </w:r>
          </w:p>
        </w:tc>
      </w:tr>
      <w:tr>
        <w:trPr>
          <w:trHeight w:val="972" w:hRule="atLeast"/>
        </w:trPr>
        <w:tc>
          <w:tcPr>
            <w:tcW w:w="10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7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0"/>
              <w:spacing w:before="71" w:line="219" w:lineRule="auto"/>
              <w:rPr/>
            </w:pPr>
            <w:r>
              <w:rPr>
                <w:spacing w:val="3"/>
              </w:rPr>
              <w:t>80-90年</w:t>
            </w:r>
          </w:p>
          <w:p>
            <w:pPr>
              <w:pStyle w:val="TableText"/>
              <w:ind w:left="50"/>
              <w:spacing w:before="68" w:line="219" w:lineRule="auto"/>
              <w:rPr/>
            </w:pPr>
            <w:r>
              <w:rPr/>
              <w:t>代</w:t>
            </w:r>
          </w:p>
        </w:tc>
        <w:tc>
          <w:tcPr>
            <w:tcW w:w="8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26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04" w:right="198"/>
              <w:spacing w:before="71" w:line="263" w:lineRule="auto"/>
              <w:rPr/>
            </w:pPr>
            <w:r>
              <w:rPr>
                <w:spacing w:val="5"/>
              </w:rPr>
              <w:t>莫砺</w:t>
            </w:r>
            <w:r>
              <w:rPr/>
              <w:t xml:space="preserve"> </w:t>
            </w:r>
            <w:r>
              <w:rPr/>
              <w:t>锋</w:t>
            </w:r>
          </w:p>
        </w:tc>
        <w:tc>
          <w:tcPr>
            <w:tcW w:w="144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0"/>
              <w:spacing w:before="71" w:line="220" w:lineRule="auto"/>
              <w:rPr/>
            </w:pPr>
            <w:r>
              <w:rPr>
                <w:spacing w:val="2"/>
              </w:rPr>
              <w:t>南大博士</w:t>
            </w:r>
          </w:p>
        </w:tc>
        <w:tc>
          <w:tcPr>
            <w:tcW w:w="1548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559"/>
              <w:spacing w:before="72" w:line="219" w:lineRule="auto"/>
              <w:rPr/>
            </w:pPr>
            <w:r>
              <w:rPr>
                <w:spacing w:val="-2"/>
              </w:rPr>
              <w:t>程千帆</w:t>
            </w:r>
          </w:p>
        </w:tc>
        <w:tc>
          <w:tcPr>
            <w:tcW w:w="1377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72"/>
              <w:spacing w:before="71" w:line="220" w:lineRule="auto"/>
              <w:rPr/>
            </w:pPr>
            <w:r>
              <w:rPr>
                <w:spacing w:val="5"/>
              </w:rPr>
              <w:t>南大</w:t>
            </w:r>
          </w:p>
        </w:tc>
        <w:tc>
          <w:tcPr>
            <w:tcW w:w="1630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13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55"/>
              <w:spacing w:before="71" w:line="220" w:lineRule="auto"/>
              <w:rPr/>
            </w:pPr>
            <w:r>
              <w:rPr>
                <w:spacing w:val="2"/>
              </w:rPr>
              <w:t>诗学+理论</w:t>
            </w:r>
          </w:p>
        </w:tc>
        <w:tc>
          <w:tcPr>
            <w:tcW w:w="2255" w:type="dxa"/>
            <w:vAlign w:val="top"/>
            <w:tcBorders>
              <w:bottom w:val="single" w:color="000000" w:sz="4" w:space="0"/>
              <w:top w:val="single" w:color="000000" w:sz="4" w:space="0"/>
            </w:tcBorders>
          </w:tcPr>
          <w:p>
            <w:pPr>
              <w:spacing w:line="33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268"/>
              <w:spacing w:before="72"/>
              <w:rPr/>
            </w:pPr>
            <w:r>
              <w:rPr>
                <w:b/>
                <w:bCs/>
                <w:spacing w:val="-5"/>
              </w:rPr>
              <w:t>91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pacing w:line="25" w:lineRule="exact"/>
        <w:rPr/>
      </w:pPr>
      <w:r/>
    </w:p>
    <w:p>
      <w:pPr>
        <w:spacing w:line="25" w:lineRule="exact"/>
        <w:sectPr>
          <w:type w:val="continuous"/>
          <w:pgSz w:w="12240" w:h="15840"/>
          <w:pgMar w:top="1080" w:right="1083" w:bottom="0" w:left="929" w:header="0" w:footer="0" w:gutter="0"/>
          <w:cols w:equalWidth="0" w:num="1">
            <w:col w:w="10227" w:space="0"/>
          </w:cols>
        </w:sectPr>
        <w:rPr/>
      </w:pPr>
    </w:p>
    <w:p>
      <w:pPr>
        <w:ind w:left="1280" w:right="310" w:hanging="1240"/>
        <w:spacing w:before="57" w:line="258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2"/>
          <w:position w:val="-1"/>
        </w:rPr>
        <w:t>2000至今</w:t>
      </w:r>
      <w:r>
        <w:rPr>
          <w:rFonts w:ascii="SimSun" w:hAnsi="SimSun" w:eastAsia="SimSun" w:cs="SimSun"/>
          <w:sz w:val="22"/>
          <w:szCs w:val="22"/>
          <w:spacing w:val="16"/>
          <w:position w:val="-1"/>
        </w:rPr>
        <w:t xml:space="preserve">  </w:t>
      </w:r>
      <w:r>
        <w:rPr>
          <w:rFonts w:ascii="SimSun" w:hAnsi="SimSun" w:eastAsia="SimSun" w:cs="SimSun"/>
          <w:sz w:val="22"/>
          <w:szCs w:val="22"/>
          <w:spacing w:val="2"/>
          <w:position w:val="4"/>
        </w:rPr>
        <w:t>葛晓</w:t>
      </w:r>
      <w:r>
        <w:rPr>
          <w:rFonts w:ascii="SimSun" w:hAnsi="SimSun" w:eastAsia="SimSun" w:cs="SimSun"/>
          <w:sz w:val="22"/>
          <w:szCs w:val="22"/>
          <w:position w:val="4"/>
        </w:rPr>
        <w:t xml:space="preserve"> </w:t>
      </w:r>
      <w:r>
        <w:rPr>
          <w:rFonts w:ascii="SimSun" w:hAnsi="SimSun" w:eastAsia="SimSun" w:cs="SimSun"/>
          <w:sz w:val="22"/>
          <w:szCs w:val="22"/>
        </w:rPr>
        <w:t>音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16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北大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16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袁行霈系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16" w:line="220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5"/>
        </w:rPr>
        <w:t>北大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15" w:line="219" w:lineRule="auto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spacing w:val="-2"/>
        </w:rPr>
        <w:t>唐诗+跨代比较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135"/>
        <w:rPr>
          <w:rFonts w:ascii="SimSun" w:hAnsi="SimSun" w:eastAsia="SimSun" w:cs="SimSun"/>
          <w:sz w:val="22"/>
          <w:szCs w:val="22"/>
        </w:rPr>
      </w:pPr>
      <w:r>
        <w:rPr>
          <w:rFonts w:ascii="SimSun" w:hAnsi="SimSun" w:eastAsia="SimSun" w:cs="SimSun"/>
          <w:sz w:val="22"/>
          <w:szCs w:val="22"/>
          <w:b/>
          <w:bCs/>
          <w:spacing w:val="-5"/>
        </w:rPr>
        <w:t>89</w:t>
      </w:r>
    </w:p>
    <w:p>
      <w:pPr>
        <w:sectPr>
          <w:type w:val="continuous"/>
          <w:pgSz w:w="12240" w:h="15840"/>
          <w:pgMar w:top="1080" w:right="1083" w:bottom="0" w:left="929" w:header="0" w:footer="0" w:gutter="0"/>
          <w:cols w:equalWidth="0" w:num="6">
            <w:col w:w="1941" w:space="100"/>
            <w:col w:w="1660" w:space="100"/>
            <w:col w:w="1071" w:space="100"/>
            <w:col w:w="1360" w:space="100"/>
            <w:col w:w="1754" w:space="100"/>
            <w:col w:w="1944" w:space="0"/>
          </w:cols>
        </w:sectPr>
        <w:rPr>
          <w:rFonts w:ascii="SimSun" w:hAnsi="SimSun" w:eastAsia="SimSun" w:cs="SimSun"/>
          <w:sz w:val="22"/>
          <w:szCs w:val="22"/>
        </w:rPr>
      </w:pPr>
    </w:p>
    <w:p>
      <w:pPr>
        <w:spacing w:line="373" w:lineRule="auto"/>
        <w:rPr>
          <w:rFonts w:ascii="Arial"/>
          <w:sz w:val="21"/>
        </w:rPr>
      </w:pPr>
      <w:r/>
    </w:p>
    <w:p>
      <w:pPr>
        <w:pStyle w:val="BodyText"/>
        <w:ind w:left="219"/>
        <w:spacing w:before="78" w:line="213" w:lineRule="auto"/>
        <w:rPr>
          <w:sz w:val="24"/>
          <w:szCs w:val="24"/>
        </w:rPr>
      </w:pPr>
      <w:r>
        <w:rPr>
          <w:sz w:val="24"/>
          <w:szCs w:val="24"/>
          <w:spacing w:val="2"/>
        </w:rPr>
        <w:t>(加权分仅示意，基于声望+传承+政策匹配)</w:t>
      </w:r>
    </w:p>
    <w:p>
      <w:pPr>
        <w:spacing w:line="413" w:lineRule="auto"/>
        <w:rPr>
          <w:rFonts w:ascii="Arial"/>
          <w:sz w:val="21"/>
        </w:rPr>
      </w:pPr>
      <w:r/>
    </w:p>
    <w:p>
      <w:pPr>
        <w:pStyle w:val="BodyText"/>
        <w:ind w:left="64"/>
        <w:spacing w:before="98" w:line="222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-5"/>
        </w:rPr>
        <w:t>比较分析</w:t>
      </w:r>
    </w:p>
    <w:p>
      <w:pPr>
        <w:pStyle w:val="BodyText"/>
        <w:ind w:left="719" w:right="139" w:hanging="316"/>
        <w:spacing w:before="209" w:line="264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5"/>
        </w:rPr>
        <w:t>1.</w:t>
      </w:r>
      <w:r>
        <w:rPr>
          <w:rFonts w:ascii="SimSun" w:hAnsi="SimSun" w:eastAsia="SimSun" w:cs="SimSun"/>
          <w:sz w:val="24"/>
          <w:szCs w:val="24"/>
          <w:spacing w:val="-22"/>
        </w:rPr>
        <w:t xml:space="preserve"> </w:t>
      </w:r>
      <w:r>
        <w:rPr>
          <w:sz w:val="24"/>
          <w:szCs w:val="24"/>
          <w:b/>
          <w:bCs/>
          <w:spacing w:val="5"/>
        </w:rPr>
        <w:t>教育背景差异：</w:t>
      </w:r>
      <w:r>
        <w:rPr>
          <w:sz w:val="24"/>
          <w:szCs w:val="24"/>
          <w:spacing w:val="5"/>
        </w:rPr>
        <w:t>50-70年代多民国大学或</w:t>
      </w:r>
      <w:r>
        <w:rPr>
          <w:sz w:val="24"/>
          <w:szCs w:val="24"/>
          <w:spacing w:val="4"/>
        </w:rPr>
        <w:t>自学传统；80-90年代研究生教育恢复，本土博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6"/>
        </w:rPr>
        <w:t>士兴起；2000年后博士+海外访学常态化。</w:t>
      </w:r>
    </w:p>
    <w:p>
      <w:pPr>
        <w:pStyle w:val="BodyText"/>
        <w:ind w:left="719" w:hanging="316"/>
        <w:spacing w:before="291" w:line="261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b/>
          <w:bCs/>
          <w:spacing w:val="6"/>
        </w:rPr>
        <w:t>2.</w:t>
      </w:r>
      <w:r>
        <w:rPr>
          <w:rFonts w:ascii="SimSun" w:hAnsi="SimSun" w:eastAsia="SimSun" w:cs="SimSun"/>
          <w:sz w:val="24"/>
          <w:szCs w:val="24"/>
          <w:spacing w:val="-38"/>
        </w:rPr>
        <w:t xml:space="preserve"> </w:t>
      </w:r>
      <w:r>
        <w:rPr>
          <w:sz w:val="24"/>
          <w:szCs w:val="24"/>
          <w:b/>
          <w:bCs/>
          <w:spacing w:val="6"/>
        </w:rPr>
        <w:t>师承关系：</w:t>
      </w:r>
      <w:r>
        <w:rPr>
          <w:sz w:val="24"/>
          <w:szCs w:val="24"/>
          <w:spacing w:val="6"/>
        </w:rPr>
        <w:t>早期师承传统国学或清华北大老先生(如闻一多、林庚)</w:t>
      </w:r>
      <w:r>
        <w:rPr>
          <w:sz w:val="24"/>
          <w:szCs w:val="24"/>
          <w:spacing w:val="5"/>
        </w:rPr>
        <w:t>;中期程千帆、袁行霈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8"/>
        </w:rPr>
        <w:t>等成“门派”;晚期师承本土但松散，强调独立。</w:t>
      </w:r>
    </w:p>
    <w:p>
      <w:pPr>
        <w:pStyle w:val="BodyText"/>
        <w:ind w:left="719" w:right="130" w:hanging="319"/>
        <w:spacing w:before="284" w:line="260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3.</w:t>
      </w:r>
      <w:r>
        <w:rPr>
          <w:rFonts w:ascii="SimSun" w:hAnsi="SimSun" w:eastAsia="SimSun" w:cs="SimSun"/>
          <w:sz w:val="24"/>
          <w:szCs w:val="24"/>
          <w:spacing w:val="-25"/>
        </w:rPr>
        <w:t xml:space="preserve"> </w:t>
      </w:r>
      <w:r>
        <w:rPr>
          <w:sz w:val="24"/>
          <w:szCs w:val="24"/>
        </w:rPr>
        <w:t>院校环境：北大偏文学史与人文；复旦强古籍与文论；南大程门诗学精深；社科院文献实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1"/>
        </w:rPr>
        <w:t>证。早期院校倾向文献+政治；中期理论引入；晚期跨学科+数字化。</w:t>
      </w:r>
    </w:p>
    <w:p>
      <w:pPr>
        <w:pStyle w:val="BodyText"/>
        <w:ind w:left="719" w:right="189" w:hanging="319"/>
        <w:spacing w:before="262" w:line="272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13"/>
        </w:rPr>
        <w:t>4.</w:t>
      </w:r>
      <w:r>
        <w:rPr>
          <w:rFonts w:ascii="SimSun" w:hAnsi="SimSun" w:eastAsia="SimSun" w:cs="SimSun"/>
          <w:sz w:val="24"/>
          <w:szCs w:val="24"/>
          <w:spacing w:val="-31"/>
        </w:rPr>
        <w:t xml:space="preserve"> </w:t>
      </w:r>
      <w:r>
        <w:rPr>
          <w:sz w:val="24"/>
          <w:szCs w:val="24"/>
          <w:spacing w:val="13"/>
        </w:rPr>
        <w:t>时代塑造：50-70年代政策强度高</w:t>
      </w:r>
      <w:r>
        <w:rPr>
          <w:sz w:val="24"/>
          <w:szCs w:val="24"/>
          <w:spacing w:val="12"/>
        </w:rPr>
        <w:t>(权重20%大),知识结构政治化；改革开放后政策松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-1"/>
        </w:rPr>
        <w:t>绑，人文与理论兴起；新时代文化自信推动回归主体性，学者更注重中</w:t>
      </w:r>
      <w:r>
        <w:rPr>
          <w:sz w:val="24"/>
          <w:szCs w:val="24"/>
          <w:spacing w:val="-2"/>
        </w:rPr>
        <w:t>华文学体系。</w:t>
      </w:r>
    </w:p>
    <w:p>
      <w:pPr>
        <w:pStyle w:val="BodyText"/>
        <w:ind w:left="719" w:right="146" w:hanging="319"/>
        <w:spacing w:before="255" w:line="280" w:lineRule="auto"/>
        <w:rPr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  <w:spacing w:val="3"/>
        </w:rPr>
        <w:t>5.</w:t>
      </w:r>
      <w:r>
        <w:rPr>
          <w:rFonts w:ascii="SimSun" w:hAnsi="SimSun" w:eastAsia="SimSun" w:cs="SimSun"/>
          <w:sz w:val="24"/>
          <w:szCs w:val="24"/>
          <w:spacing w:val="-36"/>
        </w:rPr>
        <w:t xml:space="preserve"> </w:t>
      </w:r>
      <w:r>
        <w:rPr>
          <w:sz w:val="24"/>
          <w:szCs w:val="24"/>
          <w:spacing w:val="3"/>
        </w:rPr>
        <w:t>关联阐释：早期学者产出多文学史统编，受政策影响范式单一；中期</w:t>
      </w:r>
      <w:r>
        <w:rPr>
          <w:sz w:val="24"/>
          <w:szCs w:val="24"/>
          <w:spacing w:val="2"/>
        </w:rPr>
        <w:t>个体创新(如新文学</w:t>
      </w:r>
      <w:r>
        <w:rPr>
          <w:sz w:val="24"/>
          <w:szCs w:val="24"/>
        </w:rPr>
        <w:t xml:space="preserve"> </w:t>
      </w:r>
      <w:r>
        <w:rPr>
          <w:sz w:val="24"/>
          <w:szCs w:val="24"/>
          <w:spacing w:val="8"/>
        </w:rPr>
        <w:t>史);晚期产出多元(数字化数据库、跨文化比较),范式从考据-理论-主体性转向。</w:t>
      </w:r>
    </w:p>
    <w:p>
      <w:pPr>
        <w:spacing w:line="360" w:lineRule="auto"/>
        <w:rPr>
          <w:rFonts w:ascii="Arial"/>
          <w:sz w:val="21"/>
        </w:rPr>
      </w:pPr>
      <w:r/>
    </w:p>
    <w:p>
      <w:pPr>
        <w:pStyle w:val="BodyText"/>
        <w:ind w:left="54"/>
        <w:spacing w:before="98" w:line="187" w:lineRule="auto"/>
        <w:rPr>
          <w:sz w:val="30"/>
          <w:szCs w:val="30"/>
        </w:rPr>
      </w:pPr>
      <w:r>
        <w:rPr>
          <w:sz w:val="30"/>
          <w:szCs w:val="30"/>
          <w:b/>
          <w:bCs/>
          <w:spacing w:val="1"/>
        </w:rPr>
        <w:t>结论与启示</w:t>
      </w:r>
    </w:p>
    <w:p>
      <w:pPr>
        <w:spacing w:line="187" w:lineRule="auto"/>
        <w:sectPr>
          <w:type w:val="continuous"/>
          <w:pgSz w:w="12240" w:h="15840"/>
          <w:pgMar w:top="1080" w:right="1083" w:bottom="0" w:left="929" w:header="0" w:footer="0" w:gutter="0"/>
          <w:cols w:equalWidth="0" w:num="1">
            <w:col w:w="10227" w:space="0"/>
          </w:cols>
        </w:sectPr>
        <w:rPr>
          <w:sz w:val="30"/>
          <w:szCs w:val="30"/>
        </w:rPr>
      </w:pPr>
    </w:p>
    <w:p>
      <w:pPr>
        <w:pStyle w:val="BodyText"/>
        <w:ind w:right="85"/>
        <w:spacing w:before="45" w:line="348" w:lineRule="auto"/>
        <w:jc w:val="both"/>
        <w:rPr/>
      </w:pPr>
      <w:r>
        <w:rPr/>
        <w:t>中国古代文学研究头部学者的知识背景从“传统+政治制约”向“本土深耕+理论开放+文化主体”演</w:t>
      </w:r>
      <w:r>
        <w:rPr>
          <w:spacing w:val="15"/>
        </w:rPr>
        <w:t xml:space="preserve"> </w:t>
      </w:r>
      <w:r>
        <w:rPr>
          <w:spacing w:val="10"/>
        </w:rPr>
        <w:t>变，时代背景是根本驱动力。早期受意识形态塑造，中期思想解放带来活力，晚期文化自信强化</w:t>
      </w:r>
      <w:r>
        <w:rPr/>
        <w:t xml:space="preserve"> </w:t>
      </w:r>
      <w:r>
        <w:rPr>
          <w:spacing w:val="1"/>
        </w:rPr>
        <w:t>自主性。</w:t>
      </w:r>
    </w:p>
    <w:p>
      <w:pPr>
        <w:pStyle w:val="BodyText"/>
        <w:spacing w:before="91" w:line="334" w:lineRule="auto"/>
        <w:rPr/>
      </w:pPr>
      <w:r>
        <w:rPr>
          <w:spacing w:val="11"/>
        </w:rPr>
        <w:t>启示：1.保持文献基础同时拥抱多元方法；2.加强代际传承，避免断层；3.在文化自信下构建自</w:t>
      </w:r>
      <w:r>
        <w:rPr>
          <w:spacing w:val="9"/>
        </w:rPr>
        <w:t xml:space="preserve"> </w:t>
      </w:r>
      <w:r>
        <w:rPr>
          <w:spacing w:val="8"/>
        </w:rPr>
        <w:t>主知识体系，推动古代文学研究的国际化与当代价值转化。</w:t>
      </w:r>
    </w:p>
    <w:p>
      <w:pPr>
        <w:pStyle w:val="BodyText"/>
        <w:spacing w:before="126" w:line="213" w:lineRule="auto"/>
        <w:rPr/>
      </w:pPr>
      <w:r>
        <w:rPr>
          <w:spacing w:val="9"/>
        </w:rPr>
        <w:t>本报告基于公开资料，若需更精确量化，可进一步扩</w:t>
      </w:r>
      <w:r>
        <w:rPr>
          <w:spacing w:val="8"/>
        </w:rPr>
        <w:t>展样本与数据。</w:t>
      </w:r>
    </w:p>
    <w:sectPr>
      <w:pgSz w:w="12240" w:h="15840"/>
      <w:pgMar w:top="1160" w:right="1094" w:bottom="0" w:left="98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23"/>
      <w:szCs w:val="2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SimSun" w:hAnsi="SimSun" w:eastAsia="SimSun" w:cs="SimSun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2026-03-16T00:00:22Z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2026-03-16T00:00:22</vt:filetime>
  </property>
  <property fmtid="{D5CDD505-2E9C-101B-9397-08002B2CF9AE}" pid="4" name="UsrData">
    <vt:lpwstr>69b6d7945b4fbf001fcce01awl</vt:lpwstr>
  </property>
</Properties>
</file>