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01"/>
        <w:spacing w:before="61" w:line="248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4"/>
        </w:rPr>
        <w:t>调查报告：1950年代至今中国大陆中国古代文学研究头部学者知识</w:t>
      </w:r>
      <w:r>
        <w:rPr>
          <w:sz w:val="30"/>
          <w:szCs w:val="30"/>
          <w:spacing w:val="3"/>
        </w:rPr>
        <w:t>背景差异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spacing w:val="6"/>
        </w:rPr>
        <w:t>调查</w:t>
      </w:r>
    </w:p>
    <w:p>
      <w:pPr>
        <w:pStyle w:val="BodyText"/>
        <w:ind w:left="3"/>
        <w:spacing w:before="180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4"/>
        </w:rPr>
        <w:t>1.</w:t>
      </w:r>
      <w:r>
        <w:rPr>
          <w:b/>
          <w:bCs/>
          <w:spacing w:val="-4"/>
        </w:rPr>
        <w:t>学者选取依据</w:t>
      </w:r>
    </w:p>
    <w:p>
      <w:pPr>
        <w:pStyle w:val="BodyText"/>
        <w:ind w:right="65"/>
        <w:spacing w:before="203" w:line="332" w:lineRule="auto"/>
        <w:rPr/>
      </w:pPr>
      <w:r>
        <w:rPr>
          <w:spacing w:val="2"/>
        </w:rPr>
        <w:t>本报告选取了1950年代至今在中国大陆中国古代文学领域有影响力的15位代表性学者。选取标准</w:t>
      </w:r>
      <w:r>
        <w:rPr>
          <w:spacing w:val="2"/>
        </w:rPr>
        <w:t xml:space="preserve"> </w:t>
      </w:r>
      <w:r>
        <w:rPr>
          <w:spacing w:val="6"/>
        </w:rPr>
        <w:t>主要包括：在知名大学(如北京大学、南京大学、复旦大学等)长期任职、拥有重要学术著作</w:t>
      </w:r>
    </w:p>
    <w:p>
      <w:pPr>
        <w:pStyle w:val="BodyText"/>
        <w:ind w:firstLine="169"/>
        <w:spacing w:line="320" w:lineRule="auto"/>
        <w:rPr/>
      </w:pPr>
      <w:r>
        <w:rPr/>
        <w:t>(如文学史编撰、专著或校笺作品)、被学术界公认为学科带头人或有</w:t>
      </w:r>
      <w:r>
        <w:rPr>
          <w:spacing w:val="-1"/>
        </w:rPr>
        <w:t>广泛引用影响。学者按主要</w:t>
      </w:r>
      <w:r>
        <w:rPr/>
        <w:t xml:space="preserve"> </w:t>
      </w:r>
      <w:r>
        <w:rPr>
          <w:spacing w:val="4"/>
        </w:rPr>
        <w:t>活跃或成名时期分组，覆盖先秦至明清文学研究多个方向。名单如下(按时期排序</w:t>
      </w:r>
      <w:r>
        <w:rPr>
          <w:spacing w:val="3"/>
        </w:rPr>
        <w:t>):</w:t>
      </w:r>
    </w:p>
    <w:p>
      <w:pPr>
        <w:pStyle w:val="BodyText"/>
        <w:ind w:left="359"/>
        <w:spacing w:before="127" w:line="221" w:lineRule="auto"/>
        <w:rPr/>
      </w:pPr>
      <w:r>
        <w:rPr>
          <w:spacing w:val="-2"/>
        </w:rPr>
        <w:t>·</w:t>
      </w:r>
      <w:r>
        <w:rPr>
          <w:spacing w:val="-82"/>
        </w:rPr>
        <w:t xml:space="preserve"> </w:t>
      </w:r>
      <w:r>
        <w:rPr>
          <w:spacing w:val="-2"/>
        </w:rPr>
        <w:t>1950年代活跃学者：游国恩、王瑶、朱东润、程千帆、唐圭璋</w:t>
      </w:r>
    </w:p>
    <w:p>
      <w:pPr>
        <w:pStyle w:val="BodyText"/>
        <w:ind w:left="359"/>
        <w:spacing w:before="243" w:line="221" w:lineRule="auto"/>
        <w:rPr/>
      </w:pPr>
      <w:r>
        <w:rPr>
          <w:spacing w:val="3"/>
        </w:rPr>
        <w:t>·1960-1970年代活跃学者：霍松林、袁行霈</w:t>
      </w:r>
    </w:p>
    <w:p>
      <w:pPr>
        <w:pStyle w:val="BodyText"/>
        <w:ind w:left="359"/>
        <w:spacing w:before="253" w:line="221" w:lineRule="auto"/>
        <w:rPr/>
      </w:pPr>
      <w:r>
        <w:rPr>
          <w:spacing w:val="2"/>
        </w:rPr>
        <w:t>·1980-1990年代活跃学者：傅璇琮、葛晓音、章培恒、陈尚君</w:t>
      </w:r>
    </w:p>
    <w:p>
      <w:pPr>
        <w:pStyle w:val="BodyText"/>
        <w:ind w:left="359"/>
        <w:spacing w:before="262" w:line="221" w:lineRule="auto"/>
        <w:rPr/>
      </w:pPr>
      <w:r>
        <w:rPr>
          <w:spacing w:val="-4"/>
        </w:rPr>
        <w:t>·21世纪活跃学者：莫砺锋、钱志熙、杜晓勤、</w:t>
      </w:r>
      <w:r>
        <w:rPr>
          <w:spacing w:val="-5"/>
        </w:rPr>
        <w:t>骆玉明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1"/>
        </w:rPr>
        <w:t>2.</w:t>
      </w:r>
      <w:r>
        <w:rPr>
          <w:b/>
          <w:bCs/>
          <w:spacing w:val="-1"/>
        </w:rPr>
        <w:t>各时期代表性学者基本信息及同时期文艺政策、学术思潮</w:t>
      </w:r>
    </w:p>
    <w:p>
      <w:pPr>
        <w:pStyle w:val="BodyText"/>
        <w:ind w:right="20"/>
        <w:spacing w:before="237" w:line="324" w:lineRule="auto"/>
        <w:rPr/>
      </w:pPr>
      <w:r>
        <w:rPr>
          <w:spacing w:val="6"/>
        </w:rPr>
        <w:t>以下按时期列出学者信息(基于公开学术简历和学科史资料),并附当时国家文艺政策名称及流行</w:t>
      </w:r>
      <w:r>
        <w:rPr/>
        <w:t xml:space="preserve"> </w:t>
      </w:r>
      <w:r>
        <w:rPr>
          <w:spacing w:val="-6"/>
        </w:rPr>
        <w:t>学术思潮名词。</w:t>
      </w:r>
    </w:p>
    <w:p>
      <w:pPr>
        <w:pStyle w:val="BodyText"/>
        <w:ind w:left="3"/>
        <w:spacing w:before="116" w:line="222" w:lineRule="auto"/>
        <w:rPr/>
      </w:pPr>
      <w:r>
        <w:rPr>
          <w:b/>
          <w:bCs/>
          <w:spacing w:val="15"/>
        </w:rPr>
        <w:t>1950年代</w:t>
      </w:r>
    </w:p>
    <w:p>
      <w:pPr>
        <w:spacing w:line="222" w:lineRule="auto"/>
        <w:sectPr>
          <w:pgSz w:w="12240" w:h="15840"/>
          <w:pgMar w:top="1105" w:right="1020" w:bottom="0" w:left="980" w:header="0" w:footer="0" w:gutter="0"/>
        </w:sectPr>
        <w:rPr/>
      </w:pPr>
    </w:p>
    <w:p>
      <w:pPr>
        <w:pStyle w:val="BodyText"/>
        <w:ind w:left="496" w:right="106" w:hanging="140"/>
        <w:spacing w:before="46" w:line="279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·</w:t>
      </w:r>
      <w:r>
        <w:rPr>
          <w:sz w:val="23"/>
          <w:szCs w:val="23"/>
          <w:spacing w:val="-70"/>
        </w:rPr>
        <w:t xml:space="preserve"> </w:t>
      </w:r>
      <w:r>
        <w:rPr>
          <w:sz w:val="23"/>
          <w:szCs w:val="23"/>
          <w:spacing w:val="12"/>
        </w:rPr>
        <w:t>主要文艺政策：“百花齐放、百家争鸣”双百方针，1956年提出);关于戏曲改革工作的指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示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-9"/>
        </w:rPr>
        <w:t>》</w:t>
      </w:r>
      <w:r>
        <w:rPr>
          <w:sz w:val="23"/>
          <w:szCs w:val="23"/>
          <w:spacing w:val="-9"/>
        </w:rPr>
        <w:t xml:space="preserve"> </w:t>
      </w:r>
      <w:r>
        <w:rPr>
          <w:sz w:val="23"/>
          <w:szCs w:val="23"/>
          <w:spacing w:val="-9"/>
        </w:rPr>
        <w:t>1951年，强调“推陈出新”)</w:t>
      </w:r>
    </w:p>
    <w:p>
      <w:pPr>
        <w:pStyle w:val="BodyText"/>
        <w:ind w:left="356"/>
        <w:spacing w:before="284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6"/>
        </w:rPr>
        <w:t>流行学术思潮：马克思主义文学史观；社会主义现实主义文学指导</w:t>
      </w:r>
    </w:p>
    <w:p>
      <w:pPr>
        <w:pStyle w:val="BodyText"/>
        <w:ind w:left="356"/>
        <w:spacing w:before="293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·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学者信息：</w:t>
      </w:r>
    </w:p>
    <w:p>
      <w:pPr>
        <w:pStyle w:val="BodyText"/>
        <w:ind w:left="1006" w:right="217" w:hanging="150"/>
        <w:spacing w:before="271" w:line="271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13"/>
        </w:rPr>
        <w:t>游国恩：毕业于北京大学中文系(本科),最终学历本科，主要工作单</w:t>
      </w:r>
      <w:r>
        <w:rPr>
          <w:sz w:val="23"/>
          <w:szCs w:val="23"/>
          <w:spacing w:val="12"/>
        </w:rPr>
        <w:t>位北京大学，导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师黄侃等，北京大学学科特点为综合性文史哲传统强。</w:t>
      </w:r>
    </w:p>
    <w:p>
      <w:pPr>
        <w:pStyle w:val="BodyText"/>
        <w:ind w:left="1006" w:right="219" w:hanging="150"/>
        <w:spacing w:before="295" w:line="267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13"/>
        </w:rPr>
        <w:t>王瑶：毕业于燕京大学中文系(本科),哈佛大学研</w:t>
      </w:r>
      <w:r>
        <w:rPr>
          <w:sz w:val="23"/>
          <w:szCs w:val="23"/>
          <w:spacing w:val="12"/>
        </w:rPr>
        <w:t>究生未毕业，最终学历本科，主要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工作单位北京大学，导师胡适等，北京大学学科特点同上。</w:t>
      </w:r>
    </w:p>
    <w:p>
      <w:pPr>
        <w:pStyle w:val="BodyText"/>
        <w:ind w:left="1006" w:right="210" w:hanging="150"/>
        <w:spacing w:before="275" w:line="27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13"/>
        </w:rPr>
        <w:t>朱东润：毕业于清华大学等(本科),最终学历本科，主要工作单位复旦大学，</w:t>
      </w:r>
      <w:r>
        <w:rPr>
          <w:sz w:val="23"/>
          <w:szCs w:val="23"/>
          <w:spacing w:val="12"/>
        </w:rPr>
        <w:t>导师相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关民国学者，复旦大学学科特点为文学批评史研究突出。</w:t>
      </w:r>
    </w:p>
    <w:p>
      <w:pPr>
        <w:pStyle w:val="BodyText"/>
        <w:ind w:left="1006" w:right="215" w:hanging="150"/>
        <w:spacing w:before="285" w:line="271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19"/>
        </w:rPr>
        <w:t>程千帆：毕业于金陵大学(中央大学前身)中文系(</w:t>
      </w:r>
      <w:r>
        <w:rPr>
          <w:sz w:val="23"/>
          <w:szCs w:val="23"/>
          <w:spacing w:val="18"/>
        </w:rPr>
        <w:t>本科),最终学历本科，主要工作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单位武汉大学、南京大学，导师胡小石，南京大学学科特点为诗词与文献并重。</w:t>
      </w:r>
    </w:p>
    <w:p>
      <w:pPr>
        <w:pStyle w:val="BodyText"/>
        <w:ind w:left="1006" w:right="215" w:hanging="150"/>
        <w:spacing w:before="264" w:line="27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13"/>
        </w:rPr>
        <w:t>唐圭璋：毕业于中央大学中文系(本科),最终学历本科，主要工作单位</w:t>
      </w:r>
      <w:r>
        <w:rPr>
          <w:sz w:val="23"/>
          <w:szCs w:val="23"/>
          <w:spacing w:val="12"/>
        </w:rPr>
        <w:t>南京大学，无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明确导师记录，南京大学学科特点同上。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5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1960-</w:t>
      </w:r>
      <w:r>
        <w:rPr>
          <w:sz w:val="23"/>
          <w:szCs w:val="23"/>
          <w:spacing w:val="-68"/>
        </w:rPr>
        <w:t xml:space="preserve"> </w:t>
      </w:r>
      <w:r>
        <w:rPr>
          <w:sz w:val="23"/>
          <w:szCs w:val="23"/>
          <w:b/>
          <w:bCs/>
          <w:spacing w:val="15"/>
        </w:rPr>
        <w:t>1970年代</w:t>
      </w:r>
    </w:p>
    <w:p>
      <w:pPr>
        <w:pStyle w:val="BodyText"/>
        <w:ind w:left="486" w:hanging="130"/>
        <w:spacing w:before="274" w:line="280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  <w:spacing w:val="7"/>
        </w:rPr>
        <w:t>主要文艺政策：延续“为政治服务”工具论(受延安文艺座谈会讲话影响);文化大革命时期极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2"/>
        </w:rPr>
        <w:t>左文艺政策(1966-1976年)</w:t>
      </w:r>
    </w:p>
    <w:p>
      <w:pPr>
        <w:pStyle w:val="BodyText"/>
        <w:ind w:left="356"/>
        <w:spacing w:before="273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5"/>
        </w:rPr>
        <w:t>流行学术思潮：革命文学思潮；政治化文学批评</w:t>
      </w:r>
    </w:p>
    <w:p>
      <w:pPr>
        <w:pStyle w:val="BodyText"/>
        <w:ind w:left="356"/>
        <w:spacing w:before="284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·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学者信息：</w:t>
      </w:r>
    </w:p>
    <w:p>
      <w:pPr>
        <w:pStyle w:val="BodyText"/>
        <w:ind w:left="1006" w:right="263" w:hanging="150"/>
        <w:spacing w:before="262" w:line="275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12"/>
        </w:rPr>
        <w:t>霍松林：毕业于相关师范院校(本科),最终学历</w:t>
      </w:r>
      <w:r>
        <w:rPr>
          <w:sz w:val="23"/>
          <w:szCs w:val="23"/>
          <w:spacing w:val="11"/>
        </w:rPr>
        <w:t>本科，主要工作单位陕西师范大学，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无明确导师记录，院校学科特点为区域性古典诗词研究。</w:t>
      </w:r>
    </w:p>
    <w:p>
      <w:pPr>
        <w:pStyle w:val="BodyText"/>
        <w:ind w:left="1006" w:right="221" w:hanging="150"/>
        <w:spacing w:before="274" w:line="27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13"/>
        </w:rPr>
        <w:t>袁行霈：毕业于北京大学中文系(本科、研究生),最终学历研</w:t>
      </w:r>
      <w:r>
        <w:rPr>
          <w:sz w:val="23"/>
          <w:szCs w:val="23"/>
          <w:spacing w:val="12"/>
        </w:rPr>
        <w:t>究生，主要工作单位北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京大学，导师王瑶等，北京大学学科特点同上。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6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1980-</w:t>
      </w:r>
      <w:r>
        <w:rPr>
          <w:sz w:val="23"/>
          <w:szCs w:val="23"/>
          <w:spacing w:val="-59"/>
        </w:rPr>
        <w:t xml:space="preserve"> </w:t>
      </w:r>
      <w:r>
        <w:rPr>
          <w:sz w:val="23"/>
          <w:szCs w:val="23"/>
          <w:b/>
          <w:bCs/>
          <w:spacing w:val="16"/>
        </w:rPr>
        <w:t>1990年代</w:t>
      </w:r>
    </w:p>
    <w:p>
      <w:pPr>
        <w:spacing w:line="222" w:lineRule="auto"/>
        <w:sectPr>
          <w:pgSz w:w="12240" w:h="15840"/>
          <w:pgMar w:top="1250" w:right="1021" w:bottom="0" w:left="993" w:header="0" w:footer="0" w:gutter="0"/>
        </w:sectPr>
        <w:rPr>
          <w:sz w:val="23"/>
          <w:szCs w:val="23"/>
        </w:rPr>
      </w:pPr>
    </w:p>
    <w:p>
      <w:pPr>
        <w:pStyle w:val="BodyText"/>
        <w:ind w:left="675" w:right="574" w:hanging="309"/>
        <w:spacing w:before="46" w:line="285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14"/>
        </w:rPr>
        <w:t>主要文艺政策：新时期文艺政策(1978年后，强调思想解放)</w:t>
      </w:r>
      <w:r>
        <w:rPr>
          <w:sz w:val="23"/>
          <w:szCs w:val="23"/>
          <w:spacing w:val="13"/>
        </w:rPr>
        <w:t>;第四次文代会相关决议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(1979年)</w:t>
      </w:r>
    </w:p>
    <w:p>
      <w:pPr>
        <w:pStyle w:val="BodyText"/>
        <w:ind w:left="366"/>
        <w:spacing w:before="269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·流行学术思潮：思想解放运动；西方文学理论引入；重建文学性</w:t>
      </w:r>
    </w:p>
    <w:p>
      <w:pPr>
        <w:pStyle w:val="BodyText"/>
        <w:ind w:left="366"/>
        <w:spacing w:before="293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·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学者信息：</w:t>
      </w:r>
    </w:p>
    <w:p>
      <w:pPr>
        <w:pStyle w:val="BodyText"/>
        <w:ind w:left="1015" w:hanging="129"/>
        <w:spacing w:before="271" w:line="271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7"/>
        </w:rPr>
        <w:t>傅璇琮：毕业于北京大学中文系，最终学历研究生，主要工作单位北京大学，导师相关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前辈，北京大学学科特点同上。</w:t>
      </w:r>
    </w:p>
    <w:p>
      <w:pPr>
        <w:pStyle w:val="BodyText"/>
        <w:ind w:left="1015" w:right="126" w:hanging="129"/>
        <w:spacing w:before="295" w:line="267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13"/>
        </w:rPr>
        <w:t>葛晓音：毕业于北京大学中文系(本科、研究生),最终学历</w:t>
      </w:r>
      <w:r>
        <w:rPr>
          <w:sz w:val="23"/>
          <w:szCs w:val="23"/>
          <w:spacing w:val="12"/>
        </w:rPr>
        <w:t>研究生，主要工作单位北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京大学，导师相关前辈，北京大学学科特点同上。</w:t>
      </w:r>
    </w:p>
    <w:p>
      <w:pPr>
        <w:pStyle w:val="BodyText"/>
        <w:ind w:left="1015" w:hanging="129"/>
        <w:spacing w:before="295" w:line="275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7"/>
        </w:rPr>
        <w:t>章培恒：毕业于复旦大学中文系，最终学历研究生，主要工作单位复旦大学，导师相关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前辈，复旦大学学科特点为文学史编撰传统。</w:t>
      </w:r>
    </w:p>
    <w:p>
      <w:pPr>
        <w:pStyle w:val="BodyText"/>
        <w:ind w:left="1015" w:right="4" w:hanging="129"/>
        <w:spacing w:before="255" w:line="27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7"/>
        </w:rPr>
        <w:t>陈尚君：毕业于复旦大学中文系，最终学历研究生，主要工作单位复旦大学，导师章培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恒</w:t>
      </w:r>
      <w:r>
        <w:rPr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-4"/>
        </w:rPr>
        <w:t>等</w:t>
      </w:r>
      <w:r>
        <w:rPr>
          <w:sz w:val="23"/>
          <w:szCs w:val="23"/>
          <w:spacing w:val="-41"/>
        </w:rPr>
        <w:t xml:space="preserve"> </w:t>
      </w:r>
      <w:r>
        <w:rPr>
          <w:sz w:val="23"/>
          <w:szCs w:val="23"/>
          <w:spacing w:val="-4"/>
        </w:rPr>
        <w:t>，复旦大学学科特点同上。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5" w:line="22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21世纪</w:t>
      </w:r>
    </w:p>
    <w:p>
      <w:pPr>
        <w:pStyle w:val="BodyText"/>
        <w:ind w:left="366"/>
        <w:spacing w:before="272" w:line="213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14"/>
        </w:rPr>
        <w:t>主要文艺政策：延续新时期文艺方针；文化强国相关政策(200</w:t>
      </w:r>
      <w:r>
        <w:rPr>
          <w:sz w:val="23"/>
          <w:szCs w:val="23"/>
          <w:spacing w:val="13"/>
        </w:rPr>
        <w:t>0年后)</w:t>
      </w:r>
    </w:p>
    <w:p>
      <w:pPr>
        <w:pStyle w:val="BodyText"/>
        <w:ind w:left="366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  <w:spacing w:val="6"/>
        </w:rPr>
        <w:t>流行学术思潮：多元化研究；跨学科整合；出土文献与国际化</w:t>
      </w:r>
      <w:r>
        <w:rPr>
          <w:sz w:val="23"/>
          <w:szCs w:val="23"/>
          <w:spacing w:val="5"/>
        </w:rPr>
        <w:t>视野</w:t>
      </w:r>
    </w:p>
    <w:p>
      <w:pPr>
        <w:pStyle w:val="BodyText"/>
        <w:ind w:left="366"/>
        <w:spacing w:before="284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·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学者信息：</w:t>
      </w:r>
    </w:p>
    <w:p>
      <w:pPr>
        <w:pStyle w:val="BodyText"/>
        <w:ind w:left="1015" w:right="120" w:hanging="129"/>
        <w:spacing w:before="262" w:line="27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13"/>
        </w:rPr>
        <w:t>莫砺锋：毕业于南京大学中文系(硕士、博士),最终学历博士，主要工</w:t>
      </w:r>
      <w:r>
        <w:rPr>
          <w:sz w:val="23"/>
          <w:szCs w:val="23"/>
          <w:spacing w:val="12"/>
        </w:rPr>
        <w:t>作单位南京大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学，无明确导师记录，南京大学学科特点为诗学研究中心强。</w:t>
      </w:r>
    </w:p>
    <w:p>
      <w:pPr>
        <w:pStyle w:val="BodyText"/>
        <w:ind w:left="1015" w:right="123" w:hanging="129"/>
        <w:spacing w:before="265" w:line="283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13"/>
        </w:rPr>
        <w:t>钱志熙：毕业于北京大学中文系(博士),最终学历博士，主要工作单位</w:t>
      </w:r>
      <w:r>
        <w:rPr>
          <w:sz w:val="23"/>
          <w:szCs w:val="23"/>
          <w:spacing w:val="12"/>
        </w:rPr>
        <w:t>北京大学，导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师相关前辈，北京大学学科特点同上。</w:t>
      </w:r>
    </w:p>
    <w:p>
      <w:pPr>
        <w:pStyle w:val="BodyText"/>
        <w:ind w:left="1015" w:right="123" w:hanging="129"/>
        <w:spacing w:before="274" w:line="275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13"/>
        </w:rPr>
        <w:t>杜晓勤：毕业于北京大学中文系(博士),最终学历博士，主要工作单位</w:t>
      </w:r>
      <w:r>
        <w:rPr>
          <w:sz w:val="23"/>
          <w:szCs w:val="23"/>
          <w:spacing w:val="12"/>
        </w:rPr>
        <w:t>北京大学，导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师相关前辈，北京大学学科特点同上。</w:t>
      </w:r>
    </w:p>
    <w:p>
      <w:pPr>
        <w:pStyle w:val="BodyText"/>
        <w:ind w:left="1015" w:right="6" w:hanging="129"/>
        <w:spacing w:before="285" w:line="267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7"/>
        </w:rPr>
        <w:t>骆玉明：毕业于复旦大学中文系，最终学历博士，主要工作单位复旦大学，导师相关前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辈，复旦大学学科特点同上。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6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3.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sz w:val="23"/>
          <w:szCs w:val="23"/>
          <w:b/>
          <w:bCs/>
          <w:spacing w:val="6"/>
        </w:rPr>
        <w:t>学者背景信息整理</w:t>
      </w:r>
    </w:p>
    <w:p>
      <w:pPr>
        <w:spacing w:line="221" w:lineRule="auto"/>
        <w:sectPr>
          <w:pgSz w:w="12240" w:h="15840"/>
          <w:pgMar w:top="1231" w:right="1105" w:bottom="0" w:left="973" w:header="0" w:footer="0" w:gutter="0"/>
        </w:sectPr>
        <w:rPr>
          <w:sz w:val="23"/>
          <w:szCs w:val="23"/>
        </w:rPr>
      </w:pPr>
    </w:p>
    <w:p>
      <w:pPr>
        <w:pStyle w:val="BodyText"/>
        <w:ind w:left="373"/>
        <w:spacing w:before="48" w:line="221" w:lineRule="auto"/>
        <w:rPr/>
      </w:pPr>
      <w:r>
        <w:rPr>
          <w:b/>
          <w:bCs/>
          <w:spacing w:val="-2"/>
        </w:rPr>
        <w:t>·</w:t>
      </w:r>
      <w:r>
        <w:rPr>
          <w:spacing w:val="-95"/>
        </w:rPr>
        <w:t xml:space="preserve"> </w:t>
      </w:r>
      <w:r>
        <w:rPr>
          <w:b/>
          <w:bCs/>
          <w:spacing w:val="-2"/>
        </w:rPr>
        <w:t>毕业院校分布(15位学者):</w:t>
      </w:r>
    </w:p>
    <w:p>
      <w:pPr>
        <w:pStyle w:val="BodyText"/>
        <w:ind w:left="889"/>
        <w:spacing w:before="266" w:line="221" w:lineRule="auto"/>
        <w:rPr/>
      </w:pPr>
      <w:r>
        <w:rPr>
          <w:spacing w:val="13"/>
        </w:rPr>
        <w:t>·</w:t>
      </w:r>
      <w:r>
        <w:rPr>
          <w:spacing w:val="-76"/>
        </w:rPr>
        <w:t xml:space="preserve"> </w:t>
      </w:r>
      <w:r>
        <w:rPr>
          <w:spacing w:val="13"/>
        </w:rPr>
        <w:t>北京大学：7位(约47%)</w:t>
      </w:r>
    </w:p>
    <w:p>
      <w:pPr>
        <w:pStyle w:val="BodyText"/>
        <w:ind w:left="889"/>
        <w:spacing w:before="252" w:line="221" w:lineRule="auto"/>
        <w:rPr/>
      </w:pPr>
      <w:r>
        <w:rPr>
          <w:spacing w:val="22"/>
        </w:rPr>
        <w:t>·</w:t>
      </w:r>
      <w:r>
        <w:rPr>
          <w:spacing w:val="-72"/>
        </w:rPr>
        <w:t xml:space="preserve"> </w:t>
      </w:r>
      <w:r>
        <w:rPr>
          <w:spacing w:val="22"/>
        </w:rPr>
        <w:t>南京大学(含前身):4位(约27%)</w:t>
      </w:r>
    </w:p>
    <w:p>
      <w:pPr>
        <w:pStyle w:val="BodyText"/>
        <w:ind w:left="889"/>
        <w:spacing w:before="252" w:line="221" w:lineRule="auto"/>
        <w:rPr/>
      </w:pPr>
      <w:r>
        <w:rPr>
          <w:spacing w:val="13"/>
        </w:rPr>
        <w:t>·</w:t>
      </w:r>
      <w:r>
        <w:rPr>
          <w:spacing w:val="-76"/>
        </w:rPr>
        <w:t xml:space="preserve"> </w:t>
      </w:r>
      <w:r>
        <w:rPr>
          <w:spacing w:val="13"/>
        </w:rPr>
        <w:t>复旦大学：4位(约27%)</w:t>
      </w:r>
    </w:p>
    <w:p>
      <w:pPr>
        <w:pStyle w:val="BodyText"/>
        <w:ind w:left="889"/>
        <w:spacing w:before="242" w:line="221" w:lineRule="auto"/>
        <w:rPr/>
      </w:pPr>
      <w:r>
        <w:rPr>
          <w:spacing w:val="3"/>
        </w:rPr>
        <w:t>·</w:t>
      </w:r>
      <w:r>
        <w:rPr>
          <w:spacing w:val="-90"/>
        </w:rPr>
        <w:t xml:space="preserve"> </w:t>
      </w:r>
      <w:r>
        <w:rPr>
          <w:spacing w:val="3"/>
        </w:rPr>
        <w:t>其他(如燕京、清华、中央大学等):部分重叠于以上。</w:t>
      </w:r>
    </w:p>
    <w:p>
      <w:pPr>
        <w:pStyle w:val="BodyText"/>
        <w:ind w:left="509" w:right="810" w:hanging="140"/>
        <w:spacing w:before="303" w:line="279" w:lineRule="auto"/>
        <w:rPr>
          <w:rFonts w:ascii="SimSun" w:hAnsi="SimSun" w:eastAsia="SimSun" w:cs="SimSun"/>
        </w:rPr>
      </w:pPr>
      <w:r>
        <w:rPr>
          <w:spacing w:val="-2"/>
        </w:rPr>
        <w:t>·总体：毕业院校高度集中于北京大学、南京大学、复旦大学等少数重点</w:t>
      </w:r>
      <w:r>
        <w:rPr>
          <w:spacing w:val="-3"/>
        </w:rPr>
        <w:t>大学，占比近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100%</w:t>
      </w:r>
      <w:r>
        <w:rPr>
          <w:rFonts w:ascii="SimSun" w:hAnsi="SimSun" w:eastAsia="SimSun" w:cs="SimSun"/>
          <w:spacing w:val="-6"/>
        </w:rPr>
        <w:t>。</w:t>
      </w:r>
    </w:p>
    <w:p>
      <w:pPr>
        <w:pStyle w:val="BodyText"/>
        <w:ind w:left="509" w:right="107" w:hanging="140"/>
        <w:spacing w:before="234" w:line="268" w:lineRule="auto"/>
        <w:rPr/>
      </w:pPr>
      <w:r>
        <w:rPr>
          <w:spacing w:val="8"/>
        </w:rPr>
        <w:t>·</w:t>
      </w:r>
      <w:r>
        <w:rPr>
          <w:spacing w:val="-97"/>
        </w:rPr>
        <w:t xml:space="preserve"> </w:t>
      </w:r>
      <w:r>
        <w:rPr>
          <w:spacing w:val="8"/>
        </w:rPr>
        <w:t>导师共同点：1950-1970年代学者多师承民国时期名</w:t>
      </w:r>
      <w:r>
        <w:rPr>
          <w:spacing w:val="7"/>
        </w:rPr>
        <w:t>师(如胡适、黄侃、胡小石);1980年</w:t>
      </w:r>
      <w:r>
        <w:rPr/>
        <w:t xml:space="preserve"> </w:t>
      </w:r>
      <w:r>
        <w:rPr>
          <w:spacing w:val="-2"/>
        </w:rPr>
        <w:t>代后多为本校前辈或同系培养，师承关系仍较集中。</w:t>
      </w:r>
    </w:p>
    <w:p>
      <w:pPr>
        <w:pStyle w:val="BodyText"/>
        <w:ind w:left="369"/>
        <w:spacing w:before="273" w:line="213" w:lineRule="auto"/>
        <w:rPr/>
      </w:pPr>
      <w:r>
        <w:rPr>
          <w:spacing w:val="5"/>
        </w:rPr>
        <w:t>·</w:t>
      </w:r>
      <w:r>
        <w:rPr>
          <w:spacing w:val="-94"/>
        </w:rPr>
        <w:t xml:space="preserve"> </w:t>
      </w:r>
      <w:r>
        <w:rPr>
          <w:spacing w:val="5"/>
        </w:rPr>
        <w:t>学历变化：1950-1970年代多为本科；1980年代后研究生/博士占比上升</w:t>
      </w:r>
      <w:r>
        <w:rPr>
          <w:spacing w:val="4"/>
        </w:rPr>
        <w:t>至近100%。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1" w:lineRule="auto"/>
        <w:rPr/>
      </w:pPr>
      <w:r>
        <w:rPr>
          <w:rFonts w:ascii="SimSun" w:hAnsi="SimSun" w:eastAsia="SimSun" w:cs="SimSun"/>
          <w:b/>
          <w:bCs/>
          <w:spacing w:val="1"/>
        </w:rPr>
        <w:t>4.</w:t>
      </w:r>
      <w:r>
        <w:rPr>
          <w:b/>
          <w:bCs/>
          <w:spacing w:val="1"/>
        </w:rPr>
        <w:t>分时期学者背景特点</w:t>
      </w:r>
    </w:p>
    <w:p>
      <w:pPr>
        <w:pStyle w:val="BodyText"/>
        <w:ind w:left="509" w:right="200" w:hanging="140"/>
        <w:spacing w:before="217" w:line="312" w:lineRule="auto"/>
        <w:rPr/>
      </w:pPr>
      <w:r>
        <w:rPr>
          <w:spacing w:val="6"/>
        </w:rPr>
        <w:t>·1950-1970年代：学者多毕业于少数几所重点大学(如北大、南京大学前身、复旦),师承</w:t>
      </w:r>
      <w:r>
        <w:rPr>
          <w:spacing w:val="18"/>
        </w:rPr>
        <w:t xml:space="preserve"> </w:t>
      </w:r>
      <w:r>
        <w:rPr>
          <w:spacing w:val="-1"/>
        </w:rPr>
        <w:t>关系集中于民国名师，最终学历以本科为主。</w:t>
      </w:r>
    </w:p>
    <w:p>
      <w:pPr>
        <w:pStyle w:val="BodyText"/>
        <w:ind w:left="509" w:right="47" w:hanging="140"/>
        <w:spacing w:before="116" w:line="349" w:lineRule="auto"/>
        <w:rPr/>
      </w:pPr>
      <w:r>
        <w:rPr>
          <w:spacing w:val="2"/>
        </w:rPr>
        <w:t>·1980-1990年代：学者毕业院校仍集中于北大、复旦、南京大学等，研</w:t>
      </w:r>
      <w:r>
        <w:rPr>
          <w:spacing w:val="1"/>
        </w:rPr>
        <w:t>究生学历增多，导师</w:t>
      </w:r>
      <w:r>
        <w:rPr/>
        <w:t xml:space="preserve"> </w:t>
      </w:r>
      <w:r>
        <w:rPr>
          <w:spacing w:val="-4"/>
        </w:rPr>
        <w:t>多为本校前辈。</w:t>
      </w:r>
    </w:p>
    <w:p>
      <w:pPr>
        <w:pStyle w:val="BodyText"/>
        <w:ind w:left="509" w:right="575" w:hanging="140"/>
        <w:spacing w:before="75" w:line="332" w:lineRule="auto"/>
        <w:rPr/>
      </w:pPr>
      <w:r>
        <w:rPr>
          <w:spacing w:val="1"/>
        </w:rPr>
        <w:t>·21世纪：学者几乎全为博士学历，毕业院校分布与前类似(北大、南京</w:t>
      </w:r>
      <w:r>
        <w:rPr/>
        <w:t>大学、复旦占比</w:t>
      </w:r>
      <w:r>
        <w:rPr/>
        <w:t xml:space="preserve"> </w:t>
      </w:r>
      <w:r>
        <w:rPr>
          <w:spacing w:val="11"/>
        </w:rPr>
        <w:t>高),培养更制度化。</w:t>
      </w:r>
    </w:p>
    <w:p>
      <w:pPr>
        <w:pStyle w:val="BodyText"/>
        <w:ind w:left="3"/>
        <w:spacing w:before="193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1"/>
        </w:rPr>
        <w:t>5.</w:t>
      </w:r>
      <w:r>
        <w:rPr>
          <w:b/>
          <w:bCs/>
          <w:spacing w:val="-1"/>
        </w:rPr>
        <w:t>时代政策与学术潮流对学者研究方向的可能影响</w:t>
      </w:r>
    </w:p>
    <w:p>
      <w:pPr>
        <w:pStyle w:val="BodyText"/>
        <w:ind w:left="369"/>
        <w:spacing w:before="215" w:line="213" w:lineRule="auto"/>
        <w:rPr/>
      </w:pPr>
      <w:r>
        <w:rPr>
          <w:spacing w:val="-13"/>
        </w:rPr>
        <w:t>·“双百方针”时期，学者研究方向较为多元，如文学史编撰活跃。</w:t>
      </w:r>
    </w:p>
    <w:p>
      <w:pPr>
        <w:pStyle w:val="BodyText"/>
        <w:ind w:left="369"/>
        <w:spacing w:before="264" w:line="213" w:lineRule="auto"/>
        <w:rPr/>
      </w:pPr>
      <w:r>
        <w:rPr>
          <w:spacing w:val="-4"/>
        </w:rPr>
        <w:t>·文化大革命时期，学术活动受限，许多学者研究中断或转向政治化题材。</w:t>
      </w:r>
    </w:p>
    <w:p>
      <w:pPr>
        <w:pStyle w:val="BodyText"/>
        <w:ind w:left="369" w:right="1799"/>
        <w:spacing w:before="263" w:line="314" w:lineRule="auto"/>
        <w:rPr/>
      </w:pPr>
      <w:r>
        <w:rPr>
          <w:spacing w:val="-3"/>
        </w:rPr>
        <w:t>·新时期文艺政策下，学者研究方向更开放，如引入新方</w:t>
      </w:r>
      <w:r>
        <w:rPr>
          <w:spacing w:val="-4"/>
        </w:rPr>
        <w:t>法、编撰新文学史。</w:t>
      </w:r>
      <w:r>
        <w:rPr/>
        <w:t xml:space="preserve"> </w:t>
      </w:r>
      <w:r>
        <w:rPr>
          <w:spacing w:val="-6"/>
        </w:rPr>
        <w:t>·21世纪文化政策下，研究方向趋向跨学科与国际化。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rFonts w:ascii="SimSun" w:hAnsi="SimSun" w:eastAsia="SimSun" w:cs="SimSun"/>
          <w:b/>
          <w:bCs/>
        </w:rPr>
        <w:t>6.</w:t>
      </w:r>
      <w:r>
        <w:rPr>
          <w:b/>
          <w:bCs/>
        </w:rPr>
        <w:t>不同时期学者背景总体变化趋势</w:t>
      </w:r>
    </w:p>
    <w:p>
      <w:pPr>
        <w:pStyle w:val="BodyText"/>
        <w:spacing w:before="227" w:line="320" w:lineRule="auto"/>
        <w:rPr/>
      </w:pPr>
      <w:r>
        <w:rPr>
          <w:spacing w:val="4"/>
        </w:rPr>
        <w:t>学者知识背景从1950-1970年代的本科为主、民国师承集中，向1980年代后研究生/博士制度化</w:t>
      </w:r>
      <w:r>
        <w:rPr>
          <w:spacing w:val="8"/>
        </w:rPr>
        <w:t xml:space="preserve">  </w:t>
      </w:r>
      <w:r>
        <w:rPr>
          <w:spacing w:val="6"/>
        </w:rPr>
        <w:t>培养转变。毕业院校始终集中于少数重点大学(如北大、南京大学、复旦),分布变化不大。师承</w:t>
      </w:r>
      <w:r>
        <w:rPr/>
        <w:t xml:space="preserve"> </w:t>
      </w:r>
      <w:r>
        <w:rPr>
          <w:spacing w:val="-2"/>
        </w:rPr>
        <w:t>从民国名师向本校系统培养过渡。</w:t>
      </w:r>
    </w:p>
    <w:sectPr>
      <w:pgSz w:w="12240" w:h="15840"/>
      <w:pgMar w:top="1215" w:right="104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2026-03-16T00:00:22</vt:filetime>
  </property>
  <property fmtid="{D5CDD505-2E9C-101B-9397-08002B2CF9AE}" pid="4" name="UsrData">
    <vt:lpwstr>69b6d794a4d3c6001f217fa6wl</vt:lpwstr>
  </property>
</Properties>
</file>