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60"/>
        <w:spacing w:before="61" w:line="302" w:lineRule="auto"/>
        <w:outlineLvl w:val="0"/>
        <w:rPr/>
      </w:pPr>
      <w:r>
        <w:rPr>
          <w:sz w:val="31"/>
          <w:szCs w:val="31"/>
          <w:spacing w:val="4"/>
        </w:rPr>
        <w:t>中国大陆中国古代文学研究领军学者知识谱系变迁研究报告(1950-2023)</w:t>
      </w:r>
      <w:r>
        <w:rPr>
          <w:sz w:val="31"/>
          <w:szCs w:val="31"/>
        </w:rPr>
        <w:t xml:space="preserve"> </w:t>
      </w:r>
      <w:r>
        <w:rPr>
          <w:spacing w:val="9"/>
        </w:rPr>
        <w:t>摘要</w:t>
      </w:r>
    </w:p>
    <w:p>
      <w:pPr>
        <w:pStyle w:val="BodyText"/>
        <w:ind w:right="19"/>
        <w:spacing w:before="221" w:line="315" w:lineRule="auto"/>
        <w:rPr/>
      </w:pPr>
      <w:r>
        <w:rPr>
          <w:spacing w:val="4"/>
        </w:rPr>
        <w:t>本报告基于历史分期视角，考察1950-2023年中国大陆中国古代文学研究领军学者的知识谱系变</w:t>
      </w:r>
      <w:r>
        <w:rPr>
          <w:spacing w:val="9"/>
        </w:rPr>
        <w:t xml:space="preserve"> </w:t>
      </w:r>
      <w:r>
        <w:rPr>
          <w:spacing w:val="3"/>
        </w:rPr>
        <w:t>迁。研究发现，在国家文艺政策主导下，学者知识背景从1950-1970年代的师承脉络清晰、注重</w:t>
      </w:r>
      <w:r>
        <w:rPr>
          <w:spacing w:val="5"/>
        </w:rPr>
        <w:t xml:space="preserve"> </w:t>
      </w:r>
      <w:r>
        <w:rPr>
          <w:spacing w:val="9"/>
        </w:rPr>
        <w:t>意识形态服务，逐步向1980-1990年代的院校多元化与范式转型演进，再到2000-20</w:t>
      </w:r>
      <w:r>
        <w:rPr>
          <w:spacing w:val="8"/>
        </w:rPr>
        <w:t>23年的跨</w:t>
      </w:r>
      <w:r>
        <w:rPr/>
        <w:t xml:space="preserve">  </w:t>
      </w:r>
      <w:r>
        <w:rPr>
          <w:spacing w:val="1"/>
        </w:rPr>
        <w:t>学科融合与国际视野扩展。一般而言，这种变迁反</w:t>
      </w:r>
      <w:r>
        <w:rPr/>
        <w:t>映出国家文化战略的深刻影响，但也可能在一</w:t>
      </w:r>
      <w:r>
        <w:rPr/>
        <w:t xml:space="preserve"> </w:t>
      </w:r>
      <w:r>
        <w:rPr/>
        <w:t>定程度上受限于特定历史条件下的学术话语封闭。报告通过加权计算模型分</w:t>
      </w:r>
      <w:r>
        <w:rPr>
          <w:spacing w:val="-1"/>
        </w:rPr>
        <w:t>析学者背景要素权</w:t>
      </w:r>
    </w:p>
    <w:p>
      <w:pPr>
        <w:pStyle w:val="BodyText"/>
        <w:ind w:right="75"/>
        <w:spacing w:before="1" w:line="325" w:lineRule="auto"/>
        <w:rPr/>
      </w:pPr>
      <w:r>
        <w:rPr/>
        <w:t>重，强调师承与院校出身在知识传承中的决定性作用，并提出推动中华优秀传统文化创造性转化</w:t>
      </w:r>
      <w:r>
        <w:rPr>
          <w:spacing w:val="18"/>
        </w:rPr>
        <w:t xml:space="preserve"> </w:t>
      </w:r>
      <w:r>
        <w:rPr>
          <w:spacing w:val="-3"/>
        </w:rPr>
        <w:t>的战略建议。</w:t>
      </w:r>
    </w:p>
    <w:p>
      <w:pPr>
        <w:pStyle w:val="BodyText"/>
        <w:spacing w:before="163" w:line="213" w:lineRule="auto"/>
        <w:rPr/>
      </w:pPr>
      <w:r>
        <w:rPr/>
        <w:t>关键词：知识谱系；学术代际；范式转型；符号资本；场域惯习；学科建制化；诠释学循环</w:t>
      </w:r>
    </w:p>
    <w:p>
      <w:pPr>
        <w:pStyle w:val="BodyText"/>
        <w:spacing w:before="253" w:line="213" w:lineRule="auto"/>
        <w:rPr/>
      </w:pPr>
      <w:r>
        <w:rPr/>
        <w:t>知识谱系：指学者知识传承与演变的脉络系统，通常通</w:t>
      </w:r>
      <w:r>
        <w:rPr>
          <w:spacing w:val="-1"/>
        </w:rPr>
        <w:t>过师承、院校与时代政策交织形成。1</w:t>
      </w:r>
    </w:p>
    <w:p>
      <w:pPr>
        <w:pStyle w:val="BodyText"/>
        <w:spacing w:before="143" w:line="213" w:lineRule="auto"/>
        <w:rPr/>
      </w:pPr>
      <w:r>
        <w:rPr>
          <w:spacing w:val="3"/>
        </w:rPr>
        <w:t>学术代际：以20-30年为周期划分的学者群体，体现了知识范式的代际更迭。2</w:t>
      </w:r>
    </w:p>
    <w:p>
      <w:pPr>
        <w:pStyle w:val="BodyText"/>
        <w:spacing w:before="153" w:line="213" w:lineRule="auto"/>
        <w:rPr>
          <w:rFonts w:ascii="SimSun" w:hAnsi="SimSun" w:eastAsia="SimSun" w:cs="SimSun"/>
        </w:rPr>
      </w:pPr>
      <w:r>
        <w:rPr>
          <w:spacing w:val="1"/>
        </w:rPr>
        <w:t>范式转型：学术研究从一主导框架向另一框架的结构性转变，常受外部政</w:t>
      </w:r>
      <w:r>
        <w:rPr/>
        <w:t>策驱动。</w:t>
      </w:r>
      <w:r>
        <w:rPr>
          <w:rFonts w:ascii="SimSun" w:hAnsi="SimSun" w:eastAsia="SimSun" w:cs="SimSun"/>
        </w:rPr>
        <w:t>³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outlineLvl w:val="3"/>
        <w:rPr/>
      </w:pPr>
      <w:r>
        <w:rPr>
          <w:b/>
          <w:bCs/>
          <w:spacing w:val="8"/>
        </w:rPr>
        <w:t>第一章引言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6"/>
        </w:rPr>
        <w:t>第一节研究背景与意义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rPr/>
      </w:pPr>
      <w:r>
        <w:rPr>
          <w:spacing w:val="1"/>
        </w:rPr>
        <w:t>一、时代变迁下的学术脉络</w:t>
      </w:r>
    </w:p>
    <w:p>
      <w:pPr>
        <w:pStyle w:val="BodyText"/>
        <w:spacing w:before="243" w:line="213" w:lineRule="auto"/>
        <w:rPr/>
      </w:pPr>
      <w:r>
        <w:rPr>
          <w:spacing w:val="11"/>
        </w:rPr>
        <w:t>据中国社会科学院《中国文学研究年鉴》1950-2023)统计，中国大陆中</w:t>
      </w:r>
      <w:r>
        <w:rPr>
          <w:spacing w:val="10"/>
        </w:rPr>
        <w:t>国古代文学研究自</w:t>
      </w:r>
    </w:p>
    <w:p>
      <w:pPr>
        <w:pStyle w:val="BodyText"/>
        <w:spacing w:before="143" w:line="320" w:lineRule="auto"/>
        <w:rPr/>
      </w:pPr>
      <w:r>
        <w:rPr>
          <w:spacing w:val="-1"/>
        </w:rPr>
        <w:t>1950年以来，受国家文艺方针指引，经历了从意识形态主导到文化自信复兴的深刻转变。</w:t>
      </w:r>
      <w:r>
        <w:rPr>
          <w:spacing w:val="-1"/>
        </w:rPr>
        <w:t xml:space="preserve"> </w:t>
      </w:r>
      <w:r>
        <w:rPr>
          <w:spacing w:val="-1"/>
        </w:rPr>
        <w:t>一般而</w:t>
      </w:r>
      <w:r>
        <w:rPr>
          <w:spacing w:val="18"/>
        </w:rPr>
        <w:t xml:space="preserve"> </w:t>
      </w:r>
      <w:r>
        <w:rPr/>
        <w:t>言，这种变迁可能反映出学者知识谱系的动态调整，但也需注意其在特定历史条件下的适用边</w:t>
      </w:r>
    </w:p>
    <w:p>
      <w:pPr>
        <w:pStyle w:val="BodyText"/>
        <w:spacing w:before="8" w:line="213" w:lineRule="auto"/>
        <w:rPr/>
      </w:pPr>
      <w:r>
        <w:rPr>
          <w:spacing w:val="3"/>
        </w:rPr>
        <w:t>界，如1950-1970年代的相对封闭可能制约了学术创新的广度。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12"/>
        </w:rPr>
        <w:t>(一)问题提出</w:t>
      </w:r>
    </w:p>
    <w:p>
      <w:pPr>
        <w:pStyle w:val="BodyText"/>
        <w:ind w:right="74"/>
        <w:spacing w:before="240" w:line="320" w:lineRule="auto"/>
        <w:jc w:val="both"/>
        <w:rPr/>
      </w:pPr>
      <w:r>
        <w:rPr>
          <w:spacing w:val="1"/>
        </w:rPr>
        <w:t>本报告聚焦领军学者知识背景差异，旨在揭</w:t>
      </w:r>
      <w:r>
        <w:rPr/>
        <w:t>示国家政策如何塑造学术场域惯习。教育部哲学社会</w:t>
      </w:r>
      <w:r>
        <w:rPr/>
        <w:t xml:space="preserve"> </w:t>
      </w:r>
      <w:r>
        <w:rPr>
          <w:spacing w:val="-6"/>
        </w:rPr>
        <w:t>科学研究重大课题攻关项目“中华优秀传统文化传承研究”阶段性成果指出，知识谱系变迁是构建</w:t>
      </w:r>
      <w:r>
        <w:rPr>
          <w:spacing w:val="17"/>
        </w:rPr>
        <w:t xml:space="preserve"> </w:t>
      </w:r>
      <w:r>
        <w:rPr>
          <w:spacing w:val="-2"/>
        </w:rPr>
        <w:t>中国特色哲学社会科学体系的关键环节。</w:t>
      </w:r>
    </w:p>
    <w:p>
      <w:pPr>
        <w:pStyle w:val="BodyText"/>
        <w:spacing w:before="261" w:line="221" w:lineRule="auto"/>
        <w:rPr/>
      </w:pPr>
      <w:r>
        <w:rPr>
          <w:rFonts w:ascii="SimSun" w:hAnsi="SimSun" w:eastAsia="SimSun" w:cs="SimSun"/>
          <w:spacing w:val="-4"/>
        </w:rPr>
        <w:t>1.</w:t>
      </w:r>
      <w:r>
        <w:rPr>
          <w:spacing w:val="-4"/>
        </w:rPr>
        <w:t>研究范围界定</w:t>
      </w:r>
    </w:p>
    <w:p>
      <w:pPr>
        <w:pStyle w:val="BodyText"/>
        <w:spacing w:before="243" w:line="213" w:lineRule="auto"/>
        <w:rPr/>
      </w:pPr>
      <w:r>
        <w:rPr>
          <w:spacing w:val="6"/>
        </w:rPr>
        <w:t>选取1950-2023年活跃的20位领军学者作为</w:t>
      </w:r>
      <w:r>
        <w:rPr>
          <w:spacing w:val="5"/>
        </w:rPr>
        <w:t>样本，涵盖诗歌、词学、小说等领域。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5"/>
        </w:rPr>
        <w:t>第二节研究目标与创新点</w:t>
      </w:r>
    </w:p>
    <w:p>
      <w:pPr>
        <w:spacing w:line="221" w:lineRule="auto"/>
        <w:sectPr>
          <w:pgSz w:w="12240" w:h="15840"/>
          <w:pgMar w:top="1067" w:right="1095" w:bottom="0" w:left="970" w:header="0" w:footer="0" w:gutter="0"/>
        </w:sectPr>
        <w:rPr/>
      </w:pPr>
    </w:p>
    <w:p>
      <w:pPr>
        <w:pStyle w:val="BodyText"/>
        <w:spacing w:before="48" w:line="221" w:lineRule="auto"/>
        <w:rPr/>
      </w:pPr>
      <w:r>
        <w:rPr>
          <w:spacing w:val="1"/>
        </w:rPr>
        <w:t>一、目标概述</w:t>
      </w:r>
    </w:p>
    <w:p>
      <w:pPr>
        <w:pStyle w:val="BodyText"/>
        <w:spacing w:before="252" w:line="213" w:lineRule="auto"/>
        <w:rPr/>
      </w:pPr>
      <w:r>
        <w:rPr/>
        <w:t>通过实证分析与比较研究，探讨知识谱系的代际演变，</w:t>
      </w:r>
      <w:r>
        <w:rPr>
          <w:spacing w:val="-1"/>
        </w:rPr>
        <w:t>并与国家高层战略关联。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1" w:lineRule="auto"/>
        <w:rPr/>
      </w:pPr>
      <w:r>
        <w:rPr>
          <w:spacing w:val="14"/>
        </w:rPr>
        <w:t>(一)创新之处</w:t>
      </w:r>
    </w:p>
    <w:p>
      <w:pPr>
        <w:pStyle w:val="BodyText"/>
        <w:spacing w:before="232" w:line="213" w:lineRule="auto"/>
        <w:rPr/>
      </w:pPr>
      <w:r>
        <w:rPr/>
        <w:t>引入“综合背景影响力指数模型”详见表3),量化师承权重，填</w:t>
      </w:r>
      <w:r>
        <w:rPr>
          <w:spacing w:val="-1"/>
        </w:rPr>
        <w:t>补现有研究的量化空白。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/>
      </w:pPr>
      <w:r>
        <w:rPr>
          <w:b/>
          <w:bCs/>
          <w:spacing w:val="7"/>
        </w:rPr>
        <w:t>第二章文献述评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6"/>
        </w:rPr>
        <w:t>第一节国内文献综述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15"/>
        </w:rPr>
        <w:t>一、早期研究(1950-1980年代)</w:t>
      </w:r>
    </w:p>
    <w:p>
      <w:pPr>
        <w:pStyle w:val="BodyText"/>
        <w:ind w:right="16"/>
        <w:spacing w:before="241" w:line="321" w:lineRule="auto"/>
        <w:jc w:val="both"/>
        <w:rPr/>
      </w:pPr>
      <w:r>
        <w:rPr>
          <w:spacing w:val="10"/>
        </w:rPr>
        <w:t>据中国社会科学院《中国文学研究年鉴》195</w:t>
      </w:r>
      <w:r>
        <w:rPr>
          <w:spacing w:val="9"/>
        </w:rPr>
        <w:t>0-1980)记载，早起文献强调国家文艺政策对学</w:t>
      </w:r>
      <w:r>
        <w:rPr/>
        <w:t xml:space="preserve"> </w:t>
      </w:r>
      <w:r>
        <w:rPr/>
        <w:t>术的指导，如王瑶的《中国新文学史稿》体现了意识形态与文学研究的融</w:t>
      </w:r>
      <w:r>
        <w:rPr>
          <w:spacing w:val="-1"/>
        </w:rPr>
        <w:t>合。一般而言，此类研</w:t>
      </w:r>
      <w:r>
        <w:rPr/>
        <w:t xml:space="preserve"> </w:t>
      </w:r>
      <w:r>
        <w:rPr/>
        <w:t>究在一定程度上奠定了知识谱系的基础，但潜在局限在于可能忽略了学</w:t>
      </w:r>
      <w:r>
        <w:rPr>
          <w:spacing w:val="-1"/>
        </w:rPr>
        <w:t>术共同体的内部能动性。</w:t>
      </w:r>
    </w:p>
    <w:p>
      <w:pPr>
        <w:pStyle w:val="BodyText"/>
        <w:ind w:left="149"/>
        <w:spacing w:before="270" w:line="222" w:lineRule="auto"/>
        <w:rPr/>
      </w:pPr>
      <w:r>
        <w:rPr>
          <w:spacing w:val="12"/>
        </w:rPr>
        <w:t>(一)代表性观点</w:t>
      </w:r>
    </w:p>
    <w:p>
      <w:pPr>
        <w:pStyle w:val="BodyText"/>
        <w:spacing w:before="229" w:line="341" w:lineRule="auto"/>
        <w:rPr/>
      </w:pPr>
      <w:r>
        <w:rPr>
          <w:spacing w:val="-5"/>
        </w:rPr>
        <w:t>教育部项目“中国古代文学史料整理”成果显示，游国恩</w:t>
      </w:r>
      <w:r>
        <w:rPr>
          <w:spacing w:val="-6"/>
        </w:rPr>
        <w:t>等学者注重师承传承，形成相对稳定的符</w:t>
      </w:r>
      <w:r>
        <w:rPr/>
        <w:t xml:space="preserve"> </w:t>
      </w:r>
      <w:r>
        <w:rPr>
          <w:spacing w:val="-3"/>
        </w:rPr>
        <w:t>号资本积累。</w:t>
      </w:r>
    </w:p>
    <w:p>
      <w:pPr>
        <w:pStyle w:val="BodyText"/>
        <w:spacing w:before="216" w:line="222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局限分析</w:t>
      </w:r>
    </w:p>
    <w:p>
      <w:pPr>
        <w:pStyle w:val="BodyText"/>
        <w:spacing w:before="229" w:line="213" w:lineRule="auto"/>
        <w:rPr/>
      </w:pPr>
      <w:r>
        <w:rPr/>
        <w:t>这些文献虽脉络清晰，但特定历史条件下的适用边界在</w:t>
      </w:r>
      <w:r>
        <w:rPr>
          <w:spacing w:val="-1"/>
        </w:rPr>
        <w:t>于话语圈层的相对封闭。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6"/>
        </w:rPr>
        <w:t>第二节国际文献借鉴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1"/>
        </w:rPr>
        <w:t>一、比较视角</w:t>
      </w:r>
    </w:p>
    <w:p>
      <w:pPr>
        <w:pStyle w:val="BodyText"/>
        <w:ind w:right="18"/>
        <w:spacing w:before="240" w:line="325" w:lineRule="auto"/>
        <w:rPr/>
      </w:pPr>
      <w:r>
        <w:rPr/>
        <w:t>世界银行《知识型社会构建》报告曾类比，强调知识谱系的全球流动</w:t>
      </w:r>
      <w:r>
        <w:rPr>
          <w:spacing w:val="-1"/>
        </w:rPr>
        <w:t>。但在中国语境中，国家政</w:t>
      </w:r>
      <w:r>
        <w:rPr/>
        <w:t xml:space="preserve"> </w:t>
      </w:r>
      <w:r>
        <w:rPr>
          <w:spacing w:val="-5"/>
        </w:rPr>
        <w:t>策的主导性更强。</w:t>
      </w:r>
    </w:p>
    <w:p>
      <w:pPr>
        <w:pStyle w:val="BodyText"/>
        <w:ind w:left="149"/>
        <w:spacing w:before="257" w:line="223" w:lineRule="auto"/>
        <w:rPr/>
      </w:pPr>
      <w:r>
        <w:rPr>
          <w:spacing w:val="12"/>
        </w:rPr>
        <w:t>(一)借鉴与本土化</w:t>
      </w:r>
    </w:p>
    <w:p>
      <w:pPr>
        <w:pStyle w:val="BodyText"/>
        <w:spacing w:before="237" w:line="213" w:lineRule="auto"/>
        <w:rPr/>
      </w:pPr>
      <w:r>
        <w:rPr>
          <w:spacing w:val="2"/>
        </w:rPr>
        <w:t>近年文献模糊处理国际争论，优先引用早期官方表述，如1950年代</w:t>
      </w:r>
      <w:r>
        <w:rPr>
          <w:spacing w:val="1"/>
        </w:rPr>
        <w:t>的文艺方针。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outlineLvl w:val="3"/>
        <w:rPr/>
      </w:pPr>
      <w:r>
        <w:rPr>
          <w:b/>
          <w:bCs/>
          <w:spacing w:val="8"/>
        </w:rPr>
        <w:t>第三章理论框架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rPr/>
      </w:pPr>
      <w:r>
        <w:rPr>
          <w:spacing w:val="7"/>
        </w:rPr>
        <w:t>第一节核心概念界定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2"/>
        </w:rPr>
        <w:t>一、知识谱系与场域惯习</w:t>
      </w:r>
    </w:p>
    <w:p>
      <w:pPr>
        <w:spacing w:line="221" w:lineRule="auto"/>
        <w:sectPr>
          <w:pgSz w:w="12240" w:h="15840"/>
          <w:pgMar w:top="1249" w:right="1171" w:bottom="0" w:left="980" w:header="0" w:footer="0" w:gutter="0"/>
        </w:sectPr>
        <w:rPr/>
      </w:pPr>
    </w:p>
    <w:p>
      <w:pPr>
        <w:pStyle w:val="BodyText"/>
        <w:spacing w:before="49" w:line="312" w:lineRule="auto"/>
        <w:rPr/>
      </w:pPr>
      <w:r>
        <w:rPr>
          <w:spacing w:val="3"/>
        </w:rPr>
        <w:t>知识谱系作为学术传承的动态系统，受场域惯习(布迪厄理论，指学者在社会场域中的习惯性实</w:t>
      </w:r>
      <w:r>
        <w:rPr>
          <w:spacing w:val="18"/>
        </w:rPr>
        <w:t xml:space="preserve"> </w:t>
      </w:r>
      <w:r>
        <w:rPr>
          <w:spacing w:val="15"/>
        </w:rPr>
        <w:t>践)影响。4</w:t>
      </w:r>
    </w:p>
    <w:p>
      <w:pPr>
        <w:pStyle w:val="BodyText"/>
        <w:ind w:left="149"/>
        <w:spacing w:before="268" w:line="222" w:lineRule="auto"/>
        <w:rPr/>
      </w:pPr>
      <w:r>
        <w:rPr>
          <w:spacing w:val="12"/>
        </w:rPr>
        <w:t>(一)范式转型机制</w:t>
      </w:r>
    </w:p>
    <w:p>
      <w:pPr>
        <w:pStyle w:val="BodyText"/>
        <w:spacing w:before="240" w:line="213" w:lineRule="auto"/>
        <w:rPr/>
      </w:pPr>
      <w:r>
        <w:rPr>
          <w:spacing w:val="6"/>
        </w:rPr>
        <w:t>通过诠释学循环(伽达默尔概念，指解释与理解的循环过程),政策驱动学</w:t>
      </w:r>
      <w:r>
        <w:rPr>
          <w:spacing w:val="5"/>
        </w:rPr>
        <w:t>术代际更迭。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5"/>
        </w:rPr>
        <w:t>第二节分析模型构建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-1"/>
        </w:rPr>
        <w:t>一、综合背景影响力指数模型</w:t>
      </w:r>
    </w:p>
    <w:p>
      <w:pPr>
        <w:pStyle w:val="BodyText"/>
        <w:ind w:right="43"/>
        <w:spacing w:before="244" w:line="333" w:lineRule="auto"/>
        <w:rPr/>
      </w:pPr>
      <w:r>
        <w:rPr>
          <w:spacing w:val="5"/>
        </w:rPr>
        <w:t>该模型加权计算学者背景要素，公式为：影响力指数=0.4×师承声望+</w:t>
      </w:r>
      <w:r>
        <w:rPr>
          <w:spacing w:val="4"/>
        </w:rPr>
        <w:t>0.3×院校排名+0.2×代</w:t>
      </w:r>
      <w:r>
        <w:rPr/>
        <w:t xml:space="preserve"> </w:t>
      </w:r>
      <w:r>
        <w:rPr>
          <w:spacing w:val="-1"/>
        </w:rPr>
        <w:t>表作影响+0.1×时代政策适应度。权重设</w:t>
      </w:r>
      <w:r>
        <w:rPr>
          <w:spacing w:val="-2"/>
        </w:rPr>
        <w:t>置强调师承的决定性因素。</w:t>
      </w:r>
    </w:p>
    <w:p>
      <w:pPr>
        <w:pStyle w:val="BodyText"/>
        <w:ind w:left="3"/>
        <w:spacing w:before="190" w:line="221" w:lineRule="auto"/>
        <w:outlineLvl w:val="3"/>
        <w:rPr/>
      </w:pPr>
      <w:r>
        <w:rPr>
          <w:b/>
          <w:bCs/>
          <w:spacing w:val="8"/>
        </w:rPr>
        <w:t>第四章研究方法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4"/>
        </w:rPr>
        <w:t>第一节数据来源与样本选取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spacing w:before="79" w:line="224" w:lineRule="auto"/>
        <w:rPr/>
      </w:pPr>
      <w:r>
        <w:rPr>
          <w:spacing w:val="1"/>
        </w:rPr>
        <w:t>一、样本构建</w:t>
      </w:r>
    </w:p>
    <w:p>
      <w:pPr>
        <w:pStyle w:val="BodyText"/>
        <w:spacing w:before="225" w:line="213" w:lineRule="auto"/>
        <w:rPr/>
      </w:pPr>
      <w:r>
        <w:rPr>
          <w:spacing w:val="-1"/>
        </w:rPr>
        <w:t>基于中国社会科学院年鉴与教育部项目数据</w:t>
      </w:r>
      <w:r>
        <w:rPr>
          <w:spacing w:val="-2"/>
        </w:rPr>
        <w:t>库，选取表1所示学者。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14"/>
        </w:rPr>
        <w:t>(一)数据收集</w:t>
      </w:r>
    </w:p>
    <w:p>
      <w:pPr>
        <w:pStyle w:val="BodyText"/>
        <w:spacing w:before="229" w:line="213" w:lineRule="auto"/>
        <w:rPr/>
      </w:pPr>
      <w:r>
        <w:rPr>
          <w:spacing w:val="-2"/>
        </w:rPr>
        <w:t>结合访谈、档案与文献分析，确保实证性。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6"/>
        </w:rPr>
        <w:t>第二节定量与定性结合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79" w:line="224" w:lineRule="auto"/>
        <w:rPr/>
      </w:pPr>
      <w:r>
        <w:rPr>
          <w:spacing w:val="2"/>
        </w:rPr>
        <w:t>一、定量工具</w:t>
      </w:r>
    </w:p>
    <w:p>
      <w:pPr>
        <w:pStyle w:val="BodyText"/>
        <w:spacing w:before="235" w:line="222" w:lineRule="auto"/>
        <w:rPr/>
      </w:pPr>
      <w:r>
        <w:rPr>
          <w:spacing w:val="8"/>
        </w:rPr>
        <w:t>使用加权模型计算权重(表3)。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2" w:lineRule="auto"/>
        <w:rPr/>
      </w:pPr>
      <w:r>
        <w:rPr>
          <w:spacing w:val="14"/>
        </w:rPr>
        <w:t>(一)定性分析</w:t>
      </w:r>
    </w:p>
    <w:p>
      <w:pPr>
        <w:pStyle w:val="BodyText"/>
        <w:spacing w:before="239" w:line="213" w:lineRule="auto"/>
        <w:rPr/>
      </w:pPr>
      <w:r>
        <w:rPr>
          <w:spacing w:val="-3"/>
        </w:rPr>
        <w:t>通过分时期实证，辩证考察优势与局限。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/>
      </w:pPr>
      <w:r>
        <w:rPr>
          <w:b/>
          <w:bCs/>
          <w:spacing w:val="4"/>
        </w:rPr>
        <w:t>第五章实证分析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9"/>
        </w:rPr>
        <w:t>第一节1950-1978年：意识形态主导期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rPr/>
      </w:pPr>
      <w:r>
        <w:rPr>
          <w:spacing w:val="2"/>
        </w:rPr>
        <w:t>一、学者背景特征</w:t>
      </w:r>
    </w:p>
    <w:p>
      <w:pPr>
        <w:spacing w:line="221" w:lineRule="auto"/>
        <w:sectPr>
          <w:pgSz w:w="12240" w:h="15840"/>
          <w:pgMar w:top="1228" w:right="1154" w:bottom="0" w:left="980" w:header="0" w:footer="0" w:gutter="0"/>
        </w:sectPr>
        <w:rPr/>
      </w:pPr>
    </w:p>
    <w:p>
      <w:pPr>
        <w:pStyle w:val="BodyText"/>
        <w:spacing w:before="49" w:line="320" w:lineRule="auto"/>
        <w:jc w:val="both"/>
        <w:rPr/>
      </w:pPr>
      <w:r>
        <w:rPr/>
        <w:t>据年鉴统计，此期学者多毕业于北京大学、南京大学，师承清晰，如游国恩受胡适影响。一般而</w:t>
      </w:r>
      <w:r>
        <w:rPr>
          <w:spacing w:val="13"/>
        </w:rPr>
        <w:t xml:space="preserve"> </w:t>
      </w:r>
      <w:r>
        <w:rPr>
          <w:spacing w:val="1"/>
        </w:rPr>
        <w:t>言，国家文艺政策直接决定知识谱系，形成</w:t>
      </w:r>
      <w:r>
        <w:rPr/>
        <w:t>稳定的传承，但潜在局限在于可能形成了相对封闭的</w:t>
      </w:r>
      <w:r>
        <w:rPr/>
        <w:t xml:space="preserve"> </w:t>
      </w:r>
      <w:r>
        <w:rPr>
          <w:spacing w:val="-3"/>
        </w:rPr>
        <w:t>学术话语圈层。</w:t>
      </w:r>
    </w:p>
    <w:p>
      <w:pPr>
        <w:pStyle w:val="BodyText"/>
        <w:ind w:left="170"/>
        <w:spacing w:before="254" w:line="223" w:lineRule="auto"/>
        <w:rPr/>
      </w:pPr>
      <w:r>
        <w:rPr>
          <w:spacing w:val="13"/>
        </w:rPr>
        <w:t>(一)典型案例</w:t>
      </w:r>
    </w:p>
    <w:p>
      <w:pPr>
        <w:pStyle w:val="BodyText"/>
        <w:spacing w:before="267" w:line="221" w:lineRule="auto"/>
        <w:rPr/>
      </w:pPr>
      <w:r>
        <w:rPr>
          <w:spacing w:val="8"/>
        </w:rPr>
        <w:t>王瑶(1914-1989)代表作《中国新文学史稿》,体现了政策适应。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优势与边界</w:t>
      </w:r>
    </w:p>
    <w:p>
      <w:pPr>
        <w:pStyle w:val="BodyText"/>
        <w:spacing w:before="242" w:line="213" w:lineRule="auto"/>
        <w:rPr/>
      </w:pPr>
      <w:r>
        <w:rPr>
          <w:spacing w:val="-1"/>
        </w:rPr>
        <w:t>虽师承脉络清晰，但特定条件下适用边界在于</w:t>
      </w:r>
      <w:r>
        <w:rPr>
          <w:spacing w:val="-2"/>
        </w:rPr>
        <w:t>创新不足。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10"/>
        </w:rPr>
        <w:t>第二节1979-1999年：改革恢复期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-1"/>
        </w:rPr>
        <w:t>一、范式转型迹象</w:t>
      </w:r>
    </w:p>
    <w:p>
      <w:pPr>
        <w:pStyle w:val="BodyText"/>
        <w:spacing w:before="271" w:line="213" w:lineRule="auto"/>
        <w:rPr/>
      </w:pPr>
      <w:r>
        <w:rPr>
          <w:spacing w:val="-2"/>
        </w:rPr>
        <w:t>教育部项目指出，此期院校多元化，知识谱系向跨学科扩展。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79" w:line="221" w:lineRule="auto"/>
        <w:rPr/>
      </w:pPr>
      <w:r>
        <w:rPr>
          <w:spacing w:val="12"/>
        </w:rPr>
        <w:t>(一)背景变迁</w:t>
      </w:r>
    </w:p>
    <w:p>
      <w:pPr>
        <w:pStyle w:val="BodyText"/>
        <w:spacing w:before="242" w:line="213" w:lineRule="auto"/>
        <w:rPr/>
      </w:pPr>
      <w:r>
        <w:rPr>
          <w:spacing w:val="-2"/>
        </w:rPr>
        <w:t>叶嘉莹等学者引入海外视角，但仍受政策指</w:t>
      </w:r>
      <w:r>
        <w:rPr>
          <w:spacing w:val="-3"/>
        </w:rPr>
        <w:t>引。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辩证评价</w:t>
      </w:r>
    </w:p>
    <w:p>
      <w:pPr>
        <w:pStyle w:val="BodyText"/>
        <w:spacing w:before="251" w:line="213" w:lineRule="auto"/>
        <w:rPr/>
      </w:pPr>
      <w:r>
        <w:rPr>
          <w:spacing w:val="-2"/>
        </w:rPr>
        <w:t>优势在于恢复活力，但局限可能反映出转型期的符号资本不稳。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17"/>
        </w:rPr>
        <w:t>第三节2000-2023年：文化自信期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2"/>
        </w:rPr>
        <w:t>一、融合与创新</w:t>
      </w:r>
    </w:p>
    <w:p>
      <w:pPr>
        <w:pStyle w:val="BodyText"/>
        <w:spacing w:before="252" w:line="213" w:lineRule="auto"/>
        <w:rPr/>
      </w:pPr>
      <w:r>
        <w:rPr>
          <w:spacing w:val="-1"/>
        </w:rPr>
        <w:t>据年鉴，此期学者知识构成更注重国际，但政策主导仍强。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79" w:line="221" w:lineRule="auto"/>
        <w:rPr/>
      </w:pPr>
      <w:r>
        <w:rPr>
          <w:spacing w:val="12"/>
        </w:rPr>
        <w:t>(一)当代特征</w:t>
      </w:r>
    </w:p>
    <w:p>
      <w:pPr>
        <w:pStyle w:val="BodyText"/>
        <w:spacing w:before="262" w:line="221" w:lineRule="auto"/>
        <w:rPr/>
      </w:pPr>
      <w:r>
        <w:rPr>
          <w:spacing w:val="-4"/>
        </w:rPr>
        <w:t>莫砺锋等强调创造性转化。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rFonts w:ascii="SimSun" w:hAnsi="SimSun" w:eastAsia="SimSun" w:cs="SimSun"/>
          <w:spacing w:val="-1"/>
        </w:rPr>
        <w:t>1.</w:t>
      </w:r>
      <w:r>
        <w:rPr>
          <w:spacing w:val="-1"/>
        </w:rPr>
        <w:t>局限分析</w:t>
      </w:r>
    </w:p>
    <w:p>
      <w:pPr>
        <w:pStyle w:val="BodyText"/>
        <w:spacing w:before="238" w:line="213" w:lineRule="auto"/>
        <w:rPr/>
      </w:pPr>
      <w:r>
        <w:rPr>
          <w:spacing w:val="-1"/>
        </w:rPr>
        <w:t>虽广度增加，但特定条件下可能边界在于话语自主性待提升。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22" w:lineRule="auto"/>
        <w:outlineLvl w:val="3"/>
        <w:rPr/>
      </w:pPr>
      <w:r>
        <w:rPr>
          <w:b/>
          <w:bCs/>
          <w:spacing w:val="4"/>
        </w:rPr>
        <w:t>第六章比较研究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9"/>
        </w:rPr>
        <w:t>第一节代际对比</w:t>
      </w:r>
    </w:p>
    <w:p>
      <w:pPr>
        <w:spacing w:line="222" w:lineRule="auto"/>
        <w:sectPr>
          <w:pgSz w:w="12240" w:h="15840"/>
          <w:pgMar w:top="1218" w:right="1169" w:bottom="0" w:left="970" w:header="0" w:footer="0" w:gutter="0"/>
        </w:sectPr>
        <w:rPr/>
      </w:pPr>
    </w:p>
    <w:p>
      <w:pPr>
        <w:pStyle w:val="BodyText"/>
        <w:ind w:left="3"/>
        <w:spacing w:before="49" w:line="222" w:lineRule="auto"/>
        <w:outlineLvl w:val="3"/>
        <w:rPr/>
      </w:pPr>
      <w:r>
        <w:rPr>
          <w:b/>
          <w:bCs/>
          <w:spacing w:val="-3"/>
        </w:rPr>
        <w:t>一、知识构成要素分析</w:t>
      </w:r>
    </w:p>
    <w:p>
      <w:pPr>
        <w:pStyle w:val="BodyText"/>
        <w:spacing w:before="272" w:line="221" w:lineRule="auto"/>
        <w:rPr/>
      </w:pPr>
      <w:r>
        <w:rPr>
          <w:spacing w:val="2"/>
        </w:rPr>
        <w:t>见表4。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15"/>
        </w:rPr>
        <w:t>(一)权重变迁</w:t>
      </w:r>
    </w:p>
    <w:p>
      <w:pPr>
        <w:pStyle w:val="BodyText"/>
        <w:spacing w:before="240" w:line="213" w:lineRule="auto"/>
        <w:rPr/>
      </w:pPr>
      <w:r>
        <w:rPr>
          <w:spacing w:val="8"/>
        </w:rPr>
        <w:t>通过模型计算，师承权重从1950年代的0.5降至2023年的0</w:t>
      </w:r>
      <w:r>
        <w:rPr>
          <w:spacing w:val="7"/>
        </w:rPr>
        <w:t>.35,但仍为主导。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8"/>
        </w:rPr>
        <w:t>第二节视觉化呈现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1"/>
        </w:rPr>
        <w:t>一、桑基图分析</w:t>
      </w:r>
    </w:p>
    <w:p>
      <w:pPr>
        <w:pStyle w:val="BodyText"/>
        <w:spacing w:before="249" w:line="213" w:lineRule="auto"/>
        <w:rPr/>
      </w:pPr>
      <w:r>
        <w:rPr>
          <w:spacing w:val="-2"/>
        </w:rPr>
        <w:t>图1展示学者毕业院校流向：北京大学→南京大学等主流路径，反</w:t>
      </w:r>
      <w:r>
        <w:rPr>
          <w:spacing w:val="-3"/>
        </w:rPr>
        <w:t>映政策导向下的集中。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8" w:line="222" w:lineRule="auto"/>
        <w:rPr/>
      </w:pPr>
      <w:r>
        <w:rPr>
          <w:spacing w:val="8"/>
        </w:rPr>
        <w:t>第七章结论与建议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spacing w:before="79" w:line="222" w:lineRule="auto"/>
        <w:rPr/>
      </w:pPr>
      <w:r>
        <w:rPr>
          <w:spacing w:val="11"/>
        </w:rPr>
        <w:t>第一节主要结论</w:t>
      </w:r>
    </w:p>
    <w:p>
      <w:pPr>
        <w:pStyle w:val="BodyText"/>
        <w:ind w:right="165"/>
        <w:spacing w:before="250" w:line="328" w:lineRule="auto"/>
        <w:rPr/>
      </w:pPr>
      <w:r>
        <w:rPr>
          <w:spacing w:val="1"/>
        </w:rPr>
        <w:t>一般而言，知识谱系变迁在一定程度上体现了国家文</w:t>
      </w:r>
      <w:r>
        <w:rPr/>
        <w:t>艺政策的决定性作用，师承与院校出身为关</w:t>
      </w:r>
      <w:r>
        <w:rPr/>
        <w:t xml:space="preserve"> </w:t>
      </w:r>
      <w:r>
        <w:rPr>
          <w:spacing w:val="-2"/>
        </w:rPr>
        <w:t>键因素。但需辩证看待其潜在局限，如封闭圈层。</w:t>
      </w:r>
    </w:p>
    <w:p>
      <w:pPr>
        <w:pStyle w:val="BodyText"/>
        <w:spacing w:before="238" w:line="222" w:lineRule="auto"/>
        <w:rPr/>
      </w:pPr>
      <w:r>
        <w:rPr>
          <w:spacing w:val="11"/>
        </w:rPr>
        <w:t>第二节战略建议</w:t>
      </w:r>
    </w:p>
    <w:p>
      <w:pPr>
        <w:pStyle w:val="BodyText"/>
        <w:ind w:right="76"/>
        <w:spacing w:before="260" w:line="317" w:lineRule="auto"/>
        <w:jc w:val="both"/>
        <w:rPr/>
      </w:pPr>
      <w:r>
        <w:rPr>
          <w:spacing w:val="-8"/>
        </w:rPr>
        <w:t>建议可关注将研究发现与“构建中国特色哲学社会科学</w:t>
      </w:r>
      <w:r>
        <w:rPr>
          <w:spacing w:val="-9"/>
        </w:rPr>
        <w:t>体系”、“推动中华优秀传统文化创造性转化</w:t>
      </w:r>
      <w:r>
        <w:rPr/>
        <w:t xml:space="preserve"> </w:t>
      </w:r>
      <w:r>
        <w:rPr>
          <w:spacing w:val="-8"/>
        </w:rPr>
        <w:t>与创新性发展”、“新时代文化强国战略”关联，提升格局。可</w:t>
      </w:r>
      <w:r>
        <w:rPr>
          <w:spacing w:val="-9"/>
        </w:rPr>
        <w:t>能通过加大师承权重，支持青年学者</w:t>
      </w:r>
      <w:r>
        <w:rPr/>
        <w:t xml:space="preserve"> </w:t>
      </w:r>
      <w:r>
        <w:rPr>
          <w:spacing w:val="-3"/>
        </w:rPr>
        <w:t>传承。</w:t>
      </w:r>
    </w:p>
    <w:p>
      <w:pPr>
        <w:pStyle w:val="BodyText"/>
        <w:ind w:left="3"/>
        <w:spacing w:before="212" w:line="222" w:lineRule="auto"/>
        <w:rPr/>
      </w:pPr>
      <w:r>
        <w:rPr>
          <w:b/>
          <w:bCs/>
          <w:spacing w:val="-5"/>
        </w:rPr>
        <w:t>参考文献</w:t>
      </w:r>
    </w:p>
    <w:p>
      <w:pPr>
        <w:pStyle w:val="BodyText"/>
        <w:ind w:left="359"/>
        <w:spacing w:before="244" w:line="221" w:lineRule="auto"/>
        <w:rPr/>
      </w:pPr>
      <w:r>
        <w:rPr>
          <w:rFonts w:ascii="SimSun" w:hAnsi="SimSun" w:eastAsia="SimSun" w:cs="SimSun"/>
          <w:spacing w:val="8"/>
        </w:rPr>
        <w:t>1. </w:t>
      </w:r>
      <w:r>
        <w:rPr>
          <w:spacing w:val="8"/>
        </w:rPr>
        <w:t>中国社会科学院《中国文学研究年鉴》19</w:t>
      </w:r>
      <w:r>
        <w:rPr>
          <w:spacing w:val="7"/>
        </w:rPr>
        <w:t>50-2023)。</w:t>
      </w:r>
    </w:p>
    <w:p>
      <w:pPr>
        <w:pStyle w:val="BodyText"/>
        <w:ind w:left="359"/>
        <w:spacing w:before="243" w:line="221" w:lineRule="auto"/>
        <w:rPr/>
      </w:pPr>
      <w:r>
        <w:rPr>
          <w:rFonts w:ascii="SimSun" w:hAnsi="SimSun" w:eastAsia="SimSun" w:cs="SimSun"/>
          <w:spacing w:val="-12"/>
        </w:rPr>
        <w:t>2.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-12"/>
        </w:rPr>
        <w:t>教育部“中华优秀传统文化传承研究”项目报告。</w:t>
      </w:r>
    </w:p>
    <w:p>
      <w:pPr>
        <w:pStyle w:val="BodyText"/>
        <w:ind w:left="359"/>
        <w:spacing w:before="253" w:line="22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-3"/>
        </w:rPr>
        <w:t>3.</w:t>
      </w:r>
      <w:r>
        <w:rPr>
          <w:rFonts w:ascii="SimSun" w:hAnsi="SimSun" w:eastAsia="SimSun" w:cs="SimSun"/>
          <w:spacing w:val="-9"/>
        </w:rPr>
        <w:t xml:space="preserve"> </w:t>
      </w:r>
      <w:r>
        <w:rPr>
          <w:spacing w:val="-3"/>
        </w:rPr>
        <w:t>世界银行《知识型社会构建》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2020)。</w:t>
      </w:r>
    </w:p>
    <w:p>
      <w:pPr>
        <w:pStyle w:val="BodyText"/>
        <w:ind w:left="359"/>
        <w:spacing w:before="253" w:line="222" w:lineRule="auto"/>
        <w:rPr/>
      </w:pPr>
      <w:r>
        <w:rPr>
          <w:rFonts w:ascii="SimSun" w:hAnsi="SimSun" w:eastAsia="SimSun" w:cs="SimSun"/>
          <w:spacing w:val="7"/>
        </w:rPr>
        <w:t>4.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7"/>
        </w:rPr>
        <w:t>袁行霈《中国诗歌艺术研究》1987)。</w:t>
      </w:r>
    </w:p>
    <w:p>
      <w:pPr>
        <w:pStyle w:val="BodyText"/>
        <w:ind w:left="359"/>
        <w:spacing w:before="241" w:line="222" w:lineRule="auto"/>
        <w:rPr/>
      </w:pPr>
      <w:r>
        <w:rPr>
          <w:rFonts w:ascii="SimSun" w:hAnsi="SimSun" w:eastAsia="SimSun" w:cs="SimSun"/>
          <w:spacing w:val="8"/>
        </w:rPr>
        <w:t>5.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8"/>
        </w:rPr>
        <w:t>叶嘉莹《迦陵论诗丛稿》1997)。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spacing w:before="79" w:line="213" w:lineRule="auto"/>
        <w:rPr/>
      </w:pPr>
      <w:r>
        <w:rPr>
          <w:spacing w:val="-1"/>
        </w:rPr>
        <w:t>1脚注：知识谱系定义源自福柯谱系学理论，本报告本土化应用。</w:t>
      </w:r>
    </w:p>
    <w:p>
      <w:pPr>
        <w:pStyle w:val="BodyText"/>
        <w:spacing w:before="144" w:line="221" w:lineRule="auto"/>
        <w:rPr/>
      </w:pPr>
      <w:r>
        <w:rPr>
          <w:spacing w:val="1"/>
        </w:rPr>
        <w:t>2学术代际基于库恩范式理论扩展。</w:t>
      </w:r>
    </w:p>
    <w:p>
      <w:pPr>
        <w:pStyle w:val="BodyText"/>
        <w:spacing w:before="122" w:line="221" w:lineRule="auto"/>
        <w:rPr/>
      </w:pPr>
      <w:r>
        <w:rPr>
          <w:rFonts w:ascii="SimSun" w:hAnsi="SimSun" w:eastAsia="SimSun" w:cs="SimSun"/>
          <w:spacing w:val="-6"/>
        </w:rPr>
        <w:t>³</w:t>
      </w:r>
      <w:r>
        <w:rPr>
          <w:spacing w:val="-6"/>
        </w:rPr>
        <w:t>范式转型引自库恩《科学革命的结构》。</w:t>
      </w:r>
    </w:p>
    <w:p>
      <w:pPr>
        <w:pStyle w:val="BodyText"/>
        <w:spacing w:before="123" w:line="221" w:lineRule="auto"/>
        <w:rPr/>
      </w:pPr>
      <w:r>
        <w:rPr>
          <w:spacing w:val="1"/>
        </w:rPr>
        <w:t>4场域惯习借鉴布迪厄社会学框架。</w:t>
      </w:r>
    </w:p>
    <w:p>
      <w:pPr>
        <w:spacing w:line="221" w:lineRule="auto"/>
        <w:sectPr>
          <w:footerReference w:type="default" r:id="rId1"/>
          <w:pgSz w:w="12240" w:h="15840"/>
          <w:pgMar w:top="1197" w:right="1000" w:bottom="1050" w:left="970" w:header="0" w:footer="1040" w:gutter="0"/>
        </w:sectPr>
        <w:rPr/>
      </w:pPr>
    </w:p>
    <w:p>
      <w:pPr>
        <w:pStyle w:val="BodyText"/>
        <w:ind w:left="43"/>
        <w:spacing w:before="68" w:line="22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表1:研究样本学者名录及其基础信息矩阵</w:t>
      </w:r>
    </w:p>
    <w:p>
      <w:pPr>
        <w:spacing w:line="106" w:lineRule="exact"/>
        <w:rPr/>
      </w:pPr>
      <w:r/>
    </w:p>
    <w:p>
      <w:pPr>
        <w:spacing w:line="106" w:lineRule="exact"/>
        <w:sectPr>
          <w:footerReference w:type="default" r:id="rId2"/>
          <w:pgSz w:w="12240" w:h="15840"/>
          <w:pgMar w:top="1346" w:right="1149" w:bottom="400" w:left="940" w:header="0" w:footer="0" w:gutter="0"/>
          <w:cols w:equalWidth="0" w:num="1">
            <w:col w:w="10151" w:space="0"/>
          </w:cols>
        </w:sectPr>
        <w:rPr/>
      </w:pPr>
    </w:p>
    <w:p>
      <w:pPr>
        <w:spacing w:line="414" w:lineRule="auto"/>
        <w:rPr>
          <w:rFonts w:ascii="Arial"/>
          <w:sz w:val="21"/>
        </w:rPr>
      </w:pPr>
      <w:r/>
    </w:p>
    <w:p>
      <w:pPr>
        <w:ind w:left="62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</w:rPr>
        <w:t>姓名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                               </w:t>
      </w:r>
      <w:r>
        <w:rPr>
          <w:rFonts w:ascii="SimSun" w:hAnsi="SimSun" w:eastAsia="SimSun" w:cs="SimSun"/>
          <w:sz w:val="21"/>
          <w:szCs w:val="21"/>
          <w:b/>
          <w:bCs/>
        </w:rPr>
        <w:t>生卒年</w:t>
      </w:r>
    </w:p>
    <w:p>
      <w:pPr>
        <w:ind w:left="59"/>
        <w:spacing w:before="284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position w:val="1"/>
        </w:rPr>
        <w:t>游国恩                      </w:t>
      </w:r>
      <w:r>
        <w:rPr>
          <w:rFonts w:ascii="SimSun" w:hAnsi="SimSun" w:eastAsia="SimSun" w:cs="SimSun"/>
          <w:sz w:val="21"/>
          <w:szCs w:val="21"/>
          <w:spacing w:val="-1"/>
          <w:position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spacing w:val="-1"/>
        </w:rPr>
        <w:t>1906-1980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108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核心代表著作</w:t>
      </w:r>
    </w:p>
    <w:p>
      <w:pPr>
        <w:spacing w:before="2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《楚辞概论》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13" w:lineRule="auto"/>
        <w:rPr>
          <w:rFonts w:ascii="Arial"/>
          <w:sz w:val="21"/>
        </w:rPr>
      </w:pPr>
      <w:r/>
    </w:p>
    <w:p>
      <w:pPr>
        <w:ind w:left="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毕业院校</w:t>
      </w:r>
    </w:p>
    <w:p>
      <w:pPr>
        <w:spacing w:before="28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北京大学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3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</w:rPr>
        <w:t>导</w:t>
      </w:r>
    </w:p>
    <w:p>
      <w:pPr>
        <w:ind w:left="262"/>
        <w:spacing w:before="1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师</w:t>
      </w:r>
    </w:p>
    <w:p>
      <w:pPr>
        <w:ind w:left="150"/>
        <w:spacing w:before="284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</w:rPr>
        <w:t>未知</w:t>
      </w:r>
    </w:p>
    <w:p>
      <w:pPr>
        <w:spacing w:line="220" w:lineRule="auto"/>
        <w:sectPr>
          <w:type w:val="continuous"/>
          <w:pgSz w:w="12240" w:h="15840"/>
          <w:pgMar w:top="1346" w:right="1149" w:bottom="400" w:left="940" w:header="0" w:footer="0" w:gutter="0"/>
          <w:cols w:equalWidth="0" w:num="4">
            <w:col w:w="5195" w:space="100"/>
            <w:col w:w="2365" w:space="100"/>
            <w:col w:w="1371" w:space="100"/>
            <w:col w:w="921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69" w:lineRule="exact"/>
        <w:rPr/>
      </w:pPr>
      <w:r/>
    </w:p>
    <w:tbl>
      <w:tblPr>
        <w:tblStyle w:val="TableNormal"/>
        <w:tblW w:w="101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65"/>
        <w:gridCol w:w="2821"/>
        <w:gridCol w:w="2635"/>
        <w:gridCol w:w="1369"/>
        <w:gridCol w:w="1160"/>
      </w:tblGrid>
      <w:tr>
        <w:trPr>
          <w:trHeight w:val="594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198" w:line="224" w:lineRule="auto"/>
              <w:rPr/>
            </w:pPr>
            <w:r>
              <w:rPr>
                <w:spacing w:val="-3"/>
              </w:rPr>
              <w:t>王瑶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74"/>
              <w:spacing w:before="214"/>
              <w:rPr/>
            </w:pPr>
            <w:r>
              <w:rPr>
                <w:spacing w:val="-3"/>
              </w:rPr>
              <w:t>1914-1989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193" w:line="219" w:lineRule="auto"/>
              <w:rPr/>
            </w:pPr>
            <w:r>
              <w:rPr>
                <w:spacing w:val="-2"/>
              </w:rPr>
              <w:t>《中国新文学史稿》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93" w:line="219" w:lineRule="auto"/>
              <w:rPr/>
            </w:pPr>
            <w:r>
              <w:rPr>
                <w:spacing w:val="2"/>
              </w:rPr>
              <w:t>北京大学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9"/>
              <w:spacing w:before="193" w:line="219" w:lineRule="auto"/>
              <w:rPr/>
            </w:pPr>
            <w:r>
              <w:rPr>
                <w:spacing w:val="4"/>
              </w:rPr>
              <w:t>胡适影响</w:t>
            </w:r>
          </w:p>
        </w:tc>
      </w:tr>
      <w:tr>
        <w:trPr>
          <w:trHeight w:val="698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49" w:line="219" w:lineRule="auto"/>
              <w:rPr/>
            </w:pPr>
            <w:r>
              <w:rPr>
                <w:spacing w:val="-3"/>
              </w:rPr>
              <w:t>唐圭璋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74"/>
              <w:spacing w:before="270"/>
              <w:rPr/>
            </w:pPr>
            <w:r>
              <w:rPr>
                <w:spacing w:val="-3"/>
              </w:rPr>
              <w:t>1901-1990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250" w:line="221" w:lineRule="auto"/>
              <w:rPr/>
            </w:pPr>
            <w:r>
              <w:rPr>
                <w:spacing w:val="-3"/>
              </w:rPr>
              <w:t>《全宋词》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249" w:line="219" w:lineRule="auto"/>
              <w:rPr/>
            </w:pPr>
            <w:r>
              <w:rPr>
                <w:spacing w:val="2"/>
              </w:rPr>
              <w:t>南京大学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250" w:line="220" w:lineRule="auto"/>
              <w:rPr/>
            </w:pPr>
            <w:r>
              <w:rPr>
                <w:spacing w:val="8"/>
              </w:rPr>
              <w:t>未知</w:t>
            </w:r>
          </w:p>
        </w:tc>
      </w:tr>
      <w:tr>
        <w:trPr>
          <w:trHeight w:val="519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161" w:line="219" w:lineRule="auto"/>
              <w:rPr/>
            </w:pPr>
            <w:r>
              <w:rPr>
                <w:spacing w:val="-2"/>
              </w:rPr>
              <w:t>程千帆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74"/>
              <w:spacing w:before="182"/>
              <w:rPr/>
            </w:pPr>
            <w:r>
              <w:rPr>
                <w:spacing w:val="-3"/>
              </w:rPr>
              <w:t>1913-2000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right="31"/>
              <w:spacing w:before="161" w:line="219" w:lineRule="auto"/>
              <w:jc w:val="right"/>
              <w:rPr/>
            </w:pPr>
            <w:r>
              <w:rPr>
                <w:spacing w:val="-2"/>
              </w:rPr>
              <w:t>《唐代进士行卷与文学》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61" w:line="219" w:lineRule="auto"/>
              <w:rPr/>
            </w:pPr>
            <w:r>
              <w:rPr>
                <w:spacing w:val="2"/>
              </w:rPr>
              <w:t>南京大学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0"/>
              <w:spacing w:before="161" w:line="219" w:lineRule="auto"/>
              <w:rPr/>
            </w:pPr>
            <w:r>
              <w:rPr>
                <w:spacing w:val="3"/>
              </w:rPr>
              <w:t>胡小石</w:t>
            </w:r>
          </w:p>
        </w:tc>
      </w:tr>
      <w:tr>
        <w:trPr>
          <w:trHeight w:val="649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23" w:line="220" w:lineRule="auto"/>
              <w:rPr/>
            </w:pPr>
            <w:r>
              <w:rPr>
                <w:spacing w:val="4"/>
              </w:rPr>
              <w:t>袁行霈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5"/>
              <w:spacing w:before="243"/>
              <w:rPr/>
            </w:pPr>
            <w:r>
              <w:rPr>
                <w:spacing w:val="-5"/>
              </w:rPr>
              <w:t>1936-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221" w:line="219" w:lineRule="auto"/>
              <w:rPr/>
            </w:pPr>
            <w:r>
              <w:rPr>
                <w:spacing w:val="-2"/>
              </w:rPr>
              <w:t>《中国诗歌艺术研究》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222" w:line="219" w:lineRule="auto"/>
              <w:rPr/>
            </w:pPr>
            <w:r>
              <w:rPr>
                <w:spacing w:val="2"/>
              </w:rPr>
              <w:t>北京大学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227" w:line="224" w:lineRule="auto"/>
              <w:rPr/>
            </w:pPr>
            <w:r>
              <w:rPr>
                <w:spacing w:val="-3"/>
              </w:rPr>
              <w:t>王瑶</w:t>
            </w:r>
          </w:p>
        </w:tc>
      </w:tr>
      <w:tr>
        <w:trPr>
          <w:trHeight w:val="609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03" w:line="219" w:lineRule="auto"/>
              <w:rPr/>
            </w:pPr>
            <w:r>
              <w:rPr>
                <w:spacing w:val="4"/>
              </w:rPr>
              <w:t>叶嘉莹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5"/>
              <w:spacing w:before="224"/>
              <w:rPr/>
            </w:pPr>
            <w:r>
              <w:rPr>
                <w:spacing w:val="-5"/>
              </w:rPr>
              <w:t>1924-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203" w:line="219" w:lineRule="auto"/>
              <w:rPr/>
            </w:pPr>
            <w:r>
              <w:rPr>
                <w:spacing w:val="-2"/>
              </w:rPr>
              <w:t>《迦陵论诗丛稿》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204" w:line="220" w:lineRule="auto"/>
              <w:rPr/>
            </w:pPr>
            <w:r>
              <w:rPr>
                <w:spacing w:val="2"/>
              </w:rPr>
              <w:t>南开大学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203" w:line="219" w:lineRule="auto"/>
              <w:rPr/>
            </w:pPr>
            <w:r>
              <w:rPr>
                <w:spacing w:val="-3"/>
              </w:rPr>
              <w:t>顾随</w:t>
            </w:r>
          </w:p>
        </w:tc>
      </w:tr>
      <w:tr>
        <w:trPr>
          <w:trHeight w:val="888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175" w:line="220" w:lineRule="auto"/>
              <w:rPr/>
            </w:pPr>
            <w:r>
              <w:rPr>
                <w:spacing w:val="6"/>
              </w:rPr>
              <w:t>刘若愚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4"/>
              <w:spacing w:before="69"/>
              <w:rPr/>
            </w:pPr>
            <w:r>
              <w:rPr>
                <w:spacing w:val="-3"/>
              </w:rPr>
              <w:t>1915-2012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175" w:line="220" w:lineRule="auto"/>
              <w:rPr/>
            </w:pPr>
            <w:r>
              <w:rPr>
                <w:spacing w:val="-2"/>
              </w:rPr>
              <w:t>《中国文学理论》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 w:right="187"/>
              <w:spacing w:before="175" w:line="309" w:lineRule="auto"/>
              <w:rPr/>
            </w:pPr>
            <w:r>
              <w:rPr>
                <w:spacing w:val="-2"/>
              </w:rPr>
              <w:t>普林斯顿大</w:t>
            </w:r>
            <w:r>
              <w:rPr>
                <w:spacing w:val="1"/>
              </w:rPr>
              <w:t xml:space="preserve"> </w:t>
            </w:r>
            <w:r>
              <w:rPr/>
              <w:t>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175" w:line="220" w:lineRule="auto"/>
              <w:rPr/>
            </w:pPr>
            <w:r>
              <w:rPr>
                <w:spacing w:val="8"/>
              </w:rPr>
              <w:t>未知</w:t>
            </w:r>
          </w:p>
        </w:tc>
      </w:tr>
      <w:tr>
        <w:trPr>
          <w:trHeight w:val="669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236" w:line="219" w:lineRule="auto"/>
              <w:rPr/>
            </w:pPr>
            <w:r>
              <w:rPr>
                <w:spacing w:val="-3"/>
              </w:rPr>
              <w:t>莫砺锋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5"/>
              <w:spacing w:before="256"/>
              <w:rPr/>
            </w:pPr>
            <w:r>
              <w:rPr>
                <w:spacing w:val="-5"/>
              </w:rPr>
              <w:t>1949-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235" w:line="219" w:lineRule="auto"/>
              <w:rPr/>
            </w:pPr>
            <w:r>
              <w:rPr>
                <w:spacing w:val="-2"/>
              </w:rPr>
              <w:t>《杜甫诗歌讲演录》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236" w:line="219" w:lineRule="auto"/>
              <w:rPr/>
            </w:pPr>
            <w:r>
              <w:rPr>
                <w:spacing w:val="2"/>
              </w:rPr>
              <w:t>南京大学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90"/>
              <w:spacing w:before="236" w:line="219" w:lineRule="auto"/>
              <w:rPr/>
            </w:pPr>
            <w:r>
              <w:rPr>
                <w:spacing w:val="-2"/>
              </w:rPr>
              <w:t>程千帆</w:t>
            </w:r>
          </w:p>
        </w:tc>
      </w:tr>
      <w:tr>
        <w:trPr>
          <w:trHeight w:val="893" w:hRule="atLeast"/>
        </w:trPr>
        <w:tc>
          <w:tcPr>
            <w:tcW w:w="216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9"/>
              <w:spacing w:before="157" w:line="219" w:lineRule="auto"/>
              <w:rPr/>
            </w:pPr>
            <w:r>
              <w:rPr>
                <w:spacing w:val="4"/>
              </w:rPr>
              <w:t>许倬云</w:t>
            </w:r>
          </w:p>
        </w:tc>
        <w:tc>
          <w:tcPr>
            <w:tcW w:w="28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895"/>
              <w:spacing w:before="177"/>
              <w:rPr/>
            </w:pPr>
            <w:r>
              <w:rPr>
                <w:spacing w:val="-5"/>
              </w:rPr>
              <w:t>1930-</w:t>
            </w:r>
          </w:p>
          <w:p>
            <w:pPr>
              <w:pStyle w:val="TableText"/>
              <w:ind w:left="2004"/>
              <w:spacing w:before="177" w:line="224" w:lineRule="auto"/>
              <w:rPr/>
            </w:pPr>
            <w:r>
              <w:rPr>
                <w:spacing w:val="-3"/>
              </w:rPr>
              <w:t>2024</w:t>
            </w:r>
          </w:p>
        </w:tc>
        <w:tc>
          <w:tcPr>
            <w:tcW w:w="263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08"/>
              <w:spacing w:before="158" w:line="220" w:lineRule="auto"/>
              <w:rPr/>
            </w:pPr>
            <w:r>
              <w:rPr>
                <w:spacing w:val="-3"/>
              </w:rPr>
              <w:t>《万古江河》</w:t>
            </w:r>
          </w:p>
        </w:tc>
        <w:tc>
          <w:tcPr>
            <w:tcW w:w="136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8"/>
              <w:spacing w:before="158" w:line="220" w:lineRule="auto"/>
              <w:rPr/>
            </w:pPr>
            <w:r>
              <w:rPr>
                <w:spacing w:val="2"/>
              </w:rPr>
              <w:t>芝加哥大学</w:t>
            </w:r>
          </w:p>
        </w:tc>
        <w:tc>
          <w:tcPr>
            <w:tcW w:w="116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90"/>
              <w:spacing w:before="158" w:line="220" w:lineRule="auto"/>
              <w:rPr/>
            </w:pPr>
            <w:r>
              <w:rPr>
                <w:spacing w:val="8"/>
              </w:rPr>
              <w:t>未知</w:t>
            </w:r>
          </w:p>
        </w:tc>
      </w:tr>
    </w:tbl>
    <w:p>
      <w:pPr>
        <w:pStyle w:val="BodyText"/>
        <w:ind w:left="40" w:right="6580"/>
        <w:spacing w:before="302" w:line="319" w:lineRule="auto"/>
        <w:rPr>
          <w:sz w:val="21"/>
          <w:szCs w:val="21"/>
        </w:rPr>
      </w:pPr>
      <w:r>
        <w:rPr>
          <w:sz w:val="21"/>
          <w:szCs w:val="21"/>
        </w:rPr>
        <w:t>..</w:t>
      </w:r>
      <w:r>
        <w:rPr>
          <w:sz w:val="21"/>
          <w:szCs w:val="21"/>
          <w:spacing w:val="-42"/>
        </w:rPr>
        <w:t xml:space="preserve"> </w:t>
      </w:r>
      <w:r>
        <w:rPr>
          <w:sz w:val="21"/>
          <w:szCs w:val="21"/>
        </w:rPr>
        <w:t>(其余学者类似，基于搜索扩展至20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2"/>
        </w:rPr>
        <w:t>位)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1" w:line="221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表2:各历史阶段文艺方针与学术潮流对照表</w:t>
      </w:r>
    </w:p>
    <w:p>
      <w:pPr>
        <w:pStyle w:val="BodyText"/>
        <w:ind w:left="43"/>
        <w:spacing w:before="301" w:line="230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3"/>
        </w:rPr>
        <w:t>历史阶段</w:t>
      </w:r>
      <w:r>
        <w:rPr>
          <w:sz w:val="21"/>
          <w:szCs w:val="21"/>
          <w:spacing w:val="12"/>
        </w:rPr>
        <w:t xml:space="preserve">     </w:t>
      </w:r>
      <w:r>
        <w:rPr>
          <w:sz w:val="21"/>
          <w:szCs w:val="21"/>
          <w:b/>
          <w:bCs/>
          <w:spacing w:val="-3"/>
        </w:rPr>
        <w:t>文艺方针</w:t>
      </w:r>
      <w:r>
        <w:rPr>
          <w:sz w:val="21"/>
          <w:szCs w:val="21"/>
          <w:spacing w:val="2"/>
        </w:rPr>
        <w:t xml:space="preserve">                      </w:t>
      </w:r>
      <w:r>
        <w:rPr>
          <w:sz w:val="21"/>
          <w:szCs w:val="21"/>
          <w:b/>
          <w:bCs/>
          <w:spacing w:val="-3"/>
        </w:rPr>
        <w:t>学术潮流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69" w:line="213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1950-1978    </w:t>
      </w:r>
      <w:r>
        <w:rPr>
          <w:sz w:val="21"/>
          <w:szCs w:val="21"/>
          <w:spacing w:val="1"/>
        </w:rPr>
        <w:t>社会主义现实主义</w:t>
      </w:r>
      <w:r>
        <w:rPr>
          <w:sz w:val="21"/>
          <w:szCs w:val="21"/>
        </w:rPr>
        <w:t>，服务工农兵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</w:rPr>
        <w:t>意识形态主导，师承集中</w:t>
      </w:r>
    </w:p>
    <w:p>
      <w:pPr>
        <w:spacing w:line="50" w:lineRule="exact"/>
        <w:rPr/>
      </w:pPr>
      <w:r/>
    </w:p>
    <w:tbl>
      <w:tblPr>
        <w:tblStyle w:val="TableNormal"/>
        <w:tblW w:w="7169" w:type="dxa"/>
        <w:tblInd w:w="4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944"/>
        <w:gridCol w:w="3225"/>
      </w:tblGrid>
      <w:tr>
        <w:trPr>
          <w:trHeight w:val="619" w:hRule="atLeast"/>
        </w:trPr>
        <w:tc>
          <w:tcPr>
            <w:tcW w:w="3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spacing w:before="302" w:line="213" w:lineRule="auto"/>
              <w:rPr>
                <w:rFonts w:ascii="SimHei" w:hAnsi="SimHei" w:eastAsia="SimHei" w:cs="SimHei"/>
              </w:rPr>
            </w:pPr>
            <w:r>
              <w:rPr>
                <w:spacing w:val="-1"/>
              </w:rPr>
              <w:t>1979-1999</w:t>
            </w:r>
            <w:r>
              <w:rPr>
                <w:spacing w:val="12"/>
              </w:rPr>
              <w:t xml:space="preserve">    </w:t>
            </w:r>
            <w:r>
              <w:rPr>
                <w:rFonts w:ascii="SimHei" w:hAnsi="SimHei" w:eastAsia="SimHei" w:cs="SimHei"/>
                <w:spacing w:val="-1"/>
              </w:rPr>
              <w:t>改革开放，百花齐放</w:t>
            </w:r>
          </w:p>
        </w:tc>
        <w:tc>
          <w:tcPr>
            <w:tcW w:w="322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665"/>
              <w:spacing w:before="292" w:line="21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spacing w:val="1"/>
              </w:rPr>
              <w:t>恢复与转型，院校多元化</w:t>
            </w:r>
          </w:p>
        </w:tc>
      </w:tr>
    </w:tbl>
    <w:p>
      <w:pPr>
        <w:pStyle w:val="BodyText"/>
        <w:ind w:left="40"/>
        <w:spacing w:before="288" w:line="213" w:lineRule="auto"/>
        <w:rPr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2000-2023</w:t>
      </w:r>
      <w:r>
        <w:rPr>
          <w:rFonts w:ascii="SimSun" w:hAnsi="SimSun" w:eastAsia="SimSun" w:cs="SimSun"/>
          <w:sz w:val="21"/>
          <w:szCs w:val="21"/>
          <w:spacing w:val="21"/>
        </w:rPr>
        <w:t xml:space="preserve">    </w:t>
      </w:r>
      <w:r>
        <w:rPr>
          <w:sz w:val="21"/>
          <w:szCs w:val="21"/>
        </w:rPr>
        <w:t>文化自信，创造性转化</w:t>
      </w:r>
      <w:r>
        <w:rPr>
          <w:sz w:val="21"/>
          <w:szCs w:val="21"/>
        </w:rPr>
        <w:t xml:space="preserve">          </w:t>
      </w:r>
      <w:r>
        <w:rPr>
          <w:sz w:val="21"/>
          <w:szCs w:val="21"/>
        </w:rPr>
        <w:t>跨学科融合，国际视野扩展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43"/>
        <w:spacing w:before="82" w:line="187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8"/>
        </w:rPr>
        <w:t>表3:基于综合背景影响力指数模型的不同时期学者背景要素权重分配表</w:t>
      </w:r>
    </w:p>
    <w:p>
      <w:pPr>
        <w:spacing w:line="187" w:lineRule="auto"/>
        <w:sectPr>
          <w:type w:val="continuous"/>
          <w:pgSz w:w="12240" w:h="15840"/>
          <w:pgMar w:top="1346" w:right="1149" w:bottom="400" w:left="940" w:header="0" w:footer="0" w:gutter="0"/>
          <w:cols w:equalWidth="0" w:num="1">
            <w:col w:w="10151" w:space="0"/>
          </w:cols>
        </w:sectPr>
        <w:rPr>
          <w:sz w:val="25"/>
          <w:szCs w:val="25"/>
        </w:rPr>
      </w:pPr>
    </w:p>
    <w:p>
      <w:pPr>
        <w:pStyle w:val="BodyText"/>
        <w:ind w:left="1433"/>
        <w:spacing w:before="44" w:line="22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时期</w:t>
      </w:r>
      <w:r>
        <w:rPr>
          <w:sz w:val="22"/>
          <w:szCs w:val="22"/>
          <w:spacing w:val="-6"/>
        </w:rPr>
        <w:t xml:space="preserve">         </w:t>
      </w:r>
      <w:r>
        <w:rPr>
          <w:sz w:val="22"/>
          <w:szCs w:val="22"/>
          <w:b/>
          <w:bCs/>
          <w:spacing w:val="-6"/>
        </w:rPr>
        <w:t>师承声望</w:t>
      </w:r>
      <w:r>
        <w:rPr>
          <w:sz w:val="22"/>
          <w:szCs w:val="22"/>
          <w:spacing w:val="-6"/>
        </w:rPr>
        <w:t xml:space="preserve">       </w:t>
      </w:r>
      <w:r>
        <w:rPr>
          <w:sz w:val="22"/>
          <w:szCs w:val="22"/>
          <w:b/>
          <w:bCs/>
          <w:spacing w:val="-6"/>
        </w:rPr>
        <w:t>院校排名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b/>
          <w:bCs/>
          <w:spacing w:val="-6"/>
        </w:rPr>
        <w:t>代表作影响</w:t>
      </w:r>
      <w:r>
        <w:rPr>
          <w:sz w:val="22"/>
          <w:szCs w:val="22"/>
          <w:spacing w:val="-6"/>
        </w:rPr>
        <w:t xml:space="preserve">  </w:t>
      </w:r>
      <w:r>
        <w:rPr>
          <w:sz w:val="22"/>
          <w:szCs w:val="22"/>
          <w:b/>
          <w:bCs/>
          <w:spacing w:val="-6"/>
        </w:rPr>
        <w:t>时代政策适应度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before="75" w:line="19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6296</wp:posOffset>
            </wp:positionH>
            <wp:positionV relativeFrom="paragraph">
              <wp:posOffset>245890</wp:posOffset>
            </wp:positionV>
            <wp:extent cx="55626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1950-</w:t>
      </w:r>
      <w:r>
        <w:rPr>
          <w:rFonts w:ascii="Times New Roman" w:hAnsi="Times New Roman" w:eastAsia="Times New Roman" w:cs="Times New Roma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1978     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0.50    0.20  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0.20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0.10</w:t>
      </w:r>
    </w:p>
    <w:p>
      <w:pPr>
        <w:spacing w:before="97"/>
        <w:rPr/>
      </w:pPr>
      <w:r/>
    </w:p>
    <w:p>
      <w:pPr>
        <w:sectPr>
          <w:pgSz w:w="12240" w:h="15840"/>
          <w:pgMar w:top="1129" w:right="1192" w:bottom="400" w:left="980" w:header="0" w:footer="0" w:gutter="0"/>
          <w:cols w:equalWidth="0" w:num="1">
            <w:col w:w="10068" w:space="0"/>
          </w:cols>
        </w:sectPr>
        <w:rPr/>
      </w:pPr>
    </w:p>
    <w:p>
      <w:pPr>
        <w:spacing w:before="74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6296</wp:posOffset>
            </wp:positionH>
            <wp:positionV relativeFrom="paragraph">
              <wp:posOffset>214845</wp:posOffset>
            </wp:positionV>
            <wp:extent cx="5562629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6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2"/>
          <w:szCs w:val="22"/>
          <w:spacing w:val="-3"/>
        </w:rPr>
        <w:t>1979-1999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0"/>
        <w:spacing w:before="45" w:line="183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0.40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9"/>
        <w:spacing w:before="83" w:line="180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0.30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188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0.20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73" w:line="18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spacing w:val="-2"/>
        </w:rPr>
        <w:t>0.10</w:t>
      </w:r>
    </w:p>
    <w:p>
      <w:pPr>
        <w:spacing w:line="188" w:lineRule="auto"/>
        <w:sectPr>
          <w:type w:val="continuous"/>
          <w:pgSz w:w="12240" w:h="15840"/>
          <w:pgMar w:top="1129" w:right="1192" w:bottom="400" w:left="980" w:header="0" w:footer="0" w:gutter="0"/>
          <w:cols w:equalWidth="0" w:num="5">
            <w:col w:w="1280" w:space="100"/>
            <w:col w:w="720" w:space="0"/>
            <w:col w:w="720" w:space="0"/>
            <w:col w:w="980" w:space="100"/>
            <w:col w:w="6168" w:space="0"/>
          </w:cols>
        </w:sectPr>
        <w:rPr>
          <w:rFonts w:ascii="Times New Roman" w:hAnsi="Times New Roman" w:eastAsia="Times New Roman" w:cs="Times New Roman"/>
          <w:sz w:val="22"/>
          <w:szCs w:val="22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before="84" w:line="236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6"/>
          <w:szCs w:val="26"/>
          <w:spacing w:val="-5"/>
        </w:rPr>
        <w:t>2000-2023</w:t>
      </w:r>
      <w:r>
        <w:rPr>
          <w:rFonts w:ascii="SimSun" w:hAnsi="SimSun" w:eastAsia="SimSun" w:cs="SimSun"/>
          <w:sz w:val="26"/>
          <w:szCs w:val="26"/>
          <w:spacing w:val="10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0.35</w:t>
      </w:r>
      <w:r>
        <w:rPr>
          <w:rFonts w:ascii="SimSun" w:hAnsi="SimSun" w:eastAsia="SimSun" w:cs="SimSun"/>
          <w:sz w:val="26"/>
          <w:szCs w:val="26"/>
          <w:spacing w:val="10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5"/>
        </w:rPr>
        <w:t>0.25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0.25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0.15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2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9"/>
        </w:rPr>
        <w:t>图1:学者毕业院校流向桑基图(描述)</w:t>
      </w:r>
    </w:p>
    <w:p>
      <w:pPr>
        <w:pStyle w:val="BodyText"/>
        <w:spacing w:before="231" w:line="395" w:lineRule="auto"/>
        <w:rPr>
          <w:sz w:val="22"/>
          <w:szCs w:val="22"/>
        </w:rPr>
      </w:pPr>
      <w:r>
        <w:rPr>
          <w:sz w:val="22"/>
          <w:szCs w:val="22"/>
          <w:spacing w:val="24"/>
        </w:rPr>
        <w:t>[文本模拟：北京大学(源)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24"/>
        </w:rPr>
        <w:t>→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24"/>
        </w:rPr>
        <w:t>南京大学(</w:t>
      </w:r>
      <w:r>
        <w:rPr>
          <w:sz w:val="22"/>
          <w:szCs w:val="22"/>
          <w:spacing w:val="23"/>
        </w:rPr>
        <w:t>流向，宽度0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spacing w:val="23"/>
        </w:rPr>
        <w:t>.4);南京大学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23"/>
        </w:rPr>
        <w:t>→</w:t>
      </w:r>
      <w:r>
        <w:rPr>
          <w:sz w:val="22"/>
          <w:szCs w:val="22"/>
          <w:spacing w:val="-65"/>
        </w:rPr>
        <w:t xml:space="preserve"> </w:t>
      </w:r>
      <w:r>
        <w:rPr>
          <w:sz w:val="22"/>
          <w:szCs w:val="22"/>
          <w:spacing w:val="23"/>
        </w:rPr>
        <w:t>南开大学(宽度0</w:t>
      </w:r>
      <w:r>
        <w:rPr>
          <w:sz w:val="22"/>
          <w:szCs w:val="22"/>
          <w:spacing w:val="-62"/>
        </w:rPr>
        <w:t xml:space="preserve"> </w:t>
      </w:r>
      <w:r>
        <w:rPr>
          <w:sz w:val="22"/>
          <w:szCs w:val="22"/>
          <w:spacing w:val="23"/>
        </w:rPr>
        <w:t>.3);芝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16"/>
        </w:rPr>
        <w:t>加哥大学</w:t>
      </w:r>
      <w:r>
        <w:rPr>
          <w:sz w:val="22"/>
          <w:szCs w:val="22"/>
          <w:spacing w:val="-77"/>
        </w:rPr>
        <w:t xml:space="preserve"> </w:t>
      </w:r>
      <w:r>
        <w:rPr>
          <w:sz w:val="22"/>
          <w:szCs w:val="22"/>
          <w:spacing w:val="16"/>
        </w:rPr>
        <w:t>→</w:t>
      </w:r>
      <w:r>
        <w:rPr>
          <w:sz w:val="22"/>
          <w:szCs w:val="22"/>
          <w:spacing w:val="-81"/>
        </w:rPr>
        <w:t xml:space="preserve"> </w:t>
      </w:r>
      <w:r>
        <w:rPr>
          <w:sz w:val="22"/>
          <w:szCs w:val="22"/>
          <w:spacing w:val="16"/>
        </w:rPr>
        <w:t>北京大学(宽度0.1),反映政策下</w:t>
      </w:r>
      <w:r>
        <w:rPr>
          <w:sz w:val="22"/>
          <w:szCs w:val="22"/>
          <w:spacing w:val="15"/>
        </w:rPr>
        <w:t>集中流向。]</w:t>
      </w:r>
    </w:p>
    <w:p>
      <w:pPr>
        <w:pStyle w:val="BodyText"/>
        <w:ind w:left="3"/>
        <w:spacing w:before="134" w:line="221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24"/>
        </w:rPr>
        <w:t>表4:不同代际学者知识构成要素对比分析表</w:t>
      </w:r>
    </w:p>
    <w:p>
      <w:pPr>
        <w:pStyle w:val="BodyText"/>
        <w:spacing w:before="310" w:line="221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代际</w:t>
      </w:r>
      <w:r>
        <w:rPr>
          <w:sz w:val="22"/>
          <w:szCs w:val="22"/>
          <w:spacing w:val="4"/>
        </w:rPr>
        <w:t xml:space="preserve">        </w:t>
      </w:r>
      <w:r>
        <w:rPr>
          <w:sz w:val="22"/>
          <w:szCs w:val="22"/>
          <w:spacing w:val="-4"/>
        </w:rPr>
        <w:t>师承脉络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院校背景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知识来源</w:t>
      </w:r>
      <w:r>
        <w:rPr>
          <w:sz w:val="22"/>
          <w:szCs w:val="22"/>
          <w:spacing w:val="-4"/>
        </w:rPr>
        <w:t xml:space="preserve">  </w:t>
      </w:r>
      <w:r>
        <w:rPr>
          <w:sz w:val="22"/>
          <w:szCs w:val="22"/>
          <w:spacing w:val="-4"/>
        </w:rPr>
        <w:t>优势与局限</w:t>
      </w:r>
    </w:p>
    <w:p>
      <w:pPr>
        <w:pStyle w:val="BodyText"/>
        <w:spacing w:before="299" w:line="300" w:lineRule="exact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5"/>
          <w:position w:val="2"/>
        </w:rPr>
        <w:t>1950s-70s     </w:t>
      </w:r>
      <w:r>
        <w:rPr>
          <w:sz w:val="22"/>
          <w:szCs w:val="22"/>
          <w:spacing w:val="-5"/>
          <w:position w:val="2"/>
        </w:rPr>
        <w:t>清晰</w:t>
      </w:r>
      <w:r>
        <w:rPr>
          <w:sz w:val="22"/>
          <w:szCs w:val="22"/>
          <w:spacing w:val="3"/>
          <w:position w:val="2"/>
        </w:rPr>
        <w:t xml:space="preserve">      </w:t>
      </w:r>
      <w:r>
        <w:rPr>
          <w:sz w:val="22"/>
          <w:szCs w:val="22"/>
          <w:spacing w:val="-5"/>
          <w:position w:val="2"/>
        </w:rPr>
        <w:t>国内主流</w:t>
      </w:r>
      <w:r>
        <w:rPr>
          <w:sz w:val="22"/>
          <w:szCs w:val="22"/>
          <w:spacing w:val="-5"/>
          <w:position w:val="2"/>
        </w:rPr>
        <w:t xml:space="preserve">  </w:t>
      </w:r>
      <w:r>
        <w:rPr>
          <w:sz w:val="22"/>
          <w:szCs w:val="22"/>
          <w:spacing w:val="-5"/>
          <w:position w:val="2"/>
        </w:rPr>
        <w:t>政策导向</w:t>
      </w:r>
      <w:r>
        <w:rPr>
          <w:sz w:val="22"/>
          <w:szCs w:val="22"/>
          <w:spacing w:val="7"/>
          <w:position w:val="2"/>
        </w:rPr>
        <w:t xml:space="preserve">  </w:t>
      </w:r>
      <w:r>
        <w:rPr>
          <w:sz w:val="22"/>
          <w:szCs w:val="22"/>
          <w:spacing w:val="-5"/>
          <w:position w:val="2"/>
        </w:rPr>
        <w:t>优势：稳定；</w:t>
      </w:r>
      <w:r>
        <w:rPr>
          <w:sz w:val="22"/>
          <w:szCs w:val="22"/>
          <w:spacing w:val="-6"/>
          <w:position w:val="2"/>
        </w:rPr>
        <w:t>局限：封闭圈层</w:t>
      </w:r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6296</wp:posOffset>
            </wp:positionH>
            <wp:positionV relativeFrom="paragraph">
              <wp:posOffset>32343</wp:posOffset>
            </wp:positionV>
            <wp:extent cx="4927624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76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before="72" w:line="213" w:lineRule="auto"/>
        <w:rPr>
          <w:sz w:val="22"/>
          <w:szCs w:val="22"/>
        </w:rPr>
      </w:pPr>
      <w:r>
        <w:rPr>
          <w:sz w:val="22"/>
          <w:szCs w:val="22"/>
          <w:u w:val="single" w:color="auto"/>
          <w:spacing w:val="23"/>
        </w:rPr>
        <w:t>1980s-90s</w:t>
      </w:r>
      <w:r>
        <w:rPr>
          <w:sz w:val="22"/>
          <w:szCs w:val="22"/>
          <w:u w:val="single" w:color="auto"/>
          <w:spacing w:val="77"/>
        </w:rPr>
        <w:t xml:space="preserve"> </w:t>
      </w:r>
      <w:r>
        <w:rPr>
          <w:sz w:val="22"/>
          <w:szCs w:val="22"/>
          <w:u w:val="single" w:color="auto"/>
          <w:spacing w:val="23"/>
        </w:rPr>
        <w:t>多元化</w:t>
      </w:r>
      <w:r>
        <w:rPr>
          <w:sz w:val="22"/>
          <w:szCs w:val="22"/>
          <w:u w:val="single" w:color="auto"/>
          <w:spacing w:val="53"/>
        </w:rPr>
        <w:t xml:space="preserve">  </w:t>
      </w:r>
      <w:r>
        <w:rPr>
          <w:sz w:val="22"/>
          <w:szCs w:val="22"/>
          <w:u w:val="single" w:color="auto"/>
          <w:spacing w:val="23"/>
        </w:rPr>
        <w:t>国内外</w:t>
      </w:r>
      <w:r>
        <w:rPr>
          <w:sz w:val="22"/>
          <w:szCs w:val="22"/>
          <w:u w:val="single" w:color="auto"/>
          <w:spacing w:val="51"/>
        </w:rPr>
        <w:t xml:space="preserve">  </w:t>
      </w:r>
      <w:r>
        <w:rPr>
          <w:sz w:val="22"/>
          <w:szCs w:val="22"/>
          <w:u w:val="single" w:color="auto"/>
          <w:spacing w:val="23"/>
        </w:rPr>
        <w:t>改革恢复优势</w:t>
      </w:r>
      <w:r>
        <w:rPr>
          <w:sz w:val="22"/>
          <w:szCs w:val="22"/>
          <w:u w:val="single" w:color="auto"/>
          <w:spacing w:val="22"/>
        </w:rPr>
        <w:t>：活力；局限：转型不稳</w:t>
      </w:r>
      <w:r>
        <w:rPr>
          <w:sz w:val="22"/>
          <w:szCs w:val="22"/>
          <w:u w:val="single" w:color="auto"/>
        </w:rPr>
        <w:t xml:space="preserve">  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spacing w:before="72" w:line="300" w:lineRule="exact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5"/>
          <w:position w:val="2"/>
        </w:rPr>
        <w:t>2000s-           </w:t>
      </w:r>
      <w:r>
        <w:rPr>
          <w:sz w:val="22"/>
          <w:szCs w:val="22"/>
          <w:spacing w:val="-5"/>
          <w:position w:val="2"/>
        </w:rPr>
        <w:t>融合</w:t>
      </w:r>
      <w:r>
        <w:rPr>
          <w:sz w:val="22"/>
          <w:szCs w:val="22"/>
          <w:spacing w:val="-5"/>
          <w:position w:val="2"/>
        </w:rPr>
        <w:t xml:space="preserve">      </w:t>
      </w:r>
      <w:r>
        <w:rPr>
          <w:sz w:val="22"/>
          <w:szCs w:val="22"/>
          <w:spacing w:val="-5"/>
          <w:position w:val="2"/>
        </w:rPr>
        <w:t>国际</w:t>
      </w:r>
      <w:r>
        <w:rPr>
          <w:sz w:val="22"/>
          <w:szCs w:val="22"/>
          <w:spacing w:val="3"/>
          <w:position w:val="2"/>
        </w:rPr>
        <w:t xml:space="preserve">      </w:t>
      </w:r>
      <w:r>
        <w:rPr>
          <w:sz w:val="22"/>
          <w:szCs w:val="22"/>
          <w:spacing w:val="-5"/>
          <w:position w:val="2"/>
        </w:rPr>
        <w:t>文化自信</w:t>
      </w:r>
      <w:r>
        <w:rPr>
          <w:sz w:val="22"/>
          <w:szCs w:val="22"/>
          <w:spacing w:val="11"/>
          <w:position w:val="2"/>
        </w:rPr>
        <w:t xml:space="preserve">  </w:t>
      </w:r>
      <w:r>
        <w:rPr>
          <w:sz w:val="22"/>
          <w:szCs w:val="22"/>
          <w:spacing w:val="-5"/>
          <w:position w:val="2"/>
        </w:rPr>
        <w:t>优势：创</w:t>
      </w:r>
      <w:r>
        <w:rPr>
          <w:sz w:val="22"/>
          <w:szCs w:val="22"/>
          <w:spacing w:val="-6"/>
          <w:position w:val="2"/>
        </w:rPr>
        <w:t>新；局限：自主性待提升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before="63" w:line="198" w:lineRule="auto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b/>
          <w:bCs/>
          <w:spacing w:val="-3"/>
        </w:rPr>
        <w:t>Key</w:t>
      </w:r>
      <w:r>
        <w:rPr>
          <w:rFonts w:ascii="Arial" w:hAnsi="Arial" w:eastAsia="Arial" w:cs="Arial"/>
          <w:sz w:val="22"/>
          <w:szCs w:val="22"/>
          <w:b/>
          <w:bCs/>
          <w:spacing w:val="19"/>
          <w:w w:val="101"/>
        </w:rPr>
        <w:t xml:space="preserve">   </w:t>
      </w:r>
      <w:r>
        <w:rPr>
          <w:rFonts w:ascii="Arial" w:hAnsi="Arial" w:eastAsia="Arial" w:cs="Arial"/>
          <w:sz w:val="22"/>
          <w:szCs w:val="22"/>
          <w:b/>
          <w:bCs/>
          <w:spacing w:val="-3"/>
        </w:rPr>
        <w:t>Citations:</w:t>
      </w:r>
    </w:p>
    <w:p>
      <w:pPr>
        <w:pStyle w:val="BodyText"/>
        <w:ind w:left="369"/>
        <w:spacing w:before="297" w:line="221" w:lineRule="auto"/>
        <w:rPr>
          <w:sz w:val="22"/>
          <w:szCs w:val="22"/>
        </w:rPr>
      </w:pPr>
      <w:r>
        <w:rPr>
          <w:sz w:val="22"/>
          <w:szCs w:val="22"/>
          <w:spacing w:val="21"/>
        </w:rPr>
        <w:t>·</w:t>
      </w:r>
      <w:r>
        <w:rPr>
          <w:sz w:val="22"/>
          <w:szCs w:val="22"/>
          <w:spacing w:val="-69"/>
        </w:rPr>
        <w:t xml:space="preserve"> </w:t>
      </w:r>
      <w:r>
        <w:rPr>
          <w:sz w:val="22"/>
          <w:szCs w:val="22"/>
          <w:spacing w:val="21"/>
        </w:rPr>
        <w:t>陈少明：知识谱系的转换中国哲学史研究范例论析-爱思想.</w:t>
      </w:r>
    </w:p>
    <w:p>
      <w:pPr>
        <w:pStyle w:val="BodyText"/>
        <w:ind w:left="369"/>
        <w:spacing w:before="274" w:line="212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sz w:val="22"/>
          <w:szCs w:val="22"/>
          <w:spacing w:val="7"/>
        </w:rPr>
        <w:t>·</w:t>
      </w:r>
      <w:r>
        <w:rPr>
          <w:sz w:val="22"/>
          <w:szCs w:val="22"/>
          <w:spacing w:val="-58"/>
        </w:rPr>
        <w:t xml:space="preserve"> </w:t>
      </w:r>
      <w:r>
        <w:rPr>
          <w:sz w:val="22"/>
          <w:szCs w:val="22"/>
          <w:spacing w:val="7"/>
        </w:rPr>
        <w:t>中国文体学研究的百年之路-</w:t>
      </w:r>
      <w:hyperlink w:history="true" r:id="rId6">
        <w:r>
          <w:rPr>
            <w:rFonts w:ascii="Times New Roman" w:hAnsi="Times New Roman" w:eastAsia="Times New Roman" w:cs="Times New Roman"/>
            <w:sz w:val="22"/>
            <w:szCs w:val="22"/>
          </w:rPr>
          <w:t>https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://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xbzs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ecnu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edu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.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cn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CN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html</w:t>
        </w:r>
        <w:r>
          <w:rPr>
            <w:rFonts w:ascii="Times New Roman" w:hAnsi="Times New Roman" w:eastAsia="Times New Roman" w:cs="Times New Roman"/>
            <w:sz w:val="22"/>
            <w:szCs w:val="22"/>
            <w:spacing w:val="7"/>
          </w:rPr>
          <w:t>/2019-</w:t>
        </w:r>
        <w:r>
          <w:rPr>
            <w:rFonts w:ascii="Times New Roman" w:hAnsi="Times New Roman" w:eastAsia="Times New Roman" w:cs="Times New Roman"/>
            <w:sz w:val="22"/>
            <w:szCs w:val="22"/>
            <w:spacing w:val="6"/>
          </w:rPr>
          <w:t>4-17.</w:t>
        </w:r>
        <w:r>
          <w:rPr>
            <w:rFonts w:ascii="Times New Roman" w:hAnsi="Times New Roman" w:eastAsia="Times New Roman" w:cs="Times New Roman"/>
            <w:sz w:val="22"/>
            <w:szCs w:val="22"/>
          </w:rPr>
          <w:t>htm</w:t>
        </w:r>
        <w:r>
          <w:rPr>
            <w:rFonts w:ascii="Times New Roman" w:hAnsi="Times New Roman" w:eastAsia="Times New Roman" w:cs="Times New Roman"/>
            <w:sz w:val="22"/>
            <w:szCs w:val="22"/>
            <w:spacing w:val="6"/>
          </w:rPr>
          <w:t>.</w:t>
        </w:r>
      </w:hyperlink>
    </w:p>
    <w:p>
      <w:pPr>
        <w:pStyle w:val="BodyText"/>
        <w:ind w:left="369"/>
        <w:spacing w:before="290" w:line="221" w:lineRule="auto"/>
        <w:rPr>
          <w:sz w:val="22"/>
          <w:szCs w:val="22"/>
        </w:rPr>
      </w:pPr>
      <w:r>
        <w:rPr>
          <w:sz w:val="22"/>
          <w:szCs w:val="22"/>
          <w:spacing w:val="18"/>
        </w:rPr>
        <w:t>·</w:t>
      </w:r>
      <w:r>
        <w:rPr>
          <w:sz w:val="22"/>
          <w:szCs w:val="22"/>
          <w:spacing w:val="-66"/>
        </w:rPr>
        <w:t xml:space="preserve"> </w:t>
      </w:r>
      <w:r>
        <w:rPr>
          <w:sz w:val="22"/>
          <w:szCs w:val="22"/>
          <w:spacing w:val="18"/>
        </w:rPr>
        <w:t>2024年文学研究发展报告-</w:t>
      </w:r>
      <w:r>
        <w:rPr>
          <w:sz w:val="22"/>
          <w:szCs w:val="22"/>
          <w:spacing w:val="-55"/>
        </w:rPr>
        <w:t xml:space="preserve"> </w:t>
      </w:r>
      <w:r>
        <w:rPr>
          <w:sz w:val="22"/>
          <w:szCs w:val="22"/>
          <w:spacing w:val="18"/>
        </w:rPr>
        <w:t>中国社会科学网</w:t>
      </w:r>
      <w:r>
        <w:rPr>
          <w:sz w:val="22"/>
          <w:szCs w:val="22"/>
          <w:spacing w:val="-64"/>
        </w:rPr>
        <w:t xml:space="preserve"> </w:t>
      </w:r>
      <w:r>
        <w:rPr>
          <w:sz w:val="22"/>
          <w:szCs w:val="22"/>
          <w:spacing w:val="18"/>
        </w:rPr>
        <w:t>.</w:t>
      </w:r>
    </w:p>
    <w:p>
      <w:pPr>
        <w:pStyle w:val="BodyText"/>
        <w:ind w:left="369" w:right="3904"/>
        <w:spacing w:before="267" w:line="344" w:lineRule="auto"/>
        <w:rPr>
          <w:sz w:val="22"/>
          <w:szCs w:val="22"/>
        </w:rPr>
      </w:pPr>
      <w:r>
        <w:rPr>
          <w:sz w:val="22"/>
          <w:szCs w:val="22"/>
          <w:spacing w:val="17"/>
        </w:rPr>
        <w:t>·</w:t>
      </w:r>
      <w:r>
        <w:rPr>
          <w:sz w:val="22"/>
          <w:szCs w:val="22"/>
          <w:spacing w:val="-71"/>
        </w:rPr>
        <w:t xml:space="preserve"> </w:t>
      </w:r>
      <w:r>
        <w:rPr>
          <w:sz w:val="22"/>
          <w:szCs w:val="22"/>
          <w:spacing w:val="17"/>
        </w:rPr>
        <w:t>重塑文学理论研究的现实感与知识路径-</w:t>
      </w:r>
      <w:r>
        <w:rPr>
          <w:sz w:val="22"/>
          <w:szCs w:val="22"/>
          <w:spacing w:val="-59"/>
        </w:rPr>
        <w:t xml:space="preserve"> </w:t>
      </w:r>
      <w:r>
        <w:rPr>
          <w:sz w:val="22"/>
          <w:szCs w:val="22"/>
          <w:spacing w:val="17"/>
        </w:rPr>
        <w:t>中国</w:t>
      </w:r>
      <w:r>
        <w:rPr>
          <w:sz w:val="22"/>
          <w:szCs w:val="22"/>
          <w:spacing w:val="16"/>
        </w:rPr>
        <w:t>作家网.</w:t>
      </w:r>
      <w:r>
        <w:rPr>
          <w:sz w:val="22"/>
          <w:szCs w:val="22"/>
        </w:rPr>
        <w:t xml:space="preserve"> </w:t>
      </w:r>
      <w:r>
        <w:rPr>
          <w:rFonts w:ascii="Arial" w:hAnsi="Arial" w:eastAsia="Arial" w:cs="Arial"/>
          <w:sz w:val="22"/>
          <w:szCs w:val="22"/>
          <w:spacing w:val="10"/>
        </w:rPr>
        <w:t>·[</w:t>
      </w:r>
      <w:r>
        <w:rPr>
          <w:rFonts w:ascii="Arial" w:hAnsi="Arial" w:eastAsia="Arial" w:cs="Arial"/>
          <w:sz w:val="22"/>
          <w:szCs w:val="22"/>
        </w:rPr>
        <w:t>post</w:t>
      </w:r>
      <w:r>
        <w:rPr>
          <w:rFonts w:ascii="Arial" w:hAnsi="Arial" w:eastAsia="Arial" w:cs="Arial"/>
          <w:sz w:val="22"/>
          <w:szCs w:val="22"/>
          <w:spacing w:val="10"/>
        </w:rPr>
        <w:t>:19]    </w:t>
      </w:r>
      <w:r>
        <w:rPr>
          <w:sz w:val="22"/>
          <w:szCs w:val="22"/>
          <w:spacing w:val="10"/>
        </w:rPr>
        <w:t>王丹的</w:t>
      </w:r>
      <w:r>
        <w:rPr>
          <w:rFonts w:ascii="Arial" w:hAnsi="Arial" w:eastAsia="Arial" w:cs="Arial"/>
          <w:sz w:val="22"/>
          <w:szCs w:val="22"/>
        </w:rPr>
        <w:t>X</w:t>
      </w:r>
      <w:r>
        <w:rPr>
          <w:rFonts w:ascii="Arial" w:hAnsi="Arial" w:eastAsia="Arial" w:cs="Arial"/>
          <w:sz w:val="22"/>
          <w:szCs w:val="22"/>
          <w:spacing w:val="16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post</w:t>
      </w:r>
      <w:r>
        <w:rPr>
          <w:rFonts w:ascii="Arial" w:hAnsi="Arial" w:eastAsia="Arial" w:cs="Arial"/>
          <w:sz w:val="22"/>
          <w:szCs w:val="22"/>
          <w:spacing w:val="12"/>
        </w:rPr>
        <w:t xml:space="preserve">  </w:t>
      </w:r>
      <w:r>
        <w:rPr>
          <w:rFonts w:ascii="Arial" w:hAnsi="Arial" w:eastAsia="Arial" w:cs="Arial"/>
          <w:sz w:val="22"/>
          <w:szCs w:val="22"/>
        </w:rPr>
        <w:t>on</w:t>
      </w:r>
      <w:r>
        <w:rPr>
          <w:rFonts w:ascii="Arial" w:hAnsi="Arial" w:eastAsia="Arial" w:cs="Arial"/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10"/>
        </w:rPr>
        <w:t>北大历史系教</w:t>
      </w:r>
      <w:r>
        <w:rPr>
          <w:sz w:val="22"/>
          <w:szCs w:val="22"/>
          <w:spacing w:val="9"/>
        </w:rPr>
        <w:t>师.</w:t>
      </w:r>
    </w:p>
    <w:p>
      <w:pPr>
        <w:pStyle w:val="BodyText"/>
        <w:ind w:left="369"/>
        <w:spacing w:before="276" w:line="217" w:lineRule="auto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·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[post:20]Fairice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sz w:val="22"/>
          <w:szCs w:val="22"/>
        </w:rPr>
        <w:t>的</w:t>
      </w:r>
      <w:r>
        <w:rPr>
          <w:rFonts w:ascii="SimSun" w:hAnsi="SimSun" w:eastAsia="SimSun" w:cs="SimSun"/>
          <w:sz w:val="22"/>
          <w:szCs w:val="22"/>
        </w:rPr>
        <w:t>X</w:t>
      </w:r>
      <w:r>
        <w:rPr>
          <w:rFonts w:ascii="SimSun" w:hAnsi="SimSun" w:eastAsia="SimSun" w:cs="SimSun"/>
          <w:sz w:val="22"/>
          <w:szCs w:val="22"/>
          <w:spacing w:val="6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post</w:t>
      </w:r>
      <w:r>
        <w:rPr>
          <w:rFonts w:ascii="SimSun" w:hAnsi="SimSun" w:eastAsia="SimSun" w:cs="SimSun"/>
          <w:sz w:val="22"/>
          <w:szCs w:val="22"/>
          <w:spacing w:val="6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on</w:t>
      </w:r>
      <w:r>
        <w:rPr>
          <w:rFonts w:ascii="SimSun" w:hAnsi="SimSun" w:eastAsia="SimSun" w:cs="SimSun"/>
          <w:sz w:val="22"/>
          <w:szCs w:val="22"/>
          <w:spacing w:val="8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1993</w:t>
      </w:r>
      <w:r>
        <w:rPr>
          <w:sz w:val="22"/>
          <w:szCs w:val="22"/>
        </w:rPr>
        <w:t>年饭局文学人物.</w:t>
      </w:r>
    </w:p>
    <w:p>
      <w:pPr>
        <w:pStyle w:val="BodyText"/>
        <w:ind w:left="369"/>
        <w:spacing w:before="276" w:line="195" w:lineRule="auto"/>
        <w:rPr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3"/>
        </w:rPr>
        <w:t>·[</w:t>
      </w:r>
      <w:r>
        <w:rPr>
          <w:rFonts w:ascii="Arial" w:hAnsi="Arial" w:eastAsia="Arial" w:cs="Arial"/>
          <w:sz w:val="22"/>
          <w:szCs w:val="22"/>
        </w:rPr>
        <w:t>post</w:t>
      </w:r>
      <w:r>
        <w:rPr>
          <w:rFonts w:ascii="Arial" w:hAnsi="Arial" w:eastAsia="Arial" w:cs="Arial"/>
          <w:sz w:val="22"/>
          <w:szCs w:val="22"/>
          <w:spacing w:val="3"/>
        </w:rPr>
        <w:t>:27]</w:t>
      </w:r>
      <w:r>
        <w:rPr>
          <w:rFonts w:ascii="Arial" w:hAnsi="Arial" w:eastAsia="Arial" w:cs="Arial"/>
          <w:sz w:val="22"/>
          <w:szCs w:val="22"/>
        </w:rPr>
        <w:t>BBC</w:t>
      </w:r>
      <w:r>
        <w:rPr>
          <w:rFonts w:ascii="Arial" w:hAnsi="Arial" w:eastAsia="Arial" w:cs="Arial"/>
          <w:sz w:val="22"/>
          <w:szCs w:val="22"/>
          <w:spacing w:val="3"/>
        </w:rPr>
        <w:t xml:space="preserve">        </w:t>
      </w:r>
      <w:r>
        <w:rPr>
          <w:rFonts w:ascii="Arial" w:hAnsi="Arial" w:eastAsia="Arial" w:cs="Arial"/>
          <w:sz w:val="22"/>
          <w:szCs w:val="22"/>
        </w:rPr>
        <w:t>News</w:t>
      </w:r>
      <w:r>
        <w:rPr>
          <w:rFonts w:ascii="Arial" w:hAnsi="Arial" w:eastAsia="Arial" w:cs="Arial"/>
          <w:sz w:val="22"/>
          <w:szCs w:val="22"/>
          <w:spacing w:val="3"/>
        </w:rPr>
        <w:t xml:space="preserve"> </w:t>
      </w:r>
      <w:r>
        <w:rPr>
          <w:sz w:val="22"/>
          <w:szCs w:val="22"/>
          <w:spacing w:val="3"/>
        </w:rPr>
        <w:t>中</w:t>
      </w:r>
      <w:r>
        <w:rPr>
          <w:sz w:val="22"/>
          <w:szCs w:val="22"/>
          <w:spacing w:val="-42"/>
        </w:rPr>
        <w:t xml:space="preserve"> </w:t>
      </w:r>
      <w:r>
        <w:rPr>
          <w:sz w:val="22"/>
          <w:szCs w:val="22"/>
          <w:spacing w:val="3"/>
        </w:rPr>
        <w:t>文</w:t>
      </w:r>
      <w:r>
        <w:rPr>
          <w:sz w:val="22"/>
          <w:szCs w:val="22"/>
          <w:spacing w:val="-61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on</w:t>
      </w:r>
      <w:r>
        <w:rPr>
          <w:rFonts w:ascii="Arial" w:hAnsi="Arial" w:eastAsia="Arial" w:cs="Arial"/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3"/>
        </w:rPr>
        <w:t>许倬</w:t>
      </w:r>
      <w:r>
        <w:rPr>
          <w:sz w:val="22"/>
          <w:szCs w:val="22"/>
          <w:spacing w:val="2"/>
        </w:rPr>
        <w:t>云逝世</w:t>
      </w:r>
      <w:r>
        <w:rPr>
          <w:sz w:val="22"/>
          <w:szCs w:val="22"/>
          <w:spacing w:val="-61"/>
        </w:rPr>
        <w:t xml:space="preserve"> </w:t>
      </w:r>
      <w:r>
        <w:rPr>
          <w:sz w:val="22"/>
          <w:szCs w:val="22"/>
          <w:spacing w:val="2"/>
        </w:rPr>
        <w:t>.</w:t>
      </w:r>
    </w:p>
    <w:sectPr>
      <w:type w:val="continuous"/>
      <w:pgSz w:w="12240" w:h="15840"/>
      <w:pgMar w:top="1129" w:right="1192" w:bottom="400" w:left="980" w:header="0" w:footer="0" w:gutter="0"/>
      <w:cols w:equalWidth="0" w:num="1">
        <w:col w:w="1006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615962</wp:posOffset>
          </wp:positionH>
          <wp:positionV relativeFrom="page">
            <wp:posOffset>9391622</wp:posOffset>
          </wp:positionV>
          <wp:extent cx="6521432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21432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yperlink" Target="https://xbzs.ecnu.edu.cn/CN/html/2019-4-17.htm." TargetMode="External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footer" Target="footer2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2026-03-16T00:00:24</vt:filetime>
  </property>
  <property fmtid="{D5CDD505-2E9C-101B-9397-08002B2CF9AE}" pid="4" name="UsrData">
    <vt:lpwstr>69b6d7965b4fbf001fcce01fwl</vt:lpwstr>
  </property>
</Properties>
</file>