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6"/>
        <w:spacing w:before="90" w:line="222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8"/>
        </w:rPr>
        <w:t>中外博物馆教育的现状与未来趋势专题研究报告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一、现状总结</w:t>
      </w:r>
    </w:p>
    <w:p>
      <w:pPr>
        <w:pStyle w:val="BodyText"/>
        <w:ind w:left="4"/>
        <w:spacing w:before="187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1.</w:t>
      </w:r>
      <w:r>
        <w:rPr>
          <w:sz w:val="30"/>
          <w:szCs w:val="30"/>
          <w:b/>
          <w:bCs/>
          <w:spacing w:val="-3"/>
        </w:rPr>
        <w:t>国内部分：中国博物馆教育的当前状况</w:t>
      </w:r>
    </w:p>
    <w:p>
      <w:pPr>
        <w:pStyle w:val="BodyText"/>
        <w:ind w:right="40"/>
        <w:spacing w:before="210" w:line="350" w:lineRule="auto"/>
        <w:rPr/>
      </w:pPr>
      <w:r>
        <w:rPr>
          <w:spacing w:val="7"/>
        </w:rPr>
        <w:t>中国博物馆教育近年来快速发展，受益于国家文化政策推动和“文博热”兴起。截至20</w:t>
      </w:r>
      <w:r>
        <w:rPr>
          <w:spacing w:val="6"/>
        </w:rPr>
        <w:t>24年底，全</w:t>
      </w:r>
      <w:r>
        <w:rPr/>
        <w:t xml:space="preserve"> </w:t>
      </w:r>
      <w:r>
        <w:rPr>
          <w:spacing w:val="17"/>
        </w:rPr>
        <w:t>国备案博物馆达7046家，实现每20万</w:t>
      </w:r>
      <w:r>
        <w:rPr>
          <w:spacing w:val="16"/>
        </w:rPr>
        <w:t>人拥有一座博物馆，免费开放率超过91%。博物馆教育已</w:t>
      </w:r>
      <w:r>
        <w:rPr/>
        <w:t xml:space="preserve">  </w:t>
      </w:r>
      <w:r>
        <w:rPr>
          <w:spacing w:val="9"/>
        </w:rPr>
        <w:t>成为文化传承和公众素质提升的重要载体。</w:t>
      </w:r>
    </w:p>
    <w:p>
      <w:pPr>
        <w:pStyle w:val="BodyText"/>
        <w:ind w:right="137"/>
        <w:spacing w:before="91" w:line="334" w:lineRule="auto"/>
        <w:rPr/>
      </w:pPr>
      <w:r>
        <w:rPr>
          <w:spacing w:val="11"/>
        </w:rPr>
        <w:t>主要模式包括讲解导览、专题展览、教育活动项目</w:t>
      </w:r>
      <w:r>
        <w:rPr>
          <w:spacing w:val="10"/>
        </w:rPr>
        <w:t>和校馆合作。活动类型多样，如研学旅行、互</w:t>
      </w:r>
      <w:r>
        <w:rPr/>
        <w:t xml:space="preserve"> </w:t>
      </w:r>
      <w:r>
        <w:rPr>
          <w:spacing w:val="8"/>
        </w:rPr>
        <w:t>动工作坊、夏令营、讲座和线上课程，强调体验式学习。</w:t>
      </w:r>
    </w:p>
    <w:p>
      <w:pPr>
        <w:pStyle w:val="BodyText"/>
        <w:ind w:firstLine="3"/>
        <w:spacing w:before="144" w:line="326" w:lineRule="auto"/>
        <w:rPr/>
      </w:pPr>
      <w:r>
        <w:rPr>
          <w:b/>
          <w:bCs/>
          <w:spacing w:val="19"/>
        </w:rPr>
        <w:t>受众群体</w:t>
      </w:r>
      <w:r>
        <w:rPr>
          <w:spacing w:val="19"/>
        </w:rPr>
        <w:t>以青少年为主(中小学生研学占比高),</w:t>
      </w:r>
      <w:r>
        <w:rPr>
          <w:spacing w:val="18"/>
        </w:rPr>
        <w:t>同时覆盖家庭观众、成人学习者和特殊群体(如</w:t>
      </w:r>
      <w:r>
        <w:rPr/>
        <w:t xml:space="preserve"> </w:t>
      </w:r>
      <w:r>
        <w:rPr>
          <w:spacing w:val="6"/>
        </w:rPr>
        <w:t>残障人士)。</w:t>
      </w:r>
    </w:p>
    <w:p>
      <w:pPr>
        <w:pStyle w:val="BodyText"/>
        <w:ind w:right="136"/>
        <w:spacing w:before="121" w:line="358" w:lineRule="auto"/>
        <w:rPr/>
      </w:pPr>
      <w:r>
        <w:rPr>
          <w:spacing w:val="11"/>
        </w:rPr>
        <w:t>政策支持强劲，国家文物局和教育部联合推动博物</w:t>
      </w:r>
      <w:r>
        <w:rPr>
          <w:spacing w:val="10"/>
        </w:rPr>
        <w:t>馆青少年教育，出台系列文件要求中小学生每</w:t>
      </w:r>
      <w:r>
        <w:rPr/>
        <w:t xml:space="preserve"> </w:t>
      </w:r>
      <w:r>
        <w:rPr>
          <w:spacing w:val="2"/>
        </w:rPr>
        <w:t>年至少参观一次博物馆；“双减”政策下，博物馆被定位为校外教</w:t>
      </w:r>
      <w:r>
        <w:rPr>
          <w:spacing w:val="1"/>
        </w:rPr>
        <w:t>育重要补充。</w:t>
      </w:r>
    </w:p>
    <w:p>
      <w:pPr>
        <w:pStyle w:val="BodyText"/>
        <w:ind w:right="7"/>
        <w:spacing w:before="88" w:line="339" w:lineRule="auto"/>
        <w:rPr/>
      </w:pPr>
      <w:r>
        <w:rPr>
          <w:spacing w:val="15"/>
        </w:rPr>
        <w:t>资源投入显著增加，藏品总量超过6700万件/套，陈列展览达3万个，数字资源开发加速(如数字</w:t>
      </w:r>
      <w:r>
        <w:rPr>
          <w:spacing w:val="11"/>
        </w:rPr>
        <w:t xml:space="preserve"> </w:t>
      </w:r>
      <w:r>
        <w:rPr>
          <w:spacing w:val="7"/>
        </w:rPr>
        <w:t>故宫、云展厅)。</w:t>
      </w:r>
    </w:p>
    <w:p>
      <w:pPr>
        <w:pStyle w:val="BodyText"/>
        <w:ind w:right="6"/>
        <w:spacing w:before="105" w:line="346" w:lineRule="auto"/>
        <w:rPr/>
      </w:pPr>
      <w:r>
        <w:rPr>
          <w:spacing w:val="13"/>
        </w:rPr>
        <w:t>存在问题包括地域发展不平衡(东部发达地区资源丰富，中西部相对薄弱)、教育活动同质化、数</w:t>
      </w:r>
      <w:r>
        <w:rPr>
          <w:spacing w:val="13"/>
        </w:rPr>
        <w:t xml:space="preserve"> </w:t>
      </w:r>
      <w:r>
        <w:rPr>
          <w:spacing w:val="9"/>
        </w:rPr>
        <w:t>字化水平参差不齐、专业教育人才不足以及互动深度有限。</w:t>
      </w:r>
    </w:p>
    <w:p>
      <w:pPr>
        <w:pStyle w:val="BodyText"/>
        <w:ind w:right="59"/>
        <w:spacing w:before="97" w:line="375" w:lineRule="auto"/>
        <w:rPr>
          <w:sz w:val="19"/>
          <w:szCs w:val="19"/>
        </w:rPr>
      </w:pPr>
      <w:r>
        <w:rPr>
          <w:spacing w:val="1"/>
        </w:rPr>
        <w:t>显著特点是规模快速扩张、免费开放普及和社会教育功能强化，博物馆正从“收藏展示”向“教育服</w:t>
      </w:r>
      <w:r>
        <w:rPr>
          <w:spacing w:val="16"/>
        </w:rPr>
        <w:t xml:space="preserve"> </w:t>
      </w:r>
      <w:r>
        <w:rPr>
          <w:sz w:val="19"/>
          <w:szCs w:val="19"/>
          <w:spacing w:val="14"/>
        </w:rPr>
        <w:t>务”转型。</w:t>
      </w:r>
    </w:p>
    <w:p>
      <w:pPr>
        <w:pStyle w:val="BodyText"/>
        <w:ind w:left="4"/>
        <w:spacing w:before="336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2.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sz w:val="30"/>
          <w:szCs w:val="30"/>
          <w:b/>
          <w:bCs/>
          <w:spacing w:val="-4"/>
        </w:rPr>
        <w:t>国外部分：代表性国家博物馆教育现状与核心特点</w:t>
      </w:r>
    </w:p>
    <w:p>
      <w:pPr>
        <w:pStyle w:val="BodyText"/>
        <w:ind w:right="9"/>
        <w:spacing w:before="221" w:line="332" w:lineRule="auto"/>
        <w:rPr/>
      </w:pPr>
      <w:r>
        <w:rPr>
          <w:spacing w:val="10"/>
        </w:rPr>
        <w:t>美国以史密森学会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Smithsonian</w:t>
      </w:r>
      <w:r>
        <w:rPr>
          <w:rFonts w:ascii="SimSun" w:hAnsi="SimSun" w:eastAsia="SimSun" w:cs="SimSun"/>
          <w:spacing w:val="10"/>
        </w:rPr>
        <w:t>)  </w:t>
      </w:r>
      <w:r>
        <w:rPr>
          <w:spacing w:val="10"/>
        </w:rPr>
        <w:t>为代表，博物馆教育高度发达，强调互动性和包容性。核心</w:t>
      </w:r>
      <w:r>
        <w:rPr>
          <w:spacing w:val="8"/>
        </w:rPr>
        <w:t xml:space="preserve">  </w:t>
      </w:r>
      <w:r>
        <w:rPr>
          <w:spacing w:val="12"/>
        </w:rPr>
        <w:t>特点是数字化资源丰富(如</w:t>
      </w:r>
      <w:r>
        <w:rPr>
          <w:rFonts w:ascii="Times New Roman" w:hAnsi="Times New Roman" w:eastAsia="Times New Roman" w:cs="Times New Roman"/>
        </w:rPr>
        <w:t>Smithsonian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rFonts w:ascii="Times New Roman" w:hAnsi="Times New Roman" w:eastAsia="Times New Roman" w:cs="Times New Roman"/>
        </w:rPr>
        <w:t>Learning</w:t>
      </w:r>
      <w:r>
        <w:rPr>
          <w:rFonts w:ascii="Times New Roman" w:hAnsi="Times New Roman" w:eastAsia="Times New Roman" w:cs="Times New Roman"/>
          <w:spacing w:val="12"/>
        </w:rPr>
        <w:t xml:space="preserve">     </w:t>
      </w:r>
      <w:r>
        <w:rPr>
          <w:rFonts w:ascii="Times New Roman" w:hAnsi="Times New Roman" w:eastAsia="Times New Roman" w:cs="Times New Roman"/>
        </w:rPr>
        <w:t>Lab</w:t>
      </w:r>
      <w:r>
        <w:rPr>
          <w:spacing w:val="12"/>
        </w:rPr>
        <w:t>平台，提供海量数字藏品和教师</w:t>
      </w:r>
      <w:r>
        <w:rPr>
          <w:spacing w:val="11"/>
        </w:rPr>
        <w:t>资源)、终</w:t>
      </w:r>
      <w:r>
        <w:rPr/>
        <w:t xml:space="preserve"> </w:t>
      </w:r>
      <w:r>
        <w:rPr>
          <w:spacing w:val="11"/>
        </w:rPr>
        <w:t>身学习导向以及跨学科整合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(</w:t>
      </w:r>
      <w:r>
        <w:rPr>
          <w:rFonts w:ascii="SimSun" w:hAnsi="SimSun" w:eastAsia="SimSun" w:cs="SimSun"/>
        </w:rPr>
        <w:t>STEAM</w:t>
      </w:r>
      <w:r>
        <w:rPr>
          <w:rFonts w:ascii="SimSun" w:hAnsi="SimSun" w:eastAsia="SimSun" w:cs="SimSun"/>
          <w:spacing w:val="41"/>
        </w:rPr>
        <w:t xml:space="preserve">  </w:t>
      </w:r>
      <w:r>
        <w:rPr>
          <w:spacing w:val="11"/>
        </w:rPr>
        <w:t>教育),学校程序和社区项目覆盖广泛，注重培养批判性思</w:t>
      </w:r>
      <w:r>
        <w:rPr/>
        <w:t xml:space="preserve">  </w:t>
      </w:r>
      <w:r>
        <w:rPr>
          <w:spacing w:val="-2"/>
        </w:rPr>
        <w:t>维。</w:t>
      </w:r>
    </w:p>
    <w:p>
      <w:pPr>
        <w:pStyle w:val="BodyText"/>
        <w:ind w:right="87"/>
        <w:spacing w:before="146" w:line="335" w:lineRule="auto"/>
        <w:jc w:val="both"/>
        <w:rPr/>
      </w:pPr>
      <w:r>
        <w:rPr>
          <w:spacing w:val="8"/>
        </w:rPr>
        <w:t>英国以大英博物馆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British</w:t>
      </w:r>
      <w:r>
        <w:rPr>
          <w:rFonts w:ascii="SimSun" w:hAnsi="SimSun" w:eastAsia="SimSun" w:cs="SimSun"/>
          <w:spacing w:val="8"/>
        </w:rPr>
        <w:t xml:space="preserve">   </w:t>
      </w:r>
      <w:r>
        <w:rPr>
          <w:rFonts w:ascii="SimSun" w:hAnsi="SimSun" w:eastAsia="SimSun" w:cs="SimSun"/>
        </w:rPr>
        <w:t>Museum</w:t>
      </w:r>
      <w:r>
        <w:rPr>
          <w:rFonts w:ascii="SimSun" w:hAnsi="SimSun" w:eastAsia="SimSun" w:cs="SimSun"/>
          <w:spacing w:val="8"/>
        </w:rPr>
        <w:t>)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8"/>
        </w:rPr>
        <w:t>为核心，教育程序成熟。特点包括针对不同年龄段的结构</w:t>
      </w:r>
      <w:r>
        <w:rPr/>
        <w:t xml:space="preserve"> </w:t>
      </w:r>
      <w:r>
        <w:rPr>
          <w:spacing w:val="17"/>
        </w:rPr>
        <w:t>化课程(如7-11岁互动工作坊)、成人学习项目(讲座、表演、短期课程)和家庭</w:t>
      </w:r>
      <w:r>
        <w:rPr>
          <w:spacing w:val="16"/>
        </w:rPr>
        <w:t>/家庭教育者支</w:t>
      </w:r>
      <w:r>
        <w:rPr/>
        <w:t xml:space="preserve"> </w:t>
      </w:r>
      <w:r>
        <w:rPr>
          <w:spacing w:val="8"/>
        </w:rPr>
        <w:t>持，强调全球文化遗产教育和多元文化包容。</w:t>
      </w:r>
    </w:p>
    <w:p>
      <w:pPr>
        <w:spacing w:line="335" w:lineRule="auto"/>
        <w:sectPr>
          <w:pgSz w:w="12240" w:h="15840"/>
          <w:pgMar w:top="1138" w:right="1019" w:bottom="0" w:left="980" w:header="0" w:footer="0" w:gutter="0"/>
        </w:sectPr>
        <w:rPr/>
      </w:pPr>
    </w:p>
    <w:p>
      <w:pPr>
        <w:pStyle w:val="BodyText"/>
        <w:ind w:right="12"/>
        <w:spacing w:before="46" w:line="334" w:lineRule="auto"/>
        <w:rPr/>
      </w:pPr>
      <w:r>
        <w:rPr>
          <w:spacing w:val="12"/>
        </w:rPr>
        <w:t>法国以卢浮宫和</w:t>
      </w:r>
      <w:r>
        <w:rPr>
          <w:rFonts w:ascii="SimSun" w:hAnsi="SimSun" w:eastAsia="SimSun" w:cs="SimSun"/>
        </w:rPr>
        <w:t>Ecole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rFonts w:ascii="SimSun" w:hAnsi="SimSun" w:eastAsia="SimSun" w:cs="SimSun"/>
        </w:rPr>
        <w:t>du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rFonts w:ascii="SimSun" w:hAnsi="SimSun" w:eastAsia="SimSun" w:cs="SimSun"/>
        </w:rPr>
        <w:t>Louvre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spacing w:val="12"/>
        </w:rPr>
        <w:t>(卢浮宫学校)为突出代表。核心特点是专业化教育体系，卢浮</w:t>
      </w:r>
      <w:r>
        <w:rPr/>
        <w:t xml:space="preserve"> </w:t>
      </w:r>
      <w:r>
        <w:rPr>
          <w:spacing w:val="10"/>
        </w:rPr>
        <w:t>宫学校提供艺术史、考古和博物馆学高等教育；博物馆教育注重现场教学和学校合作，强调艺术</w:t>
      </w:r>
      <w:r>
        <w:rPr>
          <w:spacing w:val="4"/>
        </w:rPr>
        <w:t xml:space="preserve">  </w:t>
      </w:r>
      <w:r>
        <w:rPr>
          <w:spacing w:val="6"/>
        </w:rPr>
        <w:t>欣赏和历史文明传承。</w:t>
      </w:r>
    </w:p>
    <w:p>
      <w:pPr>
        <w:pStyle w:val="BodyText"/>
        <w:ind w:right="12"/>
        <w:spacing w:before="142" w:line="338" w:lineRule="auto"/>
        <w:jc w:val="both"/>
        <w:rPr/>
      </w:pPr>
      <w:r>
        <w:rPr>
          <w:spacing w:val="13"/>
        </w:rPr>
        <w:t>德国博物馆教育注重研究导向和包容性。特点包括与大学合作紧密(如柏林国</w:t>
      </w:r>
      <w:r>
        <w:rPr>
          <w:spacing w:val="12"/>
        </w:rPr>
        <w:t>家博物馆群)、博物</w:t>
      </w:r>
      <w:r>
        <w:rPr/>
        <w:t xml:space="preserve"> </w:t>
      </w:r>
      <w:r>
        <w:rPr>
          <w:spacing w:val="16"/>
        </w:rPr>
        <w:t>馆教育研究中心(如</w:t>
      </w:r>
      <w:r>
        <w:rPr>
          <w:rFonts w:ascii="Times New Roman" w:hAnsi="Times New Roman" w:eastAsia="Times New Roman" w:cs="Times New Roman"/>
        </w:rPr>
        <w:t>Leibniz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16"/>
        </w:rPr>
        <w:t>中心)推动实证研究，以及针对社会议题的参与式项目，强调可持续</w:t>
      </w:r>
      <w:r>
        <w:rPr/>
        <w:t xml:space="preserve"> </w:t>
      </w:r>
      <w:r>
        <w:rPr>
          <w:spacing w:val="6"/>
        </w:rPr>
        <w:t>发展和多元社会整合。</w:t>
      </w:r>
    </w:p>
    <w:p>
      <w:pPr>
        <w:pStyle w:val="BodyText"/>
        <w:ind w:right="58"/>
        <w:spacing w:before="116" w:line="330" w:lineRule="auto"/>
        <w:jc w:val="both"/>
        <w:rPr/>
      </w:pPr>
      <w:r>
        <w:rPr>
          <w:spacing w:val="12"/>
        </w:rPr>
        <w:t>日本以东京国立博物馆和国立科学博物馆为代表。核心特点是学校教育深度融合(如针对中小学</w:t>
      </w:r>
      <w:r>
        <w:rPr>
          <w:spacing w:val="8"/>
        </w:rPr>
        <w:t xml:space="preserve">  </w:t>
      </w:r>
      <w:r>
        <w:rPr>
          <w:spacing w:val="4"/>
        </w:rPr>
        <w:t>生的专项程序和大学“校园成员”计划)、科技博物馆的科普</w:t>
      </w:r>
      <w:r>
        <w:rPr>
          <w:spacing w:val="3"/>
        </w:rPr>
        <w:t>导向，以及文化财产保护与教育并重，</w:t>
      </w:r>
      <w:r>
        <w:rPr/>
        <w:t xml:space="preserve"> </w:t>
      </w:r>
      <w:r>
        <w:rPr>
          <w:spacing w:val="8"/>
        </w:rPr>
        <w:t>注重体验式学习和国际交流。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二、分类体系构建与应用</w:t>
      </w:r>
    </w:p>
    <w:p>
      <w:pPr>
        <w:pStyle w:val="BodyText"/>
        <w:spacing w:before="240" w:line="213" w:lineRule="auto"/>
        <w:rPr/>
      </w:pPr>
      <w:r>
        <w:rPr>
          <w:spacing w:val="9"/>
        </w:rPr>
        <w:t>为便于中外比较，本报告提出一套博物馆分类体系：按所有制与行政/规模级别结合，分为四类：</w:t>
      </w:r>
    </w:p>
    <w:p>
      <w:pPr>
        <w:pStyle w:val="BodyText"/>
        <w:ind w:left="369"/>
        <w:spacing w:before="264" w:line="213" w:lineRule="auto"/>
        <w:rPr/>
      </w:pPr>
      <w:r>
        <w:rPr>
          <w:spacing w:val="4"/>
        </w:rPr>
        <w:t>·</w:t>
      </w:r>
      <w:r>
        <w:rPr>
          <w:spacing w:val="-84"/>
        </w:rPr>
        <w:t xml:space="preserve"> </w:t>
      </w:r>
      <w:r>
        <w:rPr>
          <w:spacing w:val="4"/>
        </w:rPr>
        <w:t>国家级/大型公立博物馆：由中央或国家直接管理/资</w:t>
      </w:r>
      <w:r>
        <w:rPr>
          <w:spacing w:val="3"/>
        </w:rPr>
        <w:t>助，规模大、资源丰富。</w:t>
      </w:r>
    </w:p>
    <w:p>
      <w:pPr>
        <w:pStyle w:val="BodyText"/>
        <w:ind w:left="369"/>
        <w:spacing w:before="274" w:line="213" w:lineRule="auto"/>
        <w:rPr/>
      </w:pPr>
      <w:r>
        <w:rPr>
          <w:spacing w:val="3"/>
        </w:rPr>
        <w:t>·</w:t>
      </w:r>
      <w:r>
        <w:rPr>
          <w:spacing w:val="-80"/>
        </w:rPr>
        <w:t xml:space="preserve"> </w:t>
      </w:r>
      <w:r>
        <w:rPr>
          <w:spacing w:val="3"/>
        </w:rPr>
        <w:t>省级/市县级公立博物馆：地方财政支持，覆盖区域性文化。</w:t>
      </w:r>
    </w:p>
    <w:p>
      <w:pPr>
        <w:pStyle w:val="BodyText"/>
        <w:ind w:left="369"/>
        <w:spacing w:before="284" w:line="213" w:lineRule="auto"/>
        <w:rPr/>
      </w:pPr>
      <w:r>
        <w:rPr>
          <w:spacing w:val="2"/>
        </w:rPr>
        <w:t>·行业/大学/企业博物馆：隶属特定机构，专业性强。</w:t>
      </w:r>
    </w:p>
    <w:p>
      <w:pPr>
        <w:pStyle w:val="BodyText"/>
        <w:ind w:left="369"/>
        <w:spacing w:before="265" w:line="213" w:lineRule="auto"/>
        <w:rPr/>
      </w:pPr>
      <w:r>
        <w:rPr>
          <w:spacing w:val="1"/>
        </w:rPr>
        <w:t>·</w:t>
      </w:r>
      <w:r>
        <w:rPr>
          <w:spacing w:val="-77"/>
        </w:rPr>
        <w:t xml:space="preserve"> </w:t>
      </w:r>
      <w:r>
        <w:rPr>
          <w:spacing w:val="1"/>
        </w:rPr>
        <w:t>私立/民办博物馆：非国有所有，运营灵活。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75" w:line="222" w:lineRule="auto"/>
        <w:rPr/>
      </w:pPr>
      <w:r>
        <w:rPr>
          <w:spacing w:val="2"/>
        </w:rPr>
        <w:t>应用分析：</w:t>
      </w:r>
    </w:p>
    <w:p>
      <w:pPr>
        <w:pStyle w:val="BodyText"/>
        <w:spacing w:before="253" w:line="340" w:lineRule="auto"/>
        <w:rPr/>
      </w:pPr>
      <w:r>
        <w:rPr>
          <w:spacing w:val="16"/>
        </w:rPr>
        <w:t>在中国，国家级公立博物馆(如故宫、国家博物馆)教育资</w:t>
      </w:r>
      <w:r>
        <w:rPr>
          <w:spacing w:val="15"/>
        </w:rPr>
        <w:t>源最丰富，活动类型多样、受众覆盖</w:t>
      </w:r>
      <w:r>
        <w:rPr/>
        <w:t xml:space="preserve">  </w:t>
      </w:r>
      <w:r>
        <w:rPr>
          <w:spacing w:val="9"/>
        </w:rPr>
        <w:t>广，数字化领先；省级/市县级公立占比高，教育实践更贴近本地，但资源相对有限；行业/大学</w:t>
      </w:r>
      <w:r>
        <w:rPr>
          <w:spacing w:val="9"/>
        </w:rPr>
        <w:t xml:space="preserve">  </w:t>
      </w:r>
      <w:r>
        <w:rPr>
          <w:spacing w:val="16"/>
        </w:rPr>
        <w:t>博物馆快速发展(如大学博物馆黄金十年),专业教育突出；私立博物馆</w:t>
      </w:r>
      <w:r>
        <w:rPr>
          <w:spacing w:val="15"/>
        </w:rPr>
        <w:t>数量较少，教育活动更创</w:t>
      </w:r>
      <w:r>
        <w:rPr/>
        <w:t xml:space="preserve"> </w:t>
      </w:r>
      <w:r>
        <w:rPr>
          <w:spacing w:val="5"/>
        </w:rPr>
        <w:t>新但规模小。</w:t>
      </w:r>
    </w:p>
    <w:p>
      <w:pPr>
        <w:pStyle w:val="BodyText"/>
        <w:spacing w:before="104" w:line="213" w:lineRule="auto"/>
        <w:rPr/>
      </w:pPr>
      <w:r>
        <w:rPr>
          <w:spacing w:val="15"/>
        </w:rPr>
        <w:t>在国外，国家级公立(如大英博物馆、卢浮宫、东京国立博物馆)教育程序系统化、国际化强；</w:t>
      </w:r>
    </w:p>
    <w:p>
      <w:pPr>
        <w:pStyle w:val="BodyText"/>
        <w:ind w:right="12"/>
        <w:spacing w:before="143" w:line="328" w:lineRule="auto"/>
        <w:rPr/>
      </w:pPr>
      <w:r>
        <w:rPr>
          <w:spacing w:val="13"/>
        </w:rPr>
        <w:t>美国史密森系统虽公立但联邦资助，资源共享度高；私立博物馆占比更高(如美国部分艺术博物</w:t>
      </w:r>
      <w:r>
        <w:rPr/>
        <w:t xml:space="preserve">  </w:t>
      </w:r>
      <w:r>
        <w:rPr>
          <w:spacing w:val="15"/>
        </w:rPr>
        <w:t>馆),教育实践更市场化、灵活；欧洲国家多以公立为主，教育包容性强；日本行业博物馆(如科</w:t>
      </w:r>
      <w:r>
        <w:rPr>
          <w:spacing w:val="18"/>
        </w:rPr>
        <w:t xml:space="preserve"> </w:t>
      </w:r>
      <w:r>
        <w:rPr>
          <w:spacing w:val="13"/>
        </w:rPr>
        <w:t>技类)教育与学校合作紧密。总体异同：公立类中外均资源主导、教育规模大</w:t>
      </w:r>
      <w:r>
        <w:rPr>
          <w:spacing w:val="12"/>
        </w:rPr>
        <w:t>；私立/行业类国外</w:t>
      </w:r>
      <w:r>
        <w:rPr/>
        <w:t xml:space="preserve"> </w:t>
      </w:r>
      <w:r>
        <w:rPr>
          <w:spacing w:val="8"/>
        </w:rPr>
        <w:t>更发达，创新性强，中国正加速增长。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三、未来趋势分析</w:t>
      </w:r>
    </w:p>
    <w:p>
      <w:pPr>
        <w:spacing w:line="222" w:lineRule="auto"/>
        <w:sectPr>
          <w:pgSz w:w="12240" w:h="15840"/>
          <w:pgMar w:top="1260" w:right="1035" w:bottom="0" w:left="980" w:header="0" w:footer="0" w:gutter="0"/>
        </w:sectPr>
        <w:rPr>
          <w:sz w:val="36"/>
          <w:szCs w:val="36"/>
        </w:rPr>
      </w:pPr>
    </w:p>
    <w:p>
      <w:pPr>
        <w:pStyle w:val="BodyText"/>
        <w:ind w:left="99"/>
        <w:spacing w:before="173" w:line="224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1.</w:t>
      </w:r>
      <w:r>
        <w:rPr>
          <w:sz w:val="30"/>
          <w:szCs w:val="30"/>
          <w:b/>
          <w:bCs/>
          <w:spacing w:val="-5"/>
        </w:rPr>
        <w:t>总体趋势</w:t>
      </w:r>
    </w:p>
    <w:p>
      <w:pPr>
        <w:pStyle w:val="BodyText"/>
        <w:ind w:left="95"/>
        <w:spacing w:before="204" w:line="322" w:lineRule="auto"/>
        <w:rPr>
          <w:sz w:val="24"/>
          <w:szCs w:val="24"/>
        </w:rPr>
      </w:pPr>
      <w:r>
        <w:rPr>
          <w:sz w:val="24"/>
          <w:szCs w:val="24"/>
        </w:rPr>
        <w:t>全球博物馆教育将深受数字化、人工智能、</w:t>
      </w:r>
      <w:r>
        <w:rPr>
          <w:rFonts w:ascii="SimSun" w:hAnsi="SimSun" w:eastAsia="SimSun" w:cs="SimSun"/>
          <w:sz w:val="24"/>
          <w:szCs w:val="24"/>
        </w:rPr>
        <w:t>VR/AR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</w:t>
      </w:r>
      <w:r>
        <w:rPr>
          <w:sz w:val="24"/>
          <w:szCs w:val="24"/>
        </w:rPr>
        <w:t>等科技驱动，以及终身学习、</w:t>
      </w:r>
      <w:r>
        <w:rPr>
          <w:rFonts w:ascii="SimSun" w:hAnsi="SimSun" w:eastAsia="SimSun" w:cs="SimSun"/>
          <w:sz w:val="24"/>
          <w:szCs w:val="24"/>
        </w:rPr>
        <w:t>STEA</w:t>
      </w:r>
      <w:r>
        <w:rPr>
          <w:rFonts w:ascii="SimSun" w:hAnsi="SimSun" w:eastAsia="SimSun" w:cs="SimSun"/>
          <w:sz w:val="24"/>
          <w:szCs w:val="24"/>
          <w:spacing w:val="-1"/>
        </w:rPr>
        <w:t>M  </w:t>
      </w:r>
      <w:r>
        <w:rPr>
          <w:sz w:val="24"/>
          <w:szCs w:val="24"/>
          <w:spacing w:val="-1"/>
        </w:rPr>
        <w:t>教育、包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容性教育理念影响。数字化转型加速，在线平台、虚拟展览和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</w:rPr>
        <w:t>导览将成为主流，提</w:t>
      </w:r>
      <w:r>
        <w:rPr>
          <w:sz w:val="24"/>
          <w:szCs w:val="24"/>
          <w:spacing w:val="-1"/>
        </w:rPr>
        <w:t>供无界限访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问；沉浸式体验通过</w:t>
      </w:r>
      <w:r>
        <w:rPr>
          <w:rFonts w:ascii="SimSun" w:hAnsi="SimSun" w:eastAsia="SimSun" w:cs="SimSun"/>
          <w:sz w:val="24"/>
          <w:szCs w:val="24"/>
        </w:rPr>
        <w:t>VR</w:t>
      </w:r>
      <w:r>
        <w:rPr>
          <w:rFonts w:ascii="SimSun" w:hAnsi="SimSun" w:eastAsia="SimSun" w:cs="SimSun"/>
          <w:sz w:val="24"/>
          <w:szCs w:val="24"/>
          <w:spacing w:val="1"/>
        </w:rPr>
        <w:t>/</w:t>
      </w:r>
      <w:r>
        <w:rPr>
          <w:rFonts w:ascii="SimSun" w:hAnsi="SimSun" w:eastAsia="SimSun" w:cs="SimSun"/>
          <w:sz w:val="24"/>
          <w:szCs w:val="24"/>
        </w:rPr>
        <w:t>AR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增强互动，观众从被动观赏转向主动参与；包容性与多元化加强，针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对残障、少数族群和远程观众定制项目；跨学科整合深化，博物馆教育融入</w:t>
      </w:r>
      <w:r>
        <w:rPr>
          <w:rFonts w:ascii="Times New Roman" w:hAnsi="Times New Roman" w:eastAsia="Times New Roman" w:cs="Times New Roman"/>
          <w:sz w:val="24"/>
          <w:szCs w:val="24"/>
        </w:rPr>
        <w:t>STEAM</w:t>
      </w:r>
      <w:r>
        <w:rPr>
          <w:sz w:val="24"/>
          <w:szCs w:val="24"/>
        </w:rPr>
        <w:t>和可持续发展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议题；数据驱动优化教育效果，</w:t>
      </w:r>
      <w:r>
        <w:rPr>
          <w:rFonts w:ascii="SimSun" w:hAnsi="SimSun" w:eastAsia="SimSun" w:cs="SimSun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分析观众行为。这些趋势将使博物馆从物理空间向“未来社会学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7"/>
        </w:rPr>
        <w:t>习中心”演变，突破时空限制，提升全球文化可及性。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9"/>
        <w:spacing w:before="97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2.</w:t>
      </w:r>
      <w:r>
        <w:rPr>
          <w:rFonts w:ascii="SimSun" w:hAnsi="SimSun" w:eastAsia="SimSun" w:cs="SimSun"/>
          <w:sz w:val="30"/>
          <w:szCs w:val="30"/>
          <w:spacing w:val="-85"/>
        </w:rPr>
        <w:t xml:space="preserve"> </w:t>
      </w:r>
      <w:r>
        <w:rPr>
          <w:sz w:val="30"/>
          <w:szCs w:val="30"/>
          <w:b/>
          <w:bCs/>
          <w:spacing w:val="-3"/>
        </w:rPr>
        <w:t>中国重点详写：中国博物馆教育的未来趋势与</w:t>
      </w:r>
      <w:r>
        <w:rPr>
          <w:sz w:val="30"/>
          <w:szCs w:val="30"/>
          <w:b/>
          <w:bCs/>
          <w:spacing w:val="-4"/>
        </w:rPr>
        <w:t>发展路径</w:t>
      </w:r>
    </w:p>
    <w:p>
      <w:pPr>
        <w:pStyle w:val="BodyText"/>
        <w:ind w:left="95" w:right="39"/>
        <w:spacing w:before="222" w:line="328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结合中国国情(如人口基数大、文化资源丰富、文旅消费升级)、文化强国战略、“十四五”规划及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技术应用现状，中国博物馆教育未来将呈现更快速</w:t>
      </w:r>
      <w:r>
        <w:rPr>
          <w:sz w:val="24"/>
          <w:szCs w:val="24"/>
          <w:spacing w:val="-1"/>
        </w:rPr>
        <w:t>、深度融合的发展态势。</w:t>
      </w:r>
    </w:p>
    <w:p>
      <w:pPr>
        <w:pStyle w:val="BodyText"/>
        <w:ind w:right="237" w:firstLine="98"/>
        <w:spacing w:before="119" w:line="342" w:lineRule="auto"/>
        <w:jc w:val="both"/>
        <w:rPr>
          <w:sz w:val="19"/>
          <w:szCs w:val="19"/>
        </w:rPr>
      </w:pPr>
      <w:r>
        <w:rPr>
          <w:sz w:val="24"/>
          <w:szCs w:val="24"/>
          <w:b/>
          <w:bCs/>
          <w:spacing w:val="1"/>
        </w:rPr>
        <w:t>数字化与智能化主导：</w:t>
      </w:r>
      <w:r>
        <w:rPr>
          <w:sz w:val="24"/>
          <w:szCs w:val="24"/>
          <w:spacing w:val="1"/>
        </w:rPr>
        <w:t>到2030年，数字博物馆将全面普及，</w:t>
      </w:r>
      <w:r>
        <w:rPr>
          <w:sz w:val="24"/>
          <w:szCs w:val="24"/>
          <w:spacing w:val="-2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sz w:val="24"/>
          <w:szCs w:val="24"/>
          <w:spacing w:val="1"/>
        </w:rPr>
        <w:t>数</w:t>
      </w:r>
      <w:r>
        <w:rPr>
          <w:sz w:val="24"/>
          <w:szCs w:val="24"/>
        </w:rPr>
        <w:t>字人导览、</w:t>
      </w:r>
      <w:r>
        <w:rPr>
          <w:rFonts w:ascii="Arial" w:hAnsi="Arial" w:eastAsia="Arial" w:cs="Arial"/>
          <w:sz w:val="24"/>
          <w:szCs w:val="24"/>
        </w:rPr>
        <w:t>VR/AR</w:t>
      </w:r>
      <w:r>
        <w:rPr>
          <w:sz w:val="24"/>
          <w:szCs w:val="24"/>
        </w:rPr>
        <w:t>沉浸式展览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比例大幅提升(如扩展“数字故宫”模式)。趋势判断：</w:t>
      </w:r>
      <w:r>
        <w:rPr>
          <w:rFonts w:ascii="Arial" w:hAnsi="Arial" w:eastAsia="Arial" w:cs="Arial"/>
          <w:sz w:val="24"/>
          <w:szCs w:val="24"/>
        </w:rPr>
        <w:t>Al</w:t>
      </w:r>
      <w:r>
        <w:rPr>
          <w:rFonts w:ascii="Arial" w:hAnsi="Arial" w:eastAsia="Arial" w:cs="Arial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6"/>
        </w:rPr>
        <w:t>渗透率超</w:t>
      </w:r>
      <w:r>
        <w:rPr>
          <w:sz w:val="24"/>
          <w:szCs w:val="24"/>
          <w:spacing w:val="5"/>
        </w:rPr>
        <w:t>40%,复合增长率高，推动从</w:t>
      </w:r>
      <w:r>
        <w:rPr>
          <w:sz w:val="24"/>
          <w:szCs w:val="24"/>
        </w:rPr>
        <w:t xml:space="preserve"> </w:t>
      </w:r>
      <w:r>
        <w:rPr>
          <w:sz w:val="19"/>
          <w:szCs w:val="19"/>
          <w:spacing w:val="15"/>
        </w:rPr>
        <w:t>“文物活化”到“空间活化”。</w:t>
      </w:r>
    </w:p>
    <w:p>
      <w:pPr>
        <w:pStyle w:val="BodyText"/>
        <w:ind w:left="95" w:right="57" w:firstLine="3"/>
        <w:spacing w:before="128" w:line="3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文旅融合深化：</w:t>
      </w:r>
      <w:r>
        <w:rPr>
          <w:sz w:val="24"/>
          <w:szCs w:val="24"/>
          <w:spacing w:val="-1"/>
        </w:rPr>
        <w:t>博物馆教育与旅游深度整合，研学旅行规范化、景区化，乡村振兴中县域/村级博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0"/>
        </w:rPr>
        <w:t>物馆教育功能强化，形成“博物馆+旅游”新业态。</w:t>
      </w:r>
    </w:p>
    <w:p>
      <w:pPr>
        <w:pStyle w:val="BodyText"/>
        <w:ind w:left="95" w:right="98" w:firstLine="3"/>
        <w:spacing w:before="108" w:line="34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青少年与终身教育并重：</w:t>
      </w:r>
      <w:r>
        <w:rPr>
          <w:sz w:val="24"/>
          <w:szCs w:val="24"/>
          <w:spacing w:val="-7"/>
        </w:rPr>
        <w:t>响应“双减”和终身学习政策，校馆合作制度化，开发更多</w:t>
      </w:r>
      <w:r>
        <w:rPr>
          <w:rFonts w:ascii="Arial" w:hAnsi="Arial" w:eastAsia="Arial" w:cs="Arial"/>
          <w:sz w:val="24"/>
          <w:szCs w:val="24"/>
          <w:spacing w:val="-7"/>
        </w:rPr>
        <w:t>STEA</w:t>
      </w:r>
      <w:r>
        <w:rPr>
          <w:rFonts w:ascii="Arial" w:hAnsi="Arial" w:eastAsia="Arial" w:cs="Arial"/>
          <w:sz w:val="24"/>
          <w:szCs w:val="24"/>
          <w:spacing w:val="-8"/>
        </w:rPr>
        <w:t>M</w:t>
      </w:r>
      <w:r>
        <w:rPr>
          <w:sz w:val="24"/>
          <w:szCs w:val="24"/>
          <w:spacing w:val="-8"/>
        </w:rPr>
        <w:t>课程；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成人教育扩展，社区和在线学习增长。</w:t>
      </w:r>
    </w:p>
    <w:p>
      <w:pPr>
        <w:pStyle w:val="BodyText"/>
        <w:ind w:left="95" w:right="144"/>
        <w:spacing w:before="88" w:line="334" w:lineRule="auto"/>
        <w:rPr>
          <w:sz w:val="24"/>
          <w:szCs w:val="24"/>
        </w:rPr>
      </w:pPr>
      <w:r>
        <w:rPr>
          <w:sz w:val="24"/>
          <w:szCs w:val="24"/>
        </w:rPr>
        <w:t>包容性与区域均衡：针对中西部和特殊群体，数字技术桥接差距；政策将继续加大投入，实现县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10"/>
        </w:rPr>
        <w:t>域博物馆教育覆盖率近100%。</w:t>
      </w:r>
    </w:p>
    <w:p>
      <w:pPr>
        <w:pStyle w:val="BodyText"/>
        <w:ind w:left="95" w:right="138"/>
        <w:spacing w:before="101" w:line="319" w:lineRule="auto"/>
        <w:jc w:val="both"/>
        <w:rPr>
          <w:sz w:val="24"/>
          <w:szCs w:val="24"/>
        </w:rPr>
      </w:pPr>
      <w:r>
        <w:rPr>
          <w:sz w:val="24"/>
          <w:szCs w:val="24"/>
        </w:rPr>
        <w:t>发展路径思考：一是政策引领，完善博物馆教育法规和标准；二是技术赋能，培养跨学科人才，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推动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rFonts w:ascii="SimSun" w:hAnsi="SimSun" w:eastAsia="SimSun" w:cs="SimSun"/>
          <w:sz w:val="24"/>
          <w:szCs w:val="24"/>
          <w:spacing w:val="1"/>
        </w:rPr>
        <w:t>/</w:t>
      </w:r>
      <w:r>
        <w:rPr>
          <w:rFonts w:ascii="SimSun" w:hAnsi="SimSun" w:eastAsia="SimSun" w:cs="SimSun"/>
          <w:sz w:val="24"/>
          <w:szCs w:val="24"/>
        </w:rPr>
        <w:t>VR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sz w:val="24"/>
          <w:szCs w:val="24"/>
          <w:spacing w:val="1"/>
        </w:rPr>
        <w:t>标准建设；三是合作创新，鼓励公私伙伴关系和</w:t>
      </w:r>
      <w:r>
        <w:rPr>
          <w:sz w:val="24"/>
          <w:szCs w:val="24"/>
        </w:rPr>
        <w:t>国际交流；四是评估优化，建立教育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效果数据体系。总体，中国博物馆教育将向高质量、普惠化、国际化方向跃升，成为文化自信和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软实力重要载体。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100"/>
        <w:spacing w:before="121" w:line="222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8"/>
        </w:rPr>
        <w:t>结语</w:t>
      </w:r>
    </w:p>
    <w:p>
      <w:pPr>
        <w:pStyle w:val="BodyText"/>
        <w:ind w:left="95" w:right="144"/>
        <w:spacing w:before="195" w:line="313" w:lineRule="auto"/>
        <w:jc w:val="both"/>
        <w:rPr>
          <w:sz w:val="24"/>
          <w:szCs w:val="24"/>
        </w:rPr>
      </w:pPr>
      <w:r>
        <w:rPr>
          <w:sz w:val="24"/>
          <w:szCs w:val="24"/>
        </w:rPr>
        <w:t>中外博物馆教育现状呈现多样化特点，中国规模扩张迅猛、政策驱动强，国外专业化和包容性突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</w:rPr>
        <w:t>出。未来，在科技与教育理念双重驱动下，博物馆教育将迎来革新时代，中国将在文旅融合和数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字化领域发挥引领作用，推动全球文化遗产共享与创新。</w:t>
      </w:r>
    </w:p>
    <w:sectPr>
      <w:pgSz w:w="12240" w:h="15840"/>
      <w:pgMar w:top="1346" w:right="1031" w:bottom="0" w:left="87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2026-03-16T00:00:28</vt:filetime>
  </property>
  <property fmtid="{D5CDD505-2E9C-101B-9397-08002B2CF9AE}" pid="4" name="UsrData">
    <vt:lpwstr>69b6d799259dfc001fa6549dwl</vt:lpwstr>
  </property>
</Properties>
</file>