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6"/>
        <w:spacing w:before="90" w:line="222" w:lineRule="auto"/>
        <w:outlineLvl w:val="0"/>
        <w:rPr>
          <w:sz w:val="45"/>
          <w:szCs w:val="45"/>
        </w:rPr>
      </w:pPr>
      <w:r>
        <w:rPr>
          <w:sz w:val="45"/>
          <w:szCs w:val="45"/>
          <w:b/>
          <w:bCs/>
          <w:spacing w:val="-9"/>
        </w:rPr>
        <w:t>中外博物馆教育的现状与未来趋势</w:t>
      </w:r>
    </w:p>
    <w:p>
      <w:pPr>
        <w:spacing w:line="420" w:lineRule="auto"/>
        <w:rPr>
          <w:rFonts w:ascii="Arial"/>
          <w:sz w:val="21"/>
        </w:rPr>
      </w:pPr>
      <w:r/>
    </w:p>
    <w:p>
      <w:pPr>
        <w:pStyle w:val="BodyText"/>
        <w:ind w:left="5"/>
        <w:spacing w:before="114" w:line="222" w:lineRule="auto"/>
        <w:rPr>
          <w:sz w:val="35"/>
          <w:szCs w:val="35"/>
        </w:rPr>
      </w:pPr>
      <w:r>
        <w:rPr>
          <w:sz w:val="35"/>
          <w:szCs w:val="35"/>
          <w:b/>
          <w:bCs/>
          <w:spacing w:val="1"/>
        </w:rPr>
        <w:t>战略研究报告</w:t>
      </w:r>
    </w:p>
    <w:p>
      <w:pPr>
        <w:pStyle w:val="BodyText"/>
        <w:ind w:left="4"/>
        <w:spacing w:before="190" w:line="223" w:lineRule="auto"/>
        <w:outlineLvl w:val="2"/>
        <w:rPr>
          <w:sz w:val="30"/>
          <w:szCs w:val="30"/>
        </w:rPr>
      </w:pPr>
      <w:r>
        <w:rPr>
          <w:sz w:val="30"/>
          <w:szCs w:val="30"/>
          <w:b/>
          <w:bCs/>
          <w:spacing w:val="1"/>
        </w:rPr>
        <w:t>一、引言</w:t>
      </w:r>
    </w:p>
    <w:p>
      <w:pPr>
        <w:pStyle w:val="BodyText"/>
        <w:spacing w:before="236" w:line="213" w:lineRule="auto"/>
        <w:rPr/>
      </w:pPr>
      <w:r>
        <w:rPr>
          <w:spacing w:val="6"/>
        </w:rPr>
        <w:t>博物馆作为非正式学习环境</w:t>
      </w:r>
      <w:r>
        <w:rPr>
          <w:spacing w:val="6"/>
        </w:rPr>
        <w:t xml:space="preserve"> </w:t>
      </w:r>
      <w:r>
        <w:rPr>
          <w:rFonts w:ascii="SimSun" w:hAnsi="SimSun" w:eastAsia="SimSun" w:cs="SimSun"/>
          <w:spacing w:val="6"/>
        </w:rPr>
        <w:t>(</w:t>
      </w:r>
      <w:r>
        <w:rPr>
          <w:rFonts w:ascii="SimSun" w:hAnsi="SimSun" w:eastAsia="SimSun" w:cs="SimSun"/>
        </w:rPr>
        <w:t>informal</w:t>
      </w:r>
      <w:r>
        <w:rPr>
          <w:rFonts w:ascii="SimSun" w:hAnsi="SimSun" w:eastAsia="SimSun" w:cs="SimSun"/>
          <w:spacing w:val="100"/>
        </w:rPr>
        <w:t xml:space="preserve"> </w:t>
      </w:r>
      <w:r>
        <w:rPr>
          <w:rFonts w:ascii="SimSun" w:hAnsi="SimSun" w:eastAsia="SimSun" w:cs="SimSun"/>
        </w:rPr>
        <w:t>learning</w:t>
      </w:r>
      <w:r>
        <w:rPr>
          <w:rFonts w:ascii="SimSun" w:hAnsi="SimSun" w:eastAsia="SimSun" w:cs="SimSun"/>
          <w:spacing w:val="92"/>
        </w:rPr>
        <w:t xml:space="preserve"> </w:t>
      </w:r>
      <w:r>
        <w:rPr>
          <w:rFonts w:ascii="SimSun" w:hAnsi="SimSun" w:eastAsia="SimSun" w:cs="SimSun"/>
        </w:rPr>
        <w:t>environment</w:t>
      </w:r>
      <w:r>
        <w:rPr>
          <w:rFonts w:ascii="SimSun" w:hAnsi="SimSun" w:eastAsia="SimSun" w:cs="SimSun"/>
          <w:spacing w:val="6"/>
        </w:rPr>
        <w:t>,</w:t>
      </w:r>
      <w:r>
        <w:rPr>
          <w:spacing w:val="6"/>
        </w:rPr>
        <w:t>指在学校教育之外，通过</w:t>
      </w:r>
      <w:r>
        <w:rPr>
          <w:spacing w:val="5"/>
        </w:rPr>
        <w:t>展览、</w:t>
      </w:r>
    </w:p>
    <w:p>
      <w:pPr>
        <w:pStyle w:val="BodyText"/>
        <w:ind w:right="27"/>
        <w:spacing w:before="154" w:line="308" w:lineRule="auto"/>
        <w:rPr/>
      </w:pPr>
      <w:r>
        <w:rPr>
          <w:spacing w:val="13"/>
        </w:rPr>
        <w:t>互动和体验促进知识获取与技能发展的场域),在当代社会中日益扮演重要角</w:t>
      </w:r>
      <w:r>
        <w:rPr>
          <w:spacing w:val="12"/>
        </w:rPr>
        <w:t>色。据联合国教科文</w:t>
      </w:r>
      <w:r>
        <w:rPr/>
        <w:t xml:space="preserve"> </w:t>
      </w:r>
      <w:r>
        <w:rPr>
          <w:spacing w:val="18"/>
        </w:rPr>
        <w:t>组织</w:t>
      </w:r>
      <w:r>
        <w:rPr>
          <w:spacing w:val="18"/>
        </w:rPr>
        <w:t xml:space="preserve"> </w:t>
      </w:r>
      <w:r>
        <w:rPr>
          <w:rFonts w:ascii="Arial" w:hAnsi="Arial" w:eastAsia="Arial" w:cs="Arial"/>
          <w:spacing w:val="18"/>
        </w:rPr>
        <w:t>(</w:t>
      </w:r>
      <w:r>
        <w:rPr>
          <w:rFonts w:ascii="Arial" w:hAnsi="Arial" w:eastAsia="Arial" w:cs="Arial"/>
        </w:rPr>
        <w:t>UNESCO</w:t>
      </w:r>
      <w:r>
        <w:rPr>
          <w:rFonts w:ascii="Arial" w:hAnsi="Arial" w:eastAsia="Arial" w:cs="Arial"/>
          <w:spacing w:val="18"/>
        </w:rPr>
        <w:t>)     </w:t>
      </w:r>
      <w:r>
        <w:rPr>
          <w:spacing w:val="18"/>
        </w:rPr>
        <w:t>女化与艺术教育框架》202</w:t>
      </w:r>
      <w:r>
        <w:rPr>
          <w:spacing w:val="17"/>
        </w:rPr>
        <w:t>4)指出，博物馆教育有助于实现跨学科学习</w:t>
      </w:r>
    </w:p>
    <w:p>
      <w:pPr>
        <w:pStyle w:val="BodyText"/>
        <w:ind w:right="118" w:firstLine="149"/>
        <w:spacing w:before="46" w:line="333" w:lineRule="auto"/>
        <w:rPr/>
      </w:pPr>
      <w:r>
        <w:rPr>
          <w:rFonts w:ascii="SimSun" w:hAnsi="SimSun" w:eastAsia="SimSun" w:cs="SimSun"/>
          <w:spacing w:val="2"/>
        </w:rPr>
        <w:t>(</w:t>
      </w:r>
      <w:r>
        <w:rPr>
          <w:rFonts w:ascii="SimSun" w:hAnsi="SimSun" w:eastAsia="SimSun" w:cs="SimSun"/>
        </w:rPr>
        <w:t>interdisciplinary</w:t>
      </w:r>
      <w:r>
        <w:rPr>
          <w:rFonts w:ascii="SimSun" w:hAnsi="SimSun" w:eastAsia="SimSun" w:cs="SimSun"/>
          <w:spacing w:val="2"/>
        </w:rPr>
        <w:t xml:space="preserve"> </w:t>
      </w:r>
      <w:r>
        <w:rPr>
          <w:rFonts w:ascii="SimSun" w:hAnsi="SimSun" w:eastAsia="SimSun" w:cs="SimSun"/>
        </w:rPr>
        <w:t>learning</w:t>
      </w:r>
      <w:r>
        <w:rPr>
          <w:rFonts w:ascii="SimSun" w:hAnsi="SimSun" w:eastAsia="SimSun" w:cs="SimSun"/>
          <w:spacing w:val="2"/>
        </w:rPr>
        <w:t>,</w:t>
      </w:r>
      <w:r>
        <w:rPr>
          <w:spacing w:val="2"/>
        </w:rPr>
        <w:t>即整合多领域知识的教学方式)和终身学习</w:t>
      </w:r>
      <w:r>
        <w:rPr>
          <w:spacing w:val="2"/>
        </w:rPr>
        <w:t xml:space="preserve"> </w:t>
      </w:r>
      <w:r>
        <w:rPr>
          <w:rFonts w:ascii="SimSun" w:hAnsi="SimSun" w:eastAsia="SimSun" w:cs="SimSun"/>
          <w:spacing w:val="2"/>
        </w:rPr>
        <w:t>(</w:t>
      </w:r>
      <w:r>
        <w:rPr>
          <w:rFonts w:ascii="SimSun" w:hAnsi="SimSun" w:eastAsia="SimSun" w:cs="SimSun"/>
        </w:rPr>
        <w:t>lifelong</w:t>
      </w:r>
      <w:r>
        <w:rPr>
          <w:rFonts w:ascii="SimSun" w:hAnsi="SimSun" w:eastAsia="SimSun" w:cs="SimSun"/>
          <w:spacing w:val="2"/>
        </w:rPr>
        <w:t xml:space="preserve"> </w:t>
      </w:r>
      <w:r>
        <w:rPr>
          <w:rFonts w:ascii="SimSun" w:hAnsi="SimSun" w:eastAsia="SimSun" w:cs="SimSun"/>
        </w:rPr>
        <w:t>learning</w:t>
      </w:r>
      <w:r>
        <w:rPr>
          <w:rFonts w:ascii="SimSun" w:hAnsi="SimSun" w:eastAsia="SimSun" w:cs="SimSun"/>
          <w:spacing w:val="2"/>
        </w:rPr>
        <w:t>,</w:t>
      </w:r>
      <w:r>
        <w:rPr>
          <w:rFonts w:ascii="SimSun" w:hAnsi="SimSun" w:eastAsia="SimSun" w:cs="SimSun"/>
        </w:rPr>
        <w:t xml:space="preserve">  </w:t>
      </w:r>
      <w:r>
        <w:rPr>
          <w:spacing w:val="11"/>
        </w:rPr>
        <w:t>指贯穿个体一生的持续教育过程),并在一定程度上支持可持续发展目标</w:t>
      </w:r>
      <w:r>
        <w:rPr>
          <w:spacing w:val="11"/>
        </w:rPr>
        <w:t xml:space="preserve"> </w:t>
      </w:r>
      <w:r>
        <w:rPr>
          <w:rFonts w:ascii="SimSun" w:hAnsi="SimSun" w:eastAsia="SimSun" w:cs="SimSun"/>
          <w:spacing w:val="11"/>
        </w:rPr>
        <w:t>(</w:t>
      </w:r>
      <w:r>
        <w:rPr>
          <w:rFonts w:ascii="SimSun" w:hAnsi="SimSun" w:eastAsia="SimSun" w:cs="SimSun"/>
        </w:rPr>
        <w:t>SDGs</w:t>
      </w:r>
      <w:r>
        <w:rPr>
          <w:rFonts w:ascii="SimSun" w:hAnsi="SimSun" w:eastAsia="SimSun" w:cs="SimSun"/>
          <w:spacing w:val="11"/>
        </w:rPr>
        <w:t>)</w:t>
      </w:r>
      <w:r>
        <w:rPr>
          <w:rFonts w:ascii="SimSun" w:hAnsi="SimSun" w:eastAsia="SimSun" w:cs="SimSun"/>
          <w:spacing w:val="62"/>
        </w:rPr>
        <w:t xml:space="preserve">  </w:t>
      </w:r>
      <w:r>
        <w:rPr>
          <w:spacing w:val="11"/>
        </w:rPr>
        <w:t>中的教育与文</w:t>
      </w:r>
      <w:r>
        <w:rPr/>
        <w:t xml:space="preserve"> </w:t>
      </w:r>
      <w:r>
        <w:rPr>
          <w:spacing w:val="5"/>
        </w:rPr>
        <w:t>化包容议题。</w:t>
      </w:r>
    </w:p>
    <w:p>
      <w:pPr>
        <w:pStyle w:val="BodyText"/>
        <w:ind w:right="139"/>
        <w:spacing w:before="164" w:line="334" w:lineRule="auto"/>
        <w:jc w:val="both"/>
        <w:rPr/>
      </w:pPr>
      <w:r>
        <w:rPr>
          <w:spacing w:val="10"/>
        </w:rPr>
        <w:t>本报告基于权威来源数据，概述中外博物馆教育现状，提出分类体系，分析科技与教育理念驱动</w:t>
      </w:r>
      <w:r>
        <w:rPr>
          <w:spacing w:val="12"/>
        </w:rPr>
        <w:t xml:space="preserve"> </w:t>
      </w:r>
      <w:r>
        <w:rPr>
          <w:spacing w:val="11"/>
        </w:rPr>
        <w:t>的未来趋势，并对中国博物馆教育发展进行</w:t>
      </w:r>
      <w:r>
        <w:rPr>
          <w:spacing w:val="10"/>
        </w:rPr>
        <w:t>展望。所有关键论断均引用可靠报告，以确保分析的</w:t>
      </w:r>
      <w:r>
        <w:rPr/>
        <w:t xml:space="preserve"> </w:t>
      </w:r>
      <w:r>
        <w:rPr>
          <w:spacing w:val="9"/>
        </w:rPr>
        <w:t>客观性与建设性。</w:t>
      </w:r>
    </w:p>
    <w:p>
      <w:pPr>
        <w:pStyle w:val="BodyText"/>
        <w:ind w:left="4"/>
        <w:spacing w:before="337" w:line="221" w:lineRule="auto"/>
        <w:outlineLvl w:val="2"/>
        <w:rPr>
          <w:sz w:val="30"/>
          <w:szCs w:val="30"/>
        </w:rPr>
      </w:pPr>
      <w:r>
        <w:rPr>
          <w:sz w:val="30"/>
          <w:szCs w:val="30"/>
          <w:b/>
          <w:bCs/>
          <w:spacing w:val="-4"/>
        </w:rPr>
        <w:t>二、中外博物馆教育现状概览</w:t>
      </w:r>
    </w:p>
    <w:p>
      <w:pPr>
        <w:pStyle w:val="BodyText"/>
        <w:ind w:left="153"/>
        <w:spacing w:before="210" w:line="222" w:lineRule="auto"/>
        <w:outlineLvl w:val="4"/>
        <w:rPr/>
      </w:pPr>
      <w:r>
        <w:rPr>
          <w:b/>
          <w:bCs/>
          <w:spacing w:val="14"/>
        </w:rPr>
        <w:t>(一)中国博物馆教育现状</w:t>
      </w:r>
    </w:p>
    <w:p>
      <w:pPr>
        <w:pStyle w:val="BodyText"/>
        <w:spacing w:before="247" w:line="213" w:lineRule="auto"/>
        <w:rPr/>
      </w:pPr>
      <w:r>
        <w:rPr>
          <w:spacing w:val="17"/>
        </w:rPr>
        <w:t>据国家文物局《中国博物馆事业发展报告(2024)》指出，截至2024年底，全国备案博物馆达</w:t>
      </w:r>
    </w:p>
    <w:p>
      <w:pPr>
        <w:pStyle w:val="BodyText"/>
        <w:ind w:right="59"/>
        <w:spacing w:before="146" w:line="334" w:lineRule="auto"/>
        <w:rPr/>
      </w:pPr>
      <w:r>
        <w:rPr>
          <w:spacing w:val="17"/>
        </w:rPr>
        <w:t>7046家，较上年增加213家，实现每20万人拥有一家博物馆，免费开放率达91.46%。2024年全</w:t>
      </w:r>
      <w:r>
        <w:rPr>
          <w:spacing w:val="14"/>
        </w:rPr>
        <w:t xml:space="preserve"> </w:t>
      </w:r>
      <w:r>
        <w:rPr>
          <w:spacing w:val="11"/>
        </w:rPr>
        <w:t>国博物馆举办陈列展览4万余个、教育活动51万余场，接待观</w:t>
      </w:r>
      <w:r>
        <w:rPr>
          <w:spacing w:val="10"/>
        </w:rPr>
        <w:t>众近15亿人次，表明博物馆教育在</w:t>
      </w:r>
      <w:r>
        <w:rPr/>
        <w:t xml:space="preserve">  </w:t>
      </w:r>
      <w:r>
        <w:rPr>
          <w:spacing w:val="8"/>
        </w:rPr>
        <w:t>一定程度上已成为大众文化消费的重要组成部分。</w:t>
      </w:r>
    </w:p>
    <w:p>
      <w:pPr>
        <w:pStyle w:val="BodyText"/>
        <w:spacing w:before="131" w:line="335" w:lineRule="auto"/>
        <w:rPr/>
      </w:pPr>
      <w:r>
        <w:rPr>
          <w:spacing w:val="9"/>
        </w:rPr>
        <w:t>中国博物馆教育强调社会包容性</w:t>
      </w:r>
      <w:r>
        <w:rPr>
          <w:spacing w:val="9"/>
        </w:rPr>
        <w:t xml:space="preserve"> </w:t>
      </w:r>
      <w:r>
        <w:rPr>
          <w:rFonts w:ascii="SimSun" w:hAnsi="SimSun" w:eastAsia="SimSun" w:cs="SimSun"/>
          <w:spacing w:val="9"/>
        </w:rPr>
        <w:t>(</w:t>
      </w:r>
      <w:r>
        <w:rPr>
          <w:rFonts w:ascii="SimSun" w:hAnsi="SimSun" w:eastAsia="SimSun" w:cs="SimSun"/>
        </w:rPr>
        <w:t>social</w:t>
      </w:r>
      <w:r>
        <w:rPr>
          <w:rFonts w:ascii="SimSun" w:hAnsi="SimSun" w:eastAsia="SimSun" w:cs="SimSun"/>
          <w:spacing w:val="9"/>
        </w:rPr>
        <w:t xml:space="preserve"> </w:t>
      </w:r>
      <w:r>
        <w:rPr>
          <w:rFonts w:ascii="SimSun" w:hAnsi="SimSun" w:eastAsia="SimSun" w:cs="SimSun"/>
        </w:rPr>
        <w:t>inclusion</w:t>
      </w:r>
      <w:r>
        <w:rPr>
          <w:rFonts w:ascii="SimSun" w:hAnsi="SimSun" w:eastAsia="SimSun" w:cs="SimSun"/>
          <w:spacing w:val="9"/>
        </w:rPr>
        <w:t>,</w:t>
      </w:r>
      <w:r>
        <w:rPr>
          <w:spacing w:val="9"/>
        </w:rPr>
        <w:t>指通过针对性项目服务多元群体，包括残障</w:t>
      </w:r>
      <w:r>
        <w:rPr>
          <w:spacing w:val="4"/>
        </w:rPr>
        <w:t xml:space="preserve">  </w:t>
      </w:r>
      <w:r>
        <w:rPr>
          <w:spacing w:val="14"/>
        </w:rPr>
        <w:t>人士、农村居民等),通常而言通过教育性展览设计</w:t>
      </w:r>
      <w:r>
        <w:rPr>
          <w:spacing w:val="-27"/>
        </w:rPr>
        <w:t xml:space="preserve"> </w:t>
      </w:r>
      <w:r>
        <w:rPr>
          <w:rFonts w:ascii="SimSun" w:hAnsi="SimSun" w:eastAsia="SimSun" w:cs="SimSun"/>
          <w:spacing w:val="14"/>
        </w:rPr>
        <w:t>(</w:t>
      </w:r>
      <w:r>
        <w:rPr>
          <w:rFonts w:ascii="SimSun" w:hAnsi="SimSun" w:eastAsia="SimSun" w:cs="SimSun"/>
        </w:rPr>
        <w:t>educational</w:t>
      </w:r>
      <w:r>
        <w:rPr>
          <w:rFonts w:ascii="SimSun" w:hAnsi="SimSun" w:eastAsia="SimSun" w:cs="SimSun"/>
          <w:spacing w:val="53"/>
        </w:rPr>
        <w:t xml:space="preserve"> </w:t>
      </w:r>
      <w:r>
        <w:rPr>
          <w:rFonts w:ascii="SimSun" w:hAnsi="SimSun" w:eastAsia="SimSun" w:cs="SimSun"/>
        </w:rPr>
        <w:t>exhibition</w:t>
      </w:r>
      <w:r>
        <w:rPr>
          <w:rFonts w:ascii="SimSun" w:hAnsi="SimSun" w:eastAsia="SimSun" w:cs="SimSun"/>
          <w:spacing w:val="51"/>
        </w:rPr>
        <w:t xml:space="preserve"> </w:t>
      </w:r>
      <w:r>
        <w:rPr>
          <w:rFonts w:ascii="SimSun" w:hAnsi="SimSun" w:eastAsia="SimSun" w:cs="SimSun"/>
        </w:rPr>
        <w:t>design</w:t>
      </w:r>
      <w:r>
        <w:rPr>
          <w:rFonts w:ascii="SimSun" w:hAnsi="SimSun" w:eastAsia="SimSun" w:cs="SimSun"/>
          <w:spacing w:val="14"/>
        </w:rPr>
        <w:t>,</w:t>
      </w:r>
      <w:r>
        <w:rPr>
          <w:spacing w:val="14"/>
        </w:rPr>
        <w:t>指以</w:t>
      </w:r>
      <w:r>
        <w:rPr>
          <w:spacing w:val="13"/>
        </w:rPr>
        <w:t>学习</w:t>
      </w:r>
      <w:r>
        <w:rPr/>
        <w:t xml:space="preserve">  </w:t>
      </w:r>
      <w:r>
        <w:rPr>
          <w:spacing w:val="13"/>
        </w:rPr>
        <w:t>目标为导向的展览策划与互动元素配置)开展学校合作、社区活动和数字化项目。然而，在一定</w:t>
      </w:r>
      <w:r>
        <w:rPr/>
        <w:t xml:space="preserve">  </w:t>
      </w:r>
      <w:r>
        <w:rPr>
          <w:spacing w:val="11"/>
        </w:rPr>
        <w:t>程度上可能存在观众研究</w:t>
      </w:r>
      <w:r>
        <w:rPr>
          <w:spacing w:val="11"/>
        </w:rPr>
        <w:t xml:space="preserve"> </w:t>
      </w:r>
      <w:r>
        <w:rPr>
          <w:rFonts w:ascii="Times New Roman" w:hAnsi="Times New Roman" w:eastAsia="Times New Roman" w:cs="Times New Roman"/>
          <w:spacing w:val="11"/>
        </w:rPr>
        <w:t>(</w:t>
      </w:r>
      <w:r>
        <w:rPr>
          <w:rFonts w:ascii="Times New Roman" w:hAnsi="Times New Roman" w:eastAsia="Times New Roman" w:cs="Times New Roman"/>
        </w:rPr>
        <w:t>audience</w:t>
      </w:r>
      <w:r>
        <w:rPr>
          <w:rFonts w:ascii="Times New Roman" w:hAnsi="Times New Roman" w:eastAsia="Times New Roman" w:cs="Times New Roman"/>
          <w:spacing w:val="11"/>
        </w:rPr>
        <w:t xml:space="preserve">          </w:t>
      </w:r>
      <w:r>
        <w:rPr>
          <w:rFonts w:ascii="Times New Roman" w:hAnsi="Times New Roman" w:eastAsia="Times New Roman" w:cs="Times New Roman"/>
        </w:rPr>
        <w:t>research</w:t>
      </w:r>
      <w:r>
        <w:rPr>
          <w:rFonts w:ascii="Times New Roman" w:hAnsi="Times New Roman" w:eastAsia="Times New Roman" w:cs="Times New Roman"/>
          <w:spacing w:val="11"/>
        </w:rPr>
        <w:t>,</w:t>
      </w:r>
      <w:r>
        <w:rPr>
          <w:rFonts w:ascii="Times New Roman" w:hAnsi="Times New Roman" w:eastAsia="Times New Roman" w:cs="Times New Roman"/>
          <w:spacing w:val="40"/>
          <w:w w:val="101"/>
        </w:rPr>
        <w:t xml:space="preserve"> </w:t>
      </w:r>
      <w:r>
        <w:rPr>
          <w:spacing w:val="11"/>
        </w:rPr>
        <w:t>指系统收集访客反馈以优化服务</w:t>
      </w:r>
      <w:r>
        <w:rPr>
          <w:spacing w:val="10"/>
        </w:rPr>
        <w:t>的调查方法)深</w:t>
      </w:r>
      <w:r>
        <w:rPr/>
        <w:t xml:space="preserve"> </w:t>
      </w:r>
      <w:r>
        <w:rPr>
          <w:spacing w:val="8"/>
        </w:rPr>
        <w:t>度不足的挑战，导致部分教育活动针对性有待提升。</w:t>
      </w:r>
    </w:p>
    <w:p>
      <w:pPr>
        <w:pStyle w:val="BodyText"/>
        <w:ind w:left="153"/>
        <w:spacing w:before="210" w:line="222" w:lineRule="auto"/>
        <w:outlineLvl w:val="4"/>
        <w:rPr/>
      </w:pPr>
      <w:r>
        <w:rPr>
          <w:b/>
          <w:bCs/>
          <w:spacing w:val="14"/>
        </w:rPr>
        <w:t>(二)国外博物馆教育现状</w:t>
      </w:r>
    </w:p>
    <w:p>
      <w:pPr>
        <w:pStyle w:val="BodyText"/>
        <w:ind w:right="143"/>
        <w:spacing w:before="246" w:line="340" w:lineRule="auto"/>
        <w:rPr/>
      </w:pPr>
      <w:r>
        <w:rPr>
          <w:spacing w:val="10"/>
        </w:rPr>
        <w:t>国外博物馆教育发达国家通常将博物馆定位为终身学习与跨学科学习的平台。以下选取美国、英</w:t>
      </w:r>
      <w:r>
        <w:rPr>
          <w:spacing w:val="14"/>
        </w:rPr>
        <w:t xml:space="preserve"> </w:t>
      </w:r>
      <w:r>
        <w:rPr>
          <w:spacing w:val="7"/>
        </w:rPr>
        <w:t>国、法国、德国、日本等国分述。</w:t>
      </w:r>
    </w:p>
    <w:p>
      <w:pPr>
        <w:spacing w:line="340" w:lineRule="auto"/>
        <w:sectPr>
          <w:pgSz w:w="12240" w:h="15840"/>
          <w:pgMar w:top="1138" w:right="1020" w:bottom="0" w:left="980" w:header="0" w:footer="0" w:gutter="0"/>
        </w:sectPr>
        <w:rPr/>
      </w:pPr>
    </w:p>
    <w:p>
      <w:pPr>
        <w:pStyle w:val="BodyText"/>
        <w:ind w:left="349"/>
        <w:spacing w:before="48" w:line="221" w:lineRule="auto"/>
        <w:rPr>
          <w:sz w:val="24"/>
          <w:szCs w:val="24"/>
        </w:rPr>
      </w:pPr>
      <w:r>
        <w:rPr>
          <w:rFonts w:ascii="SimSun" w:hAnsi="SimSun" w:eastAsia="SimSun" w:cs="SimSun"/>
          <w:sz w:val="24"/>
          <w:szCs w:val="24"/>
          <w:spacing w:val="-4"/>
        </w:rPr>
        <w:t>1.</w:t>
      </w:r>
      <w:r>
        <w:rPr>
          <w:rFonts w:ascii="SimSun" w:hAnsi="SimSun" w:eastAsia="SimSun" w:cs="SimSun"/>
          <w:sz w:val="24"/>
          <w:szCs w:val="24"/>
          <w:spacing w:val="-12"/>
        </w:rPr>
        <w:t xml:space="preserve"> </w:t>
      </w:r>
      <w:r>
        <w:rPr>
          <w:sz w:val="24"/>
          <w:szCs w:val="24"/>
          <w:spacing w:val="-4"/>
        </w:rPr>
        <w:t>美国</w:t>
      </w:r>
    </w:p>
    <w:p>
      <w:pPr>
        <w:pStyle w:val="BodyText"/>
        <w:ind w:left="679" w:right="136"/>
        <w:spacing w:before="113" w:line="320" w:lineRule="auto"/>
        <w:jc w:val="both"/>
        <w:rPr>
          <w:sz w:val="24"/>
          <w:szCs w:val="24"/>
        </w:rPr>
      </w:pPr>
      <w:r>
        <w:rPr>
          <w:sz w:val="24"/>
          <w:szCs w:val="24"/>
          <w:spacing w:val="8"/>
        </w:rPr>
        <w:t>据美国博物馆联盟</w:t>
      </w:r>
      <w:r>
        <w:rPr>
          <w:sz w:val="24"/>
          <w:szCs w:val="24"/>
          <w:spacing w:val="8"/>
        </w:rPr>
        <w:t xml:space="preserve"> </w:t>
      </w:r>
      <w:r>
        <w:rPr>
          <w:rFonts w:ascii="SimSun" w:hAnsi="SimSun" w:eastAsia="SimSun" w:cs="SimSun"/>
          <w:sz w:val="24"/>
          <w:szCs w:val="24"/>
          <w:spacing w:val="8"/>
        </w:rPr>
        <w:t>(</w:t>
      </w:r>
      <w:r>
        <w:rPr>
          <w:rFonts w:ascii="SimSun" w:hAnsi="SimSun" w:eastAsia="SimSun" w:cs="SimSun"/>
          <w:sz w:val="24"/>
          <w:szCs w:val="24"/>
        </w:rPr>
        <w:t>AAM</w:t>
      </w:r>
      <w:r>
        <w:rPr>
          <w:rFonts w:ascii="SimSun" w:hAnsi="SimSun" w:eastAsia="SimSun" w:cs="SimSun"/>
          <w:sz w:val="24"/>
          <w:szCs w:val="24"/>
          <w:spacing w:val="8"/>
        </w:rPr>
        <w:t>)    </w:t>
      </w:r>
      <w:r>
        <w:rPr>
          <w:sz w:val="24"/>
          <w:szCs w:val="24"/>
          <w:spacing w:val="8"/>
        </w:rPr>
        <w:t>博物馆事实与数据》2024更新)及年度访客调查</w:t>
      </w:r>
      <w:r>
        <w:rPr>
          <w:sz w:val="24"/>
          <w:szCs w:val="24"/>
          <w:spacing w:val="7"/>
        </w:rPr>
        <w:t>表明，美</w:t>
      </w:r>
      <w:r>
        <w:rPr>
          <w:sz w:val="24"/>
          <w:szCs w:val="24"/>
        </w:rPr>
        <w:t xml:space="preserve"> </w:t>
      </w:r>
      <w:r>
        <w:rPr>
          <w:sz w:val="24"/>
          <w:szCs w:val="24"/>
          <w:spacing w:val="3"/>
        </w:rPr>
        <w:t>国博物馆支持超过72.6万个就业岗位，年贡献约500亿</w:t>
      </w:r>
      <w:r>
        <w:rPr>
          <w:sz w:val="24"/>
          <w:szCs w:val="24"/>
          <w:spacing w:val="2"/>
        </w:rPr>
        <w:t>美元经济价值。博物馆教育广泛融</w:t>
      </w:r>
      <w:r>
        <w:rPr>
          <w:sz w:val="24"/>
          <w:szCs w:val="24"/>
        </w:rPr>
        <w:t xml:space="preserve"> </w:t>
      </w:r>
      <w:r>
        <w:rPr>
          <w:sz w:val="24"/>
          <w:szCs w:val="24"/>
        </w:rPr>
        <w:t>入</w:t>
      </w:r>
      <w:r>
        <w:rPr>
          <w:rFonts w:ascii="Times New Roman" w:hAnsi="Times New Roman" w:eastAsia="Times New Roman" w:cs="Times New Roman"/>
          <w:sz w:val="24"/>
          <w:szCs w:val="24"/>
        </w:rPr>
        <w:t>STEAM(Science,Technology,Engineering,Arts,Mathematics)                      </w:t>
      </w:r>
      <w:r>
        <w:rPr>
          <w:sz w:val="24"/>
          <w:szCs w:val="24"/>
        </w:rPr>
        <w:t>理念，强调互动与</w:t>
      </w:r>
      <w:r>
        <w:rPr>
          <w:sz w:val="24"/>
          <w:szCs w:val="24"/>
          <w:spacing w:val="9"/>
        </w:rPr>
        <w:t xml:space="preserve"> </w:t>
      </w:r>
      <w:r>
        <w:rPr>
          <w:sz w:val="24"/>
          <w:szCs w:val="24"/>
          <w:spacing w:val="-2"/>
        </w:rPr>
        <w:t>观众研究，通常而言通过学校项目和家庭活动促进非正式学习。</w:t>
      </w:r>
    </w:p>
    <w:p>
      <w:pPr>
        <w:pStyle w:val="BodyText"/>
        <w:ind w:left="353"/>
        <w:spacing w:before="154" w:line="222" w:lineRule="auto"/>
        <w:outlineLvl w:val="3"/>
        <w:rPr>
          <w:sz w:val="24"/>
          <w:szCs w:val="24"/>
        </w:rPr>
      </w:pPr>
      <w:r>
        <w:rPr>
          <w:rFonts w:ascii="SimSun" w:hAnsi="SimSun" w:eastAsia="SimSun" w:cs="SimSun"/>
          <w:sz w:val="24"/>
          <w:szCs w:val="24"/>
          <w:b/>
          <w:bCs/>
          <w:spacing w:val="-4"/>
        </w:rPr>
        <w:t>2.</w:t>
      </w:r>
      <w:r>
        <w:rPr>
          <w:rFonts w:ascii="SimSun" w:hAnsi="SimSun" w:eastAsia="SimSun" w:cs="SimSun"/>
          <w:sz w:val="24"/>
          <w:szCs w:val="24"/>
          <w:spacing w:val="-28"/>
        </w:rPr>
        <w:t xml:space="preserve"> </w:t>
      </w:r>
      <w:r>
        <w:rPr>
          <w:sz w:val="24"/>
          <w:szCs w:val="24"/>
          <w:b/>
          <w:bCs/>
          <w:spacing w:val="-4"/>
        </w:rPr>
        <w:t>英国</w:t>
      </w:r>
    </w:p>
    <w:p>
      <w:pPr>
        <w:pStyle w:val="BodyText"/>
        <w:ind w:left="679"/>
        <w:spacing w:before="97" w:line="332" w:lineRule="auto"/>
        <w:jc w:val="both"/>
        <w:rPr>
          <w:sz w:val="24"/>
          <w:szCs w:val="24"/>
        </w:rPr>
      </w:pPr>
      <w:r>
        <w:rPr>
          <w:sz w:val="24"/>
          <w:szCs w:val="24"/>
          <w:spacing w:val="13"/>
        </w:rPr>
        <w:t>据英国博物馆协会</w:t>
      </w:r>
      <w:r>
        <w:rPr>
          <w:sz w:val="24"/>
          <w:szCs w:val="24"/>
          <w:spacing w:val="13"/>
        </w:rPr>
        <w:t xml:space="preserve"> </w:t>
      </w:r>
      <w:r>
        <w:rPr>
          <w:rFonts w:ascii="Arial" w:hAnsi="Arial" w:eastAsia="Arial" w:cs="Arial"/>
          <w:sz w:val="24"/>
          <w:szCs w:val="24"/>
          <w:spacing w:val="13"/>
        </w:rPr>
        <w:t>(</w:t>
      </w:r>
      <w:r>
        <w:rPr>
          <w:rFonts w:ascii="Arial" w:hAnsi="Arial" w:eastAsia="Arial" w:cs="Arial"/>
          <w:sz w:val="24"/>
          <w:szCs w:val="24"/>
        </w:rPr>
        <w:t>Museums</w:t>
      </w:r>
      <w:r>
        <w:rPr>
          <w:rFonts w:ascii="Arial" w:hAnsi="Arial" w:eastAsia="Arial" w:cs="Arial"/>
          <w:sz w:val="24"/>
          <w:szCs w:val="24"/>
          <w:spacing w:val="13"/>
        </w:rPr>
        <w:t xml:space="preserve">    </w:t>
      </w:r>
      <w:r>
        <w:rPr>
          <w:rFonts w:ascii="Arial" w:hAnsi="Arial" w:eastAsia="Arial" w:cs="Arial"/>
          <w:sz w:val="24"/>
          <w:szCs w:val="24"/>
        </w:rPr>
        <w:t>Association</w:t>
      </w:r>
      <w:r>
        <w:rPr>
          <w:rFonts w:ascii="Arial" w:hAnsi="Arial" w:eastAsia="Arial" w:cs="Arial"/>
          <w:sz w:val="24"/>
          <w:szCs w:val="24"/>
          <w:spacing w:val="13"/>
        </w:rPr>
        <w:t>)</w:t>
      </w:r>
      <w:r>
        <w:rPr>
          <w:rFonts w:ascii="Arial" w:hAnsi="Arial" w:eastAsia="Arial" w:cs="Arial"/>
          <w:sz w:val="24"/>
          <w:szCs w:val="24"/>
          <w:spacing w:val="61"/>
          <w:w w:val="101"/>
        </w:rPr>
        <w:t xml:space="preserve"> </w:t>
      </w:r>
      <w:r>
        <w:rPr>
          <w:sz w:val="24"/>
          <w:szCs w:val="24"/>
          <w:spacing w:val="13"/>
        </w:rPr>
        <w:t>相关报告(2024-2025)指出，博物馆教育</w:t>
      </w:r>
      <w:r>
        <w:rPr>
          <w:sz w:val="24"/>
          <w:szCs w:val="24"/>
        </w:rPr>
        <w:t xml:space="preserve"> </w:t>
      </w:r>
      <w:r>
        <w:rPr>
          <w:sz w:val="24"/>
          <w:szCs w:val="24"/>
          <w:spacing w:val="10"/>
        </w:rPr>
        <w:t>面临学校访问减少的挑战(逾60%教师过去12个月未带学生参观),但在一定程度上通过数</w:t>
      </w:r>
      <w:r>
        <w:rPr>
          <w:sz w:val="24"/>
          <w:szCs w:val="24"/>
          <w:spacing w:val="13"/>
        </w:rPr>
        <w:t xml:space="preserve"> </w:t>
      </w:r>
      <w:r>
        <w:rPr>
          <w:sz w:val="24"/>
          <w:szCs w:val="24"/>
          <w:spacing w:val="-4"/>
        </w:rPr>
        <w:t>字化和社区合作提升社会包容性。</w:t>
      </w:r>
    </w:p>
    <w:p>
      <w:pPr>
        <w:pStyle w:val="BodyText"/>
        <w:ind w:left="353"/>
        <w:spacing w:before="99" w:line="222" w:lineRule="auto"/>
        <w:outlineLvl w:val="3"/>
        <w:rPr>
          <w:sz w:val="24"/>
          <w:szCs w:val="24"/>
        </w:rPr>
      </w:pPr>
      <w:r>
        <w:rPr>
          <w:rFonts w:ascii="SimSun" w:hAnsi="SimSun" w:eastAsia="SimSun" w:cs="SimSun"/>
          <w:sz w:val="24"/>
          <w:szCs w:val="24"/>
          <w:b/>
          <w:bCs/>
          <w:spacing w:val="-8"/>
        </w:rPr>
        <w:t>3.</w:t>
      </w:r>
      <w:r>
        <w:rPr>
          <w:rFonts w:ascii="SimSun" w:hAnsi="SimSun" w:eastAsia="SimSun" w:cs="SimSun"/>
          <w:sz w:val="24"/>
          <w:szCs w:val="24"/>
          <w:spacing w:val="-25"/>
        </w:rPr>
        <w:t xml:space="preserve"> </w:t>
      </w:r>
      <w:r>
        <w:rPr>
          <w:sz w:val="24"/>
          <w:szCs w:val="24"/>
          <w:b/>
          <w:bCs/>
          <w:spacing w:val="-8"/>
        </w:rPr>
        <w:t>法国</w:t>
      </w:r>
    </w:p>
    <w:p>
      <w:pPr>
        <w:pStyle w:val="BodyText"/>
        <w:ind w:left="679" w:right="211"/>
        <w:spacing w:before="131" w:line="328" w:lineRule="auto"/>
        <w:jc w:val="both"/>
        <w:rPr>
          <w:sz w:val="24"/>
          <w:szCs w:val="24"/>
        </w:rPr>
      </w:pPr>
      <w:r>
        <w:rPr>
          <w:sz w:val="24"/>
          <w:szCs w:val="24"/>
          <w:spacing w:val="-6"/>
        </w:rPr>
        <w:t>以巴黎科学与工业城</w:t>
      </w:r>
      <w:r>
        <w:rPr>
          <w:sz w:val="24"/>
          <w:szCs w:val="24"/>
          <w:spacing w:val="-6"/>
        </w:rPr>
        <w:t xml:space="preserve"> </w:t>
      </w:r>
      <w:r>
        <w:rPr>
          <w:rFonts w:ascii="SimSun" w:hAnsi="SimSun" w:eastAsia="SimSun" w:cs="SimSun"/>
          <w:sz w:val="24"/>
          <w:szCs w:val="24"/>
          <w:spacing w:val="-6"/>
        </w:rPr>
        <w:t>(Cité des Sciences et de I'lndustrie)</w:t>
      </w:r>
      <w:r>
        <w:rPr>
          <w:rFonts w:ascii="SimSun" w:hAnsi="SimSun" w:eastAsia="SimSun" w:cs="SimSun"/>
          <w:sz w:val="24"/>
          <w:szCs w:val="24"/>
          <w:spacing w:val="-32"/>
        </w:rPr>
        <w:t xml:space="preserve"> </w:t>
      </w:r>
      <w:r>
        <w:rPr>
          <w:sz w:val="24"/>
          <w:szCs w:val="24"/>
          <w:spacing w:val="-6"/>
        </w:rPr>
        <w:t>为例，据其官方指南，该馆</w:t>
      </w:r>
      <w:r>
        <w:rPr>
          <w:sz w:val="24"/>
          <w:szCs w:val="24"/>
        </w:rPr>
        <w:t xml:space="preserve"> </w:t>
      </w:r>
      <w:r>
        <w:rPr>
          <w:sz w:val="24"/>
          <w:szCs w:val="24"/>
        </w:rPr>
        <w:t>专注于互动科学教育，提供儿童专区和多语种字幕，</w:t>
      </w:r>
      <w:r>
        <w:rPr>
          <w:sz w:val="24"/>
          <w:szCs w:val="24"/>
          <w:spacing w:val="-1"/>
        </w:rPr>
        <w:t>支持跨学科学习，通常而言在非正式</w:t>
      </w:r>
      <w:r>
        <w:rPr>
          <w:sz w:val="24"/>
          <w:szCs w:val="24"/>
        </w:rPr>
        <w:t xml:space="preserve"> </w:t>
      </w:r>
      <w:r>
        <w:rPr>
          <w:sz w:val="24"/>
          <w:szCs w:val="24"/>
          <w:spacing w:val="-5"/>
        </w:rPr>
        <w:t>学习环境中效果显著。</w:t>
      </w:r>
    </w:p>
    <w:p>
      <w:pPr>
        <w:pStyle w:val="BodyText"/>
        <w:ind w:left="349"/>
        <w:spacing w:before="124" w:line="222" w:lineRule="auto"/>
        <w:rPr>
          <w:sz w:val="24"/>
          <w:szCs w:val="24"/>
        </w:rPr>
      </w:pPr>
      <w:r>
        <w:rPr>
          <w:rFonts w:ascii="SimSun" w:hAnsi="SimSun" w:eastAsia="SimSun" w:cs="SimSun"/>
          <w:sz w:val="24"/>
          <w:szCs w:val="24"/>
          <w:spacing w:val="3"/>
        </w:rPr>
        <w:t>4.</w:t>
      </w:r>
      <w:r>
        <w:rPr>
          <w:rFonts w:ascii="SimSun" w:hAnsi="SimSun" w:eastAsia="SimSun" w:cs="SimSun"/>
          <w:sz w:val="24"/>
          <w:szCs w:val="24"/>
          <w:spacing w:val="-40"/>
        </w:rPr>
        <w:t xml:space="preserve"> </w:t>
      </w:r>
      <w:r>
        <w:rPr>
          <w:sz w:val="24"/>
          <w:szCs w:val="24"/>
          <w:spacing w:val="3"/>
        </w:rPr>
        <w:t>德国</w:t>
      </w:r>
    </w:p>
    <w:p>
      <w:pPr>
        <w:pStyle w:val="BodyText"/>
        <w:ind w:right="37"/>
        <w:spacing w:before="109" w:line="213" w:lineRule="auto"/>
        <w:jc w:val="right"/>
        <w:rPr>
          <w:sz w:val="24"/>
          <w:szCs w:val="24"/>
        </w:rPr>
      </w:pPr>
      <w:r>
        <w:rPr>
          <w:sz w:val="24"/>
          <w:szCs w:val="24"/>
        </w:rPr>
        <w:t>据德国博物馆协会</w:t>
      </w:r>
      <w:r>
        <w:rPr>
          <w:sz w:val="24"/>
          <w:szCs w:val="24"/>
        </w:rPr>
        <w:t xml:space="preserve"> </w:t>
      </w:r>
      <w:r>
        <w:rPr>
          <w:rFonts w:ascii="SimSun" w:hAnsi="SimSun" w:eastAsia="SimSun" w:cs="SimSun"/>
          <w:sz w:val="24"/>
          <w:szCs w:val="24"/>
        </w:rPr>
        <w:t>(Deutscher</w:t>
      </w:r>
      <w:r>
        <w:rPr>
          <w:rFonts w:ascii="SimSun" w:hAnsi="SimSun" w:eastAsia="SimSun" w:cs="SimSun"/>
          <w:sz w:val="24"/>
          <w:szCs w:val="24"/>
          <w:spacing w:val="24"/>
        </w:rPr>
        <w:t xml:space="preserve">    </w:t>
      </w:r>
      <w:r>
        <w:rPr>
          <w:rFonts w:ascii="SimSun" w:hAnsi="SimSun" w:eastAsia="SimSun" w:cs="SimSun"/>
          <w:sz w:val="24"/>
          <w:szCs w:val="24"/>
        </w:rPr>
        <w:t>Muse</w:t>
      </w:r>
      <w:r>
        <w:rPr>
          <w:rFonts w:ascii="SimSun" w:hAnsi="SimSun" w:eastAsia="SimSun" w:cs="SimSun"/>
          <w:sz w:val="24"/>
          <w:szCs w:val="24"/>
          <w:spacing w:val="-1"/>
        </w:rPr>
        <w:t>umsbund)</w:t>
      </w:r>
      <w:r>
        <w:rPr>
          <w:rFonts w:ascii="SimSun" w:hAnsi="SimSun" w:eastAsia="SimSun" w:cs="SimSun"/>
          <w:sz w:val="24"/>
          <w:szCs w:val="24"/>
          <w:spacing w:val="88"/>
        </w:rPr>
        <w:t xml:space="preserve"> </w:t>
      </w:r>
      <w:r>
        <w:rPr>
          <w:sz w:val="24"/>
          <w:szCs w:val="24"/>
          <w:spacing w:val="-1"/>
        </w:rPr>
        <w:t>博物馆教育与公众参与指南》指出，德</w:t>
      </w:r>
    </w:p>
    <w:p>
      <w:pPr>
        <w:pStyle w:val="BodyText"/>
        <w:ind w:left="679"/>
        <w:spacing w:before="153" w:line="213" w:lineRule="auto"/>
        <w:rPr>
          <w:sz w:val="24"/>
          <w:szCs w:val="24"/>
        </w:rPr>
      </w:pPr>
      <w:r>
        <w:rPr>
          <w:sz w:val="24"/>
          <w:szCs w:val="24"/>
          <w:spacing w:val="-1"/>
        </w:rPr>
        <w:t>国博物馆强调可持续教育和观众参与，通常通过实用建议和案例促进终身学习。</w:t>
      </w:r>
    </w:p>
    <w:p>
      <w:pPr>
        <w:pStyle w:val="BodyText"/>
        <w:ind w:left="353"/>
        <w:spacing w:before="273" w:line="224" w:lineRule="auto"/>
        <w:outlineLvl w:val="3"/>
        <w:rPr>
          <w:sz w:val="24"/>
          <w:szCs w:val="24"/>
        </w:rPr>
      </w:pPr>
      <w:r>
        <w:rPr>
          <w:rFonts w:ascii="SimSun" w:hAnsi="SimSun" w:eastAsia="SimSun" w:cs="SimSun"/>
          <w:sz w:val="24"/>
          <w:szCs w:val="24"/>
          <w:b/>
          <w:bCs/>
          <w:spacing w:val="-7"/>
        </w:rPr>
        <w:t>5.</w:t>
      </w:r>
      <w:r>
        <w:rPr>
          <w:rFonts w:ascii="SimSun" w:hAnsi="SimSun" w:eastAsia="SimSun" w:cs="SimSun"/>
          <w:sz w:val="24"/>
          <w:szCs w:val="24"/>
          <w:spacing w:val="-7"/>
        </w:rPr>
        <w:t xml:space="preserve"> </w:t>
      </w:r>
      <w:r>
        <w:rPr>
          <w:sz w:val="24"/>
          <w:szCs w:val="24"/>
          <w:b/>
          <w:bCs/>
          <w:spacing w:val="-7"/>
        </w:rPr>
        <w:t>日本</w:t>
      </w:r>
    </w:p>
    <w:p>
      <w:pPr>
        <w:pStyle w:val="BodyText"/>
        <w:ind w:left="679" w:right="192"/>
        <w:spacing w:before="110" w:line="320" w:lineRule="auto"/>
        <w:rPr>
          <w:sz w:val="24"/>
          <w:szCs w:val="24"/>
        </w:rPr>
      </w:pPr>
      <w:r>
        <w:rPr>
          <w:sz w:val="24"/>
          <w:szCs w:val="24"/>
        </w:rPr>
        <w:t>以东京国立博物馆和国立科学博物馆为例，据其教育项目描述，该国博物馆提供学校程序</w:t>
      </w:r>
      <w:r>
        <w:rPr>
          <w:sz w:val="24"/>
          <w:szCs w:val="24"/>
          <w:spacing w:val="4"/>
        </w:rPr>
        <w:t xml:space="preserve"> </w:t>
      </w:r>
      <w:r>
        <w:rPr>
          <w:sz w:val="24"/>
          <w:szCs w:val="24"/>
          <w:spacing w:val="-1"/>
        </w:rPr>
        <w:t>和校园会员计划，支持文化遗产教育和科学普及，在一定程度上强化跨学</w:t>
      </w:r>
      <w:r>
        <w:rPr>
          <w:sz w:val="24"/>
          <w:szCs w:val="24"/>
          <w:spacing w:val="-2"/>
        </w:rPr>
        <w:t>科学习。</w:t>
      </w:r>
    </w:p>
    <w:p>
      <w:pPr>
        <w:pStyle w:val="BodyText"/>
        <w:ind w:right="13" w:firstLine="19"/>
        <w:spacing w:before="198" w:line="324" w:lineRule="auto"/>
        <w:rPr>
          <w:sz w:val="24"/>
          <w:szCs w:val="24"/>
        </w:rPr>
      </w:pPr>
      <w:r>
        <w:rPr>
          <w:sz w:val="24"/>
          <w:szCs w:val="24"/>
          <w:spacing w:val="6"/>
        </w:rPr>
        <w:t>为清晰呈现中外对比，以下表格总结关键指标(数据</w:t>
      </w:r>
      <w:r>
        <w:rPr>
          <w:sz w:val="24"/>
          <w:szCs w:val="24"/>
          <w:spacing w:val="5"/>
        </w:rPr>
        <w:t>来源于上述权威报告，部分为预疫情或2024</w:t>
      </w:r>
      <w:r>
        <w:rPr>
          <w:sz w:val="24"/>
          <w:szCs w:val="24"/>
        </w:rPr>
        <w:t xml:space="preserve"> </w:t>
      </w:r>
      <w:r>
        <w:rPr>
          <w:sz w:val="24"/>
          <w:szCs w:val="24"/>
          <w:spacing w:val="6"/>
        </w:rPr>
        <w:t>近似值):</w:t>
      </w:r>
    </w:p>
    <w:p>
      <w:pPr>
        <w:spacing w:line="324" w:lineRule="auto"/>
        <w:sectPr>
          <w:pgSz w:w="12240" w:h="15840"/>
          <w:pgMar w:top="1259" w:right="1032" w:bottom="0" w:left="970" w:header="0" w:footer="0" w:gutter="0"/>
        </w:sectPr>
        <w:rPr>
          <w:sz w:val="24"/>
          <w:szCs w:val="24"/>
        </w:rPr>
      </w:pPr>
    </w:p>
    <w:p>
      <w:pPr>
        <w:ind w:left="53" w:right="166"/>
        <w:spacing w:before="44" w:line="328" w:lineRule="auto"/>
        <w:rPr>
          <w:rFonts w:ascii="SimSun" w:hAnsi="SimSun" w:eastAsia="SimSun" w:cs="SimSun"/>
          <w:sz w:val="22"/>
          <w:szCs w:val="22"/>
        </w:rPr>
      </w:pPr>
      <w:r>
        <w:rPr>
          <w:rFonts w:ascii="SimSun" w:hAnsi="SimSun" w:eastAsia="SimSun" w:cs="SimSun"/>
          <w:sz w:val="22"/>
          <w:szCs w:val="22"/>
          <w:b/>
          <w:bCs/>
          <w:spacing w:val="-10"/>
        </w:rPr>
        <w:t>国家/地</w:t>
      </w:r>
      <w:r>
        <w:rPr>
          <w:rFonts w:ascii="SimSun" w:hAnsi="SimSun" w:eastAsia="SimSun" w:cs="SimSun"/>
          <w:sz w:val="22"/>
          <w:szCs w:val="22"/>
        </w:rPr>
        <w:t xml:space="preserve"> </w:t>
      </w:r>
      <w:r>
        <w:rPr>
          <w:rFonts w:ascii="SimSun" w:hAnsi="SimSun" w:eastAsia="SimSun" w:cs="SimSun"/>
          <w:sz w:val="22"/>
          <w:szCs w:val="22"/>
          <w:b/>
          <w:bCs/>
          <w:spacing w:val="-3"/>
        </w:rPr>
        <w:t>区</w:t>
      </w:r>
    </w:p>
    <w:p>
      <w:pPr>
        <w:ind w:left="63"/>
        <w:spacing w:before="288" w:line="220" w:lineRule="auto"/>
        <w:rPr>
          <w:rFonts w:ascii="SimSun" w:hAnsi="SimSun" w:eastAsia="SimSun" w:cs="SimSun"/>
          <w:sz w:val="22"/>
          <w:szCs w:val="22"/>
        </w:rPr>
      </w:pPr>
      <w:r>
        <w:rPr>
          <w:rFonts w:ascii="SimSun" w:hAnsi="SimSun" w:eastAsia="SimSun" w:cs="SimSun"/>
          <w:sz w:val="22"/>
          <w:szCs w:val="22"/>
          <w:b/>
          <w:bCs/>
          <w:spacing w:val="5"/>
        </w:rPr>
        <w:t>中国</w:t>
      </w:r>
    </w:p>
    <w:p>
      <w:pPr>
        <w:spacing w:line="14" w:lineRule="auto"/>
        <w:rPr>
          <w:rFonts w:ascii="Arial"/>
          <w:sz w:val="2"/>
        </w:rPr>
      </w:pPr>
      <w:r>
        <w:rPr>
          <w:rFonts w:ascii="Arial" w:hAnsi="Arial" w:eastAsia="Arial" w:cs="Arial"/>
          <w:sz w:val="2"/>
          <w:szCs w:val="2"/>
        </w:rPr>
        <w:br w:type="column"/>
      </w:r>
    </w:p>
    <w:p>
      <w:pPr>
        <w:ind w:left="113" w:right="543" w:hanging="113"/>
        <w:spacing w:before="41" w:line="309" w:lineRule="auto"/>
        <w:rPr>
          <w:rFonts w:ascii="SimSun" w:hAnsi="SimSun" w:eastAsia="SimSun" w:cs="SimSun"/>
          <w:sz w:val="22"/>
          <w:szCs w:val="22"/>
        </w:rPr>
      </w:pPr>
      <w:r>
        <w:rPr>
          <w:rFonts w:ascii="SimSun" w:hAnsi="SimSun" w:eastAsia="SimSun" w:cs="SimSun"/>
          <w:sz w:val="22"/>
          <w:szCs w:val="22"/>
          <w:b/>
          <w:bCs/>
          <w:spacing w:val="-5"/>
        </w:rPr>
        <w:t>博物馆数量</w:t>
      </w:r>
      <w:r>
        <w:rPr>
          <w:rFonts w:ascii="SimSun" w:hAnsi="SimSun" w:eastAsia="SimSun" w:cs="SimSun"/>
          <w:sz w:val="22"/>
          <w:szCs w:val="22"/>
          <w:spacing w:val="2"/>
        </w:rPr>
        <w:t xml:space="preserve"> </w:t>
      </w:r>
      <w:r>
        <w:rPr>
          <w:rFonts w:ascii="SimSun" w:hAnsi="SimSun" w:eastAsia="SimSun" w:cs="SimSun"/>
          <w:sz w:val="22"/>
          <w:szCs w:val="22"/>
          <w:b/>
          <w:bCs/>
          <w:spacing w:val="11"/>
        </w:rPr>
        <w:t>(约)</w:t>
      </w:r>
    </w:p>
    <w:p>
      <w:pPr>
        <w:spacing w:line="265" w:lineRule="auto"/>
        <w:rPr>
          <w:rFonts w:ascii="Arial"/>
          <w:sz w:val="21"/>
        </w:rPr>
      </w:pPr>
      <w:r/>
    </w:p>
    <w:p>
      <w:pPr>
        <w:ind w:left="13"/>
        <w:spacing w:before="71" w:line="222" w:lineRule="auto"/>
        <w:rPr>
          <w:rFonts w:ascii="SimSun" w:hAnsi="SimSun" w:eastAsia="SimSun" w:cs="SimSun"/>
          <w:sz w:val="22"/>
          <w:szCs w:val="22"/>
        </w:rPr>
      </w:pPr>
      <w:r>
        <w:rPr>
          <w:rFonts w:ascii="SimSun" w:hAnsi="SimSun" w:eastAsia="SimSun" w:cs="SimSun"/>
          <w:sz w:val="22"/>
          <w:szCs w:val="22"/>
          <w:b/>
          <w:bCs/>
          <w:spacing w:val="-4"/>
        </w:rPr>
        <w:t>7046(2024)</w:t>
      </w:r>
    </w:p>
    <w:p>
      <w:pPr>
        <w:spacing w:line="14" w:lineRule="auto"/>
        <w:rPr>
          <w:rFonts w:ascii="Arial"/>
          <w:sz w:val="2"/>
        </w:rPr>
      </w:pPr>
      <w:r>
        <w:rPr>
          <w:rFonts w:ascii="Arial" w:hAnsi="Arial" w:eastAsia="Arial" w:cs="Arial"/>
          <w:sz w:val="2"/>
          <w:szCs w:val="2"/>
        </w:rPr>
        <w:br w:type="column"/>
      </w:r>
    </w:p>
    <w:p>
      <w:pPr>
        <w:ind w:right="73"/>
        <w:spacing w:before="63" w:line="287" w:lineRule="auto"/>
        <w:rPr>
          <w:rFonts w:ascii="SimSun" w:hAnsi="SimSun" w:eastAsia="SimSun" w:cs="SimSun"/>
          <w:sz w:val="22"/>
          <w:szCs w:val="22"/>
        </w:rPr>
      </w:pPr>
      <w:r>
        <w:rPr>
          <w:rFonts w:ascii="SimSun" w:hAnsi="SimSun" w:eastAsia="SimSun" w:cs="SimSun"/>
          <w:sz w:val="22"/>
          <w:szCs w:val="22"/>
          <w:b/>
          <w:bCs/>
          <w:spacing w:val="1"/>
        </w:rPr>
        <w:t>年接待观众(亿人</w:t>
      </w:r>
      <w:r>
        <w:rPr>
          <w:rFonts w:ascii="SimSun" w:hAnsi="SimSun" w:eastAsia="SimSun" w:cs="SimSun"/>
          <w:sz w:val="22"/>
          <w:szCs w:val="22"/>
          <w:spacing w:val="5"/>
        </w:rPr>
        <w:t xml:space="preserve"> </w:t>
      </w:r>
      <w:r>
        <w:rPr>
          <w:rFonts w:ascii="SimSun" w:hAnsi="SimSun" w:eastAsia="SimSun" w:cs="SimSun"/>
          <w:sz w:val="22"/>
          <w:szCs w:val="22"/>
          <w:b/>
          <w:bCs/>
          <w:spacing w:val="-10"/>
        </w:rPr>
        <w:t>次</w:t>
      </w:r>
      <w:r>
        <w:rPr>
          <w:rFonts w:ascii="SimSun" w:hAnsi="SimSun" w:eastAsia="SimSun" w:cs="SimSun"/>
          <w:sz w:val="22"/>
          <w:szCs w:val="22"/>
          <w:spacing w:val="-45"/>
        </w:rPr>
        <w:t xml:space="preserve"> </w:t>
      </w:r>
      <w:r>
        <w:rPr>
          <w:rFonts w:ascii="SimSun" w:hAnsi="SimSun" w:eastAsia="SimSun" w:cs="SimSun"/>
          <w:sz w:val="22"/>
          <w:szCs w:val="22"/>
          <w:b/>
          <w:bCs/>
          <w:spacing w:val="-10"/>
        </w:rPr>
        <w:t>)</w:t>
      </w:r>
    </w:p>
    <w:p>
      <w:pPr>
        <w:spacing w:line="295" w:lineRule="auto"/>
        <w:rPr>
          <w:rFonts w:ascii="Arial"/>
          <w:sz w:val="21"/>
        </w:rPr>
      </w:pPr>
      <w:r/>
    </w:p>
    <w:p>
      <w:pPr>
        <w:spacing w:before="71" w:line="222" w:lineRule="auto"/>
        <w:outlineLvl w:val="4"/>
        <w:rPr>
          <w:rFonts w:ascii="SimSun" w:hAnsi="SimSun" w:eastAsia="SimSun" w:cs="SimSun"/>
          <w:sz w:val="22"/>
          <w:szCs w:val="22"/>
        </w:rPr>
      </w:pPr>
      <w:r>
        <w:rPr>
          <w:rFonts w:ascii="SimSun" w:hAnsi="SimSun" w:eastAsia="SimSun" w:cs="SimSun"/>
          <w:sz w:val="22"/>
          <w:szCs w:val="22"/>
          <w:b/>
          <w:bCs/>
          <w:spacing w:val="-5"/>
        </w:rPr>
        <w:t>14.9(2024)</w:t>
      </w:r>
    </w:p>
    <w:p>
      <w:pPr>
        <w:spacing w:line="14" w:lineRule="auto"/>
        <w:rPr>
          <w:rFonts w:ascii="Arial"/>
          <w:sz w:val="2"/>
        </w:rPr>
      </w:pPr>
      <w:r>
        <w:rPr>
          <w:rFonts w:ascii="Arial" w:hAnsi="Arial" w:eastAsia="Arial" w:cs="Arial"/>
          <w:sz w:val="2"/>
          <w:szCs w:val="2"/>
        </w:rPr>
        <w:br w:type="column"/>
      </w:r>
    </w:p>
    <w:p>
      <w:pPr>
        <w:ind w:left="103" w:right="241"/>
        <w:spacing w:before="61" w:line="289" w:lineRule="auto"/>
        <w:rPr>
          <w:rFonts w:ascii="SimSun" w:hAnsi="SimSun" w:eastAsia="SimSun" w:cs="SimSun"/>
          <w:sz w:val="22"/>
          <w:szCs w:val="22"/>
        </w:rPr>
      </w:pPr>
      <w:r>
        <w:rPr>
          <w:rFonts w:ascii="SimSun" w:hAnsi="SimSun" w:eastAsia="SimSun" w:cs="SimSun"/>
          <w:sz w:val="22"/>
          <w:szCs w:val="22"/>
          <w:b/>
          <w:bCs/>
          <w:spacing w:val="-4"/>
        </w:rPr>
        <w:t>教育活动场次(万</w:t>
      </w:r>
      <w:r>
        <w:rPr>
          <w:rFonts w:ascii="SimSun" w:hAnsi="SimSun" w:eastAsia="SimSun" w:cs="SimSun"/>
          <w:sz w:val="22"/>
          <w:szCs w:val="22"/>
          <w:spacing w:val="1"/>
        </w:rPr>
        <w:t xml:space="preserve"> </w:t>
      </w:r>
      <w:r>
        <w:rPr>
          <w:rFonts w:ascii="SimSun" w:hAnsi="SimSun" w:eastAsia="SimSun" w:cs="SimSun"/>
          <w:sz w:val="22"/>
          <w:szCs w:val="22"/>
          <w:b/>
          <w:bCs/>
          <w:spacing w:val="-8"/>
        </w:rPr>
        <w:t>余</w:t>
      </w:r>
      <w:r>
        <w:rPr>
          <w:rFonts w:ascii="SimSun" w:hAnsi="SimSun" w:eastAsia="SimSun" w:cs="SimSun"/>
          <w:sz w:val="22"/>
          <w:szCs w:val="22"/>
          <w:spacing w:val="-9"/>
        </w:rPr>
        <w:t xml:space="preserve"> </w:t>
      </w:r>
      <w:r>
        <w:rPr>
          <w:rFonts w:ascii="SimSun" w:hAnsi="SimSun" w:eastAsia="SimSun" w:cs="SimSun"/>
          <w:sz w:val="22"/>
          <w:szCs w:val="22"/>
          <w:b/>
          <w:bCs/>
          <w:spacing w:val="-8"/>
        </w:rPr>
        <w:t>)</w:t>
      </w:r>
    </w:p>
    <w:p>
      <w:pPr>
        <w:spacing w:line="295" w:lineRule="auto"/>
        <w:rPr>
          <w:rFonts w:ascii="Arial"/>
          <w:sz w:val="21"/>
        </w:rPr>
      </w:pPr>
      <w:r/>
    </w:p>
    <w:p>
      <w:pPr>
        <w:spacing w:before="72" w:line="222" w:lineRule="auto"/>
        <w:rPr>
          <w:rFonts w:ascii="SimSun" w:hAnsi="SimSun" w:eastAsia="SimSun" w:cs="SimSun"/>
          <w:sz w:val="22"/>
          <w:szCs w:val="22"/>
        </w:rPr>
      </w:pPr>
      <w:r>
        <w:rPr>
          <w:rFonts w:ascii="SimSun" w:hAnsi="SimSun" w:eastAsia="SimSun" w:cs="SimSun"/>
          <w:sz w:val="22"/>
          <w:szCs w:val="22"/>
          <w:spacing w:val="-2"/>
        </w:rPr>
        <w:t>51(2024)</w:t>
      </w:r>
    </w:p>
    <w:p>
      <w:pPr>
        <w:spacing w:line="14" w:lineRule="auto"/>
        <w:rPr>
          <w:rFonts w:ascii="Arial"/>
          <w:sz w:val="2"/>
        </w:rPr>
      </w:pPr>
      <w:r>
        <w:rPr>
          <w:rFonts w:ascii="Arial" w:hAnsi="Arial" w:eastAsia="Arial" w:cs="Arial"/>
          <w:sz w:val="2"/>
          <w:szCs w:val="2"/>
        </w:rPr>
        <w:br w:type="column"/>
      </w:r>
    </w:p>
    <w:p>
      <w:pPr>
        <w:ind w:left="29" w:right="269" w:hanging="29"/>
        <w:spacing w:before="62" w:line="287" w:lineRule="auto"/>
        <w:rPr>
          <w:rFonts w:ascii="SimSun" w:hAnsi="SimSun" w:eastAsia="SimSun" w:cs="SimSun"/>
          <w:sz w:val="22"/>
          <w:szCs w:val="22"/>
        </w:rPr>
      </w:pPr>
      <w:r>
        <w:rPr>
          <w:rFonts w:ascii="SimSun" w:hAnsi="SimSun" w:eastAsia="SimSun" w:cs="SimSun"/>
          <w:sz w:val="22"/>
          <w:szCs w:val="22"/>
          <w:b/>
          <w:bCs/>
          <w:spacing w:val="-6"/>
        </w:rPr>
        <w:t>免费开放</w:t>
      </w:r>
      <w:r>
        <w:rPr>
          <w:rFonts w:ascii="SimSun" w:hAnsi="SimSun" w:eastAsia="SimSun" w:cs="SimSun"/>
          <w:sz w:val="22"/>
          <w:szCs w:val="22"/>
        </w:rPr>
        <w:t xml:space="preserve"> </w:t>
      </w:r>
      <w:r>
        <w:rPr>
          <w:rFonts w:ascii="SimSun" w:hAnsi="SimSun" w:eastAsia="SimSun" w:cs="SimSun"/>
          <w:sz w:val="22"/>
          <w:szCs w:val="22"/>
          <w:b/>
          <w:bCs/>
          <w:spacing w:val="-3"/>
        </w:rPr>
        <w:t>率</w:t>
      </w:r>
    </w:p>
    <w:p>
      <w:pPr>
        <w:spacing w:line="317" w:lineRule="auto"/>
        <w:rPr>
          <w:rFonts w:ascii="Arial"/>
          <w:sz w:val="21"/>
        </w:rPr>
      </w:pPr>
      <w:r/>
    </w:p>
    <w:p>
      <w:pPr>
        <w:ind w:left="116"/>
        <w:spacing w:before="71" w:line="239" w:lineRule="auto"/>
        <w:rPr>
          <w:rFonts w:ascii="SimSun" w:hAnsi="SimSun" w:eastAsia="SimSun" w:cs="SimSun"/>
          <w:sz w:val="22"/>
          <w:szCs w:val="22"/>
        </w:rPr>
      </w:pPr>
      <w:r>
        <w:rPr>
          <w:rFonts w:ascii="SimSun" w:hAnsi="SimSun" w:eastAsia="SimSun" w:cs="SimSun"/>
          <w:sz w:val="22"/>
          <w:szCs w:val="22"/>
          <w:spacing w:val="-2"/>
        </w:rPr>
        <w:t>91.46%</w:t>
      </w:r>
    </w:p>
    <w:p>
      <w:pPr>
        <w:spacing w:line="14" w:lineRule="auto"/>
        <w:rPr>
          <w:rFonts w:ascii="Arial"/>
          <w:sz w:val="2"/>
        </w:rPr>
      </w:pPr>
      <w:r>
        <w:rPr>
          <w:rFonts w:ascii="Arial" w:hAnsi="Arial" w:eastAsia="Arial" w:cs="Arial"/>
          <w:sz w:val="2"/>
          <w:szCs w:val="2"/>
        </w:rPr>
        <w:br w:type="column"/>
      </w:r>
    </w:p>
    <w:p>
      <w:pPr>
        <w:ind w:left="13"/>
        <w:spacing w:before="253" w:line="219" w:lineRule="auto"/>
        <w:rPr>
          <w:rFonts w:ascii="SimSun" w:hAnsi="SimSun" w:eastAsia="SimSun" w:cs="SimSun"/>
          <w:sz w:val="22"/>
          <w:szCs w:val="22"/>
        </w:rPr>
      </w:pPr>
      <w:r>
        <w:rPr>
          <w:rFonts w:ascii="SimSun" w:hAnsi="SimSun" w:eastAsia="SimSun" w:cs="SimSun"/>
          <w:sz w:val="22"/>
          <w:szCs w:val="22"/>
          <w:b/>
          <w:bCs/>
          <w:spacing w:val="1"/>
        </w:rPr>
        <w:t>典型特点</w:t>
      </w:r>
    </w:p>
    <w:p>
      <w:pPr>
        <w:spacing w:line="426" w:lineRule="auto"/>
        <w:rPr>
          <w:rFonts w:ascii="Arial"/>
          <w:sz w:val="21"/>
        </w:rPr>
      </w:pPr>
      <w:r/>
    </w:p>
    <w:p>
      <w:pPr>
        <w:ind w:right="21"/>
        <w:spacing w:before="72" w:line="263" w:lineRule="auto"/>
        <w:rPr>
          <w:rFonts w:ascii="SimSun" w:hAnsi="SimSun" w:eastAsia="SimSun" w:cs="SimSun"/>
          <w:sz w:val="22"/>
          <w:szCs w:val="22"/>
        </w:rPr>
      </w:pPr>
      <w:r>
        <w:rPr>
          <w:rFonts w:ascii="SimSun" w:hAnsi="SimSun" w:eastAsia="SimSun" w:cs="SimSun"/>
          <w:sz w:val="22"/>
          <w:szCs w:val="22"/>
          <w:spacing w:val="-2"/>
        </w:rPr>
        <w:t>快速增长、社会包容性</w:t>
      </w:r>
      <w:r>
        <w:rPr>
          <w:rFonts w:ascii="SimSun" w:hAnsi="SimSun" w:eastAsia="SimSun" w:cs="SimSun"/>
          <w:sz w:val="22"/>
          <w:szCs w:val="22"/>
          <w:spacing w:val="7"/>
        </w:rPr>
        <w:t xml:space="preserve"> </w:t>
      </w:r>
      <w:r>
        <w:rPr>
          <w:rFonts w:ascii="SimSun" w:hAnsi="SimSun" w:eastAsia="SimSun" w:cs="SimSun"/>
          <w:sz w:val="22"/>
          <w:szCs w:val="22"/>
        </w:rPr>
        <w:t>强</w:t>
      </w:r>
    </w:p>
    <w:p>
      <w:pPr>
        <w:spacing w:line="263" w:lineRule="auto"/>
        <w:sectPr>
          <w:pgSz w:w="12240" w:h="15840"/>
          <w:pgMar w:top="1111" w:right="1129" w:bottom="0" w:left="929" w:header="0" w:footer="0" w:gutter="0"/>
          <w:cols w:equalWidth="0" w:num="6">
            <w:col w:w="960" w:space="100"/>
            <w:col w:w="1634" w:space="100"/>
            <w:col w:w="1757" w:space="100"/>
            <w:col w:w="1984" w:space="100"/>
            <w:col w:w="1137" w:space="100"/>
            <w:col w:w="2211" w:space="0"/>
          </w:cols>
        </w:sectPr>
        <w:rPr>
          <w:rFonts w:ascii="SimSun" w:hAnsi="SimSun" w:eastAsia="SimSun" w:cs="SimSun"/>
          <w:sz w:val="22"/>
          <w:szCs w:val="22"/>
        </w:rPr>
      </w:pPr>
    </w:p>
    <w:tbl>
      <w:tblPr>
        <w:tblStyle w:val="TableNormal"/>
        <w:tblW w:w="1018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3"/>
        <w:gridCol w:w="1570"/>
        <w:gridCol w:w="2190"/>
        <w:gridCol w:w="1531"/>
        <w:gridCol w:w="1713"/>
        <w:gridCol w:w="2393"/>
      </w:tblGrid>
      <w:tr>
        <w:trPr>
          <w:trHeight w:val="982" w:hRule="atLeast"/>
        </w:trPr>
        <w:tc>
          <w:tcPr>
            <w:tcW w:w="783" w:type="dxa"/>
            <w:vAlign w:val="top"/>
            <w:tcBorders>
              <w:bottom w:val="single" w:color="000000" w:sz="4" w:space="0"/>
              <w:top w:val="single" w:color="000000" w:sz="4" w:space="0"/>
            </w:tcBorders>
          </w:tcPr>
          <w:p>
            <w:pPr>
              <w:spacing w:line="308" w:lineRule="auto"/>
              <w:rPr>
                <w:rFonts w:ascii="Arial"/>
                <w:sz w:val="21"/>
              </w:rPr>
            </w:pPr>
            <w:r/>
          </w:p>
          <w:p>
            <w:pPr>
              <w:pStyle w:val="TableText"/>
              <w:ind w:left="63"/>
              <w:spacing w:before="71" w:line="220" w:lineRule="auto"/>
              <w:rPr/>
            </w:pPr>
            <w:r>
              <w:rPr>
                <w:b/>
                <w:bCs/>
                <w:spacing w:val="5"/>
              </w:rPr>
              <w:t>美国</w:t>
            </w:r>
          </w:p>
        </w:tc>
        <w:tc>
          <w:tcPr>
            <w:tcW w:w="1570" w:type="dxa"/>
            <w:vAlign w:val="top"/>
            <w:tcBorders>
              <w:bottom w:val="single" w:color="000000" w:sz="4" w:space="0"/>
              <w:top w:val="single" w:color="000000" w:sz="4" w:space="0"/>
            </w:tcBorders>
          </w:tcPr>
          <w:p>
            <w:pPr>
              <w:spacing w:line="304" w:lineRule="auto"/>
              <w:rPr>
                <w:rFonts w:ascii="Arial"/>
                <w:sz w:val="21"/>
              </w:rPr>
            </w:pPr>
            <w:r/>
          </w:p>
          <w:p>
            <w:pPr>
              <w:pStyle w:val="TableText"/>
              <w:ind w:left="290"/>
              <w:spacing w:before="72" w:line="216" w:lineRule="auto"/>
              <w:rPr/>
            </w:pPr>
            <w:r>
              <w:rPr>
                <w:b/>
                <w:bCs/>
                <w:spacing w:val="-6"/>
              </w:rPr>
              <w:t>≈33,000</w:t>
            </w:r>
          </w:p>
        </w:tc>
        <w:tc>
          <w:tcPr>
            <w:tcW w:w="2190" w:type="dxa"/>
            <w:vAlign w:val="top"/>
            <w:tcBorders>
              <w:bottom w:val="single" w:color="000000" w:sz="4" w:space="0"/>
              <w:top w:val="single" w:color="000000" w:sz="4" w:space="0"/>
            </w:tcBorders>
          </w:tcPr>
          <w:p>
            <w:pPr>
              <w:spacing w:line="310" w:lineRule="auto"/>
              <w:rPr>
                <w:rFonts w:ascii="Arial"/>
                <w:sz w:val="21"/>
              </w:rPr>
            </w:pPr>
            <w:r/>
          </w:p>
          <w:p>
            <w:pPr>
              <w:pStyle w:val="TableText"/>
              <w:ind w:left="436"/>
              <w:spacing w:before="72" w:line="219" w:lineRule="auto"/>
              <w:rPr/>
            </w:pPr>
            <w:r>
              <w:rPr>
                <w:spacing w:val="6"/>
              </w:rPr>
              <w:t>未统一统计(高)</w:t>
            </w:r>
          </w:p>
        </w:tc>
        <w:tc>
          <w:tcPr>
            <w:tcW w:w="1531" w:type="dxa"/>
            <w:vAlign w:val="top"/>
            <w:tcBorders>
              <w:bottom w:val="single" w:color="000000" w:sz="4" w:space="0"/>
              <w:top w:val="single" w:color="000000" w:sz="4" w:space="0"/>
            </w:tcBorders>
          </w:tcPr>
          <w:p>
            <w:pPr>
              <w:spacing w:line="311" w:lineRule="auto"/>
              <w:rPr>
                <w:rFonts w:ascii="Arial"/>
                <w:sz w:val="21"/>
              </w:rPr>
            </w:pPr>
            <w:r/>
          </w:p>
          <w:p>
            <w:pPr>
              <w:pStyle w:val="TableText"/>
              <w:ind w:left="106"/>
              <w:spacing w:before="71" w:line="220" w:lineRule="auto"/>
              <w:rPr/>
            </w:pPr>
            <w:r>
              <w:rPr>
                <w:spacing w:val="8"/>
              </w:rPr>
              <w:t>未统一</w:t>
            </w:r>
          </w:p>
        </w:tc>
        <w:tc>
          <w:tcPr>
            <w:tcW w:w="1713" w:type="dxa"/>
            <w:vAlign w:val="top"/>
            <w:tcBorders>
              <w:bottom w:val="single" w:color="000000" w:sz="4" w:space="0"/>
              <w:top w:val="single" w:color="000000" w:sz="4" w:space="0"/>
            </w:tcBorders>
          </w:tcPr>
          <w:p>
            <w:pPr>
              <w:spacing w:line="307" w:lineRule="auto"/>
              <w:rPr>
                <w:rFonts w:ascii="Arial"/>
                <w:sz w:val="21"/>
              </w:rPr>
            </w:pPr>
            <w:r/>
          </w:p>
          <w:p>
            <w:pPr>
              <w:pStyle w:val="TableText"/>
              <w:ind w:left="669"/>
              <w:spacing w:before="72" w:line="219" w:lineRule="auto"/>
              <w:rPr/>
            </w:pPr>
            <w:r>
              <w:rPr>
                <w:b/>
                <w:bCs/>
                <w:spacing w:val="-5"/>
              </w:rPr>
              <w:t>部分免费</w:t>
            </w:r>
          </w:p>
        </w:tc>
        <w:tc>
          <w:tcPr>
            <w:tcW w:w="2393" w:type="dxa"/>
            <w:vAlign w:val="top"/>
            <w:tcBorders>
              <w:bottom w:val="single" w:color="000000" w:sz="4" w:space="0"/>
              <w:top w:val="single" w:color="000000" w:sz="4" w:space="0"/>
            </w:tcBorders>
          </w:tcPr>
          <w:p>
            <w:pPr>
              <w:spacing w:line="267" w:lineRule="auto"/>
              <w:rPr>
                <w:rFonts w:ascii="Arial"/>
                <w:sz w:val="21"/>
              </w:rPr>
            </w:pPr>
            <w:r/>
          </w:p>
          <w:p>
            <w:pPr>
              <w:pStyle w:val="TableText"/>
              <w:ind w:left="166" w:right="366"/>
              <w:spacing w:before="71" w:line="265" w:lineRule="auto"/>
              <w:rPr/>
            </w:pPr>
            <w:r>
              <w:rPr>
                <w:b/>
                <w:bCs/>
                <w:spacing w:val="-4"/>
              </w:rPr>
              <w:t>STEAM整合、观众研</w:t>
            </w:r>
            <w:r>
              <w:rPr>
                <w:spacing w:val="8"/>
              </w:rPr>
              <w:t xml:space="preserve"> </w:t>
            </w:r>
            <w:r>
              <w:rPr>
                <w:b/>
                <w:bCs/>
                <w:spacing w:val="11"/>
              </w:rPr>
              <w:t>究发达</w:t>
            </w:r>
          </w:p>
        </w:tc>
      </w:tr>
      <w:tr>
        <w:trPr>
          <w:trHeight w:val="947" w:hRule="atLeast"/>
        </w:trPr>
        <w:tc>
          <w:tcPr>
            <w:tcW w:w="783" w:type="dxa"/>
            <w:vAlign w:val="top"/>
            <w:tcBorders>
              <w:bottom w:val="single" w:color="000000" w:sz="4" w:space="0"/>
              <w:top w:val="single" w:color="000000" w:sz="4" w:space="0"/>
            </w:tcBorders>
          </w:tcPr>
          <w:p>
            <w:pPr>
              <w:spacing w:line="296" w:lineRule="auto"/>
              <w:rPr>
                <w:rFonts w:ascii="Arial"/>
                <w:sz w:val="21"/>
              </w:rPr>
            </w:pPr>
            <w:r/>
          </w:p>
          <w:p>
            <w:pPr>
              <w:pStyle w:val="TableText"/>
              <w:ind w:left="63"/>
              <w:spacing w:before="71" w:line="220" w:lineRule="auto"/>
              <w:rPr/>
            </w:pPr>
            <w:r>
              <w:rPr>
                <w:b/>
                <w:bCs/>
                <w:spacing w:val="5"/>
              </w:rPr>
              <w:t>英国</w:t>
            </w:r>
          </w:p>
        </w:tc>
        <w:tc>
          <w:tcPr>
            <w:tcW w:w="1570" w:type="dxa"/>
            <w:vAlign w:val="top"/>
            <w:tcBorders>
              <w:bottom w:val="single" w:color="000000" w:sz="4" w:space="0"/>
              <w:top w:val="single" w:color="000000" w:sz="4" w:space="0"/>
            </w:tcBorders>
          </w:tcPr>
          <w:p>
            <w:pPr>
              <w:spacing w:line="295" w:lineRule="auto"/>
              <w:rPr>
                <w:rFonts w:ascii="Arial"/>
                <w:sz w:val="21"/>
              </w:rPr>
            </w:pPr>
            <w:r/>
          </w:p>
          <w:p>
            <w:pPr>
              <w:pStyle w:val="TableText"/>
              <w:ind w:left="287"/>
              <w:spacing w:before="72" w:line="216" w:lineRule="auto"/>
              <w:rPr/>
            </w:pPr>
            <w:r>
              <w:rPr>
                <w:spacing w:val="-4"/>
              </w:rPr>
              <w:t>≈2,500</w:t>
            </w:r>
          </w:p>
        </w:tc>
        <w:tc>
          <w:tcPr>
            <w:tcW w:w="2190" w:type="dxa"/>
            <w:vAlign w:val="top"/>
            <w:tcBorders>
              <w:bottom w:val="single" w:color="000000" w:sz="4" w:space="0"/>
              <w:top w:val="single" w:color="000000" w:sz="4" w:space="0"/>
            </w:tcBorders>
          </w:tcPr>
          <w:p>
            <w:pPr>
              <w:pStyle w:val="TableText"/>
              <w:ind w:left="436" w:right="95"/>
              <w:spacing w:before="303" w:line="266" w:lineRule="auto"/>
              <w:rPr/>
            </w:pPr>
            <w:r>
              <w:rPr/>
              <w:t>未统一(疫情后恢</w:t>
            </w:r>
            <w:r>
              <w:rPr>
                <w:spacing w:val="6"/>
              </w:rPr>
              <w:t xml:space="preserve"> </w:t>
            </w:r>
            <w:r>
              <w:rPr>
                <w:spacing w:val="-8"/>
              </w:rPr>
              <w:t>复</w:t>
            </w:r>
            <w:r>
              <w:rPr>
                <w:spacing w:val="-38"/>
              </w:rPr>
              <w:t xml:space="preserve"> </w:t>
            </w:r>
            <w:r>
              <w:rPr>
                <w:spacing w:val="-8"/>
              </w:rPr>
              <w:t>)</w:t>
            </w:r>
          </w:p>
        </w:tc>
        <w:tc>
          <w:tcPr>
            <w:tcW w:w="1531" w:type="dxa"/>
            <w:vAlign w:val="top"/>
            <w:tcBorders>
              <w:bottom w:val="single" w:color="000000" w:sz="4" w:space="0"/>
              <w:top w:val="single" w:color="000000" w:sz="4" w:space="0"/>
            </w:tcBorders>
          </w:tcPr>
          <w:p>
            <w:pPr>
              <w:spacing w:line="299" w:lineRule="auto"/>
              <w:rPr>
                <w:rFonts w:ascii="Arial"/>
                <w:sz w:val="21"/>
              </w:rPr>
            </w:pPr>
            <w:r/>
          </w:p>
          <w:p>
            <w:pPr>
              <w:pStyle w:val="TableText"/>
              <w:ind w:left="229"/>
              <w:spacing w:before="71" w:line="220" w:lineRule="auto"/>
              <w:rPr/>
            </w:pPr>
            <w:r>
              <w:rPr/>
              <w:t>未统一</w:t>
            </w:r>
          </w:p>
        </w:tc>
        <w:tc>
          <w:tcPr>
            <w:tcW w:w="1713" w:type="dxa"/>
            <w:vAlign w:val="top"/>
            <w:tcBorders>
              <w:bottom w:val="single" w:color="000000" w:sz="4" w:space="0"/>
              <w:top w:val="single" w:color="000000" w:sz="4" w:space="0"/>
            </w:tcBorders>
          </w:tcPr>
          <w:p>
            <w:pPr>
              <w:spacing w:line="299" w:lineRule="auto"/>
              <w:rPr>
                <w:rFonts w:ascii="Arial"/>
                <w:sz w:val="21"/>
              </w:rPr>
            </w:pPr>
            <w:r/>
          </w:p>
          <w:p>
            <w:pPr>
              <w:pStyle w:val="TableText"/>
              <w:ind w:left="775"/>
              <w:spacing w:before="71" w:line="220" w:lineRule="auto"/>
              <w:rPr/>
            </w:pPr>
            <w:r>
              <w:rPr>
                <w:spacing w:val="4"/>
              </w:rPr>
              <w:t>多免费</w:t>
            </w:r>
          </w:p>
        </w:tc>
        <w:tc>
          <w:tcPr>
            <w:tcW w:w="2393" w:type="dxa"/>
            <w:vAlign w:val="top"/>
            <w:tcBorders>
              <w:bottom w:val="single" w:color="000000" w:sz="4" w:space="0"/>
              <w:top w:val="single" w:color="000000" w:sz="4" w:space="0"/>
            </w:tcBorders>
          </w:tcPr>
          <w:p>
            <w:pPr>
              <w:spacing w:line="299" w:lineRule="auto"/>
              <w:rPr>
                <w:rFonts w:ascii="Arial"/>
                <w:sz w:val="21"/>
              </w:rPr>
            </w:pPr>
            <w:r/>
          </w:p>
          <w:p>
            <w:pPr>
              <w:pStyle w:val="TableText"/>
              <w:ind w:left="192"/>
              <w:spacing w:before="71" w:line="220" w:lineRule="auto"/>
              <w:rPr/>
            </w:pPr>
            <w:r>
              <w:rPr>
                <w:spacing w:val="1"/>
              </w:rPr>
              <w:t>学校合作挑战大</w:t>
            </w:r>
          </w:p>
        </w:tc>
      </w:tr>
      <w:tr>
        <w:trPr>
          <w:trHeight w:val="618" w:hRule="atLeast"/>
        </w:trPr>
        <w:tc>
          <w:tcPr>
            <w:tcW w:w="783" w:type="dxa"/>
            <w:vAlign w:val="top"/>
            <w:tcBorders>
              <w:bottom w:val="single" w:color="000000" w:sz="4" w:space="0"/>
              <w:top w:val="single" w:color="000000" w:sz="4" w:space="0"/>
            </w:tcBorders>
          </w:tcPr>
          <w:p>
            <w:pPr>
              <w:pStyle w:val="TableText"/>
              <w:ind w:left="63"/>
              <w:spacing w:before="205" w:line="222" w:lineRule="auto"/>
              <w:rPr/>
            </w:pPr>
            <w:r>
              <w:rPr>
                <w:b/>
                <w:bCs/>
                <w:spacing w:val="5"/>
              </w:rPr>
              <w:t>法国</w:t>
            </w:r>
          </w:p>
        </w:tc>
        <w:tc>
          <w:tcPr>
            <w:tcW w:w="1570" w:type="dxa"/>
            <w:vAlign w:val="top"/>
            <w:tcBorders>
              <w:bottom w:val="single" w:color="000000" w:sz="4" w:space="0"/>
              <w:top w:val="single" w:color="000000" w:sz="4" w:space="0"/>
            </w:tcBorders>
          </w:tcPr>
          <w:p>
            <w:pPr>
              <w:pStyle w:val="TableText"/>
              <w:ind w:left="287"/>
              <w:spacing w:before="202" w:line="216" w:lineRule="auto"/>
              <w:rPr/>
            </w:pPr>
            <w:r>
              <w:rPr>
                <w:spacing w:val="-4"/>
              </w:rPr>
              <w:t>≈1,200</w:t>
            </w:r>
          </w:p>
        </w:tc>
        <w:tc>
          <w:tcPr>
            <w:tcW w:w="2190" w:type="dxa"/>
            <w:vAlign w:val="top"/>
            <w:tcBorders>
              <w:bottom w:val="single" w:color="000000" w:sz="4" w:space="0"/>
              <w:top w:val="single" w:color="000000" w:sz="4" w:space="0"/>
            </w:tcBorders>
          </w:tcPr>
          <w:p>
            <w:pPr>
              <w:pStyle w:val="TableText"/>
              <w:ind w:left="436"/>
              <w:spacing w:before="205" w:line="219" w:lineRule="auto"/>
              <w:rPr/>
            </w:pPr>
            <w:r>
              <w:rPr>
                <w:spacing w:val="6"/>
              </w:rPr>
              <w:t>高(卢浮宫等)</w:t>
            </w:r>
          </w:p>
        </w:tc>
        <w:tc>
          <w:tcPr>
            <w:tcW w:w="1531" w:type="dxa"/>
            <w:vAlign w:val="top"/>
            <w:tcBorders>
              <w:bottom w:val="single" w:color="000000" w:sz="4" w:space="0"/>
              <w:top w:val="single" w:color="000000" w:sz="4" w:space="0"/>
            </w:tcBorders>
          </w:tcPr>
          <w:p>
            <w:pPr>
              <w:pStyle w:val="TableText"/>
              <w:ind w:left="106"/>
              <w:spacing w:before="205" w:line="220" w:lineRule="auto"/>
              <w:rPr/>
            </w:pPr>
            <w:r>
              <w:rPr>
                <w:spacing w:val="8"/>
              </w:rPr>
              <w:t>未统一</w:t>
            </w:r>
          </w:p>
        </w:tc>
        <w:tc>
          <w:tcPr>
            <w:tcW w:w="1713" w:type="dxa"/>
            <w:vAlign w:val="top"/>
            <w:tcBorders>
              <w:bottom w:val="single" w:color="000000" w:sz="4" w:space="0"/>
              <w:top w:val="single" w:color="000000" w:sz="4" w:space="0"/>
            </w:tcBorders>
          </w:tcPr>
          <w:p>
            <w:pPr>
              <w:pStyle w:val="TableText"/>
              <w:ind w:left="665"/>
              <w:spacing w:before="205" w:line="219" w:lineRule="auto"/>
              <w:rPr/>
            </w:pPr>
            <w:r>
              <w:rPr>
                <w:spacing w:val="3"/>
              </w:rPr>
              <w:t>部分免费</w:t>
            </w:r>
          </w:p>
        </w:tc>
        <w:tc>
          <w:tcPr>
            <w:tcW w:w="2393" w:type="dxa"/>
            <w:vAlign w:val="top"/>
            <w:tcBorders>
              <w:bottom w:val="single" w:color="000000" w:sz="4" w:space="0"/>
              <w:top w:val="single" w:color="000000" w:sz="4" w:space="0"/>
            </w:tcBorders>
          </w:tcPr>
          <w:p>
            <w:pPr>
              <w:pStyle w:val="TableText"/>
              <w:ind w:left="192"/>
              <w:spacing w:before="203" w:line="219" w:lineRule="auto"/>
              <w:rPr/>
            </w:pPr>
            <w:r>
              <w:rPr>
                <w:spacing w:val="3"/>
              </w:rPr>
              <w:t>互动科学教育突出</w:t>
            </w:r>
          </w:p>
        </w:tc>
      </w:tr>
      <w:tr>
        <w:trPr>
          <w:trHeight w:val="702" w:hRule="atLeast"/>
        </w:trPr>
        <w:tc>
          <w:tcPr>
            <w:tcW w:w="783" w:type="dxa"/>
            <w:vAlign w:val="top"/>
            <w:tcBorders>
              <w:bottom w:val="single" w:color="000000" w:sz="4" w:space="0"/>
              <w:top w:val="single" w:color="000000" w:sz="4" w:space="0"/>
            </w:tcBorders>
          </w:tcPr>
          <w:p>
            <w:pPr>
              <w:pStyle w:val="TableText"/>
              <w:ind w:left="63"/>
              <w:spacing w:before="247" w:line="222" w:lineRule="auto"/>
              <w:rPr/>
            </w:pPr>
            <w:r>
              <w:rPr>
                <w:b/>
                <w:bCs/>
                <w:spacing w:val="5"/>
              </w:rPr>
              <w:t>德国</w:t>
            </w:r>
          </w:p>
        </w:tc>
        <w:tc>
          <w:tcPr>
            <w:tcW w:w="1570" w:type="dxa"/>
            <w:vAlign w:val="top"/>
            <w:tcBorders>
              <w:bottom w:val="single" w:color="000000" w:sz="4" w:space="0"/>
              <w:top w:val="single" w:color="000000" w:sz="4" w:space="0"/>
            </w:tcBorders>
          </w:tcPr>
          <w:p>
            <w:pPr>
              <w:pStyle w:val="TableText"/>
              <w:ind w:left="287"/>
              <w:spacing w:before="244" w:line="216" w:lineRule="auto"/>
              <w:rPr/>
            </w:pPr>
            <w:r>
              <w:rPr>
                <w:spacing w:val="-4"/>
              </w:rPr>
              <w:t>≈6,800</w:t>
            </w:r>
          </w:p>
        </w:tc>
        <w:tc>
          <w:tcPr>
            <w:tcW w:w="2190" w:type="dxa"/>
            <w:vAlign w:val="top"/>
            <w:tcBorders>
              <w:bottom w:val="single" w:color="000000" w:sz="4" w:space="0"/>
              <w:top w:val="single" w:color="000000" w:sz="4" w:space="0"/>
            </w:tcBorders>
          </w:tcPr>
          <w:p>
            <w:pPr>
              <w:pStyle w:val="TableText"/>
              <w:ind w:left="436"/>
              <w:spacing w:before="247" w:line="220" w:lineRule="auto"/>
              <w:rPr/>
            </w:pPr>
            <w:r>
              <w:rPr>
                <w:spacing w:val="8"/>
              </w:rPr>
              <w:t>未统一</w:t>
            </w:r>
          </w:p>
        </w:tc>
        <w:tc>
          <w:tcPr>
            <w:tcW w:w="1531" w:type="dxa"/>
            <w:vAlign w:val="top"/>
            <w:tcBorders>
              <w:bottom w:val="single" w:color="000000" w:sz="4" w:space="0"/>
              <w:top w:val="single" w:color="000000" w:sz="4" w:space="0"/>
            </w:tcBorders>
          </w:tcPr>
          <w:p>
            <w:pPr>
              <w:pStyle w:val="TableText"/>
              <w:ind w:left="106"/>
              <w:spacing w:before="247" w:line="220" w:lineRule="auto"/>
              <w:rPr/>
            </w:pPr>
            <w:r>
              <w:rPr>
                <w:spacing w:val="8"/>
              </w:rPr>
              <w:t>未统一</w:t>
            </w:r>
          </w:p>
        </w:tc>
        <w:tc>
          <w:tcPr>
            <w:tcW w:w="1713" w:type="dxa"/>
            <w:vAlign w:val="top"/>
            <w:tcBorders>
              <w:bottom w:val="single" w:color="000000" w:sz="4" w:space="0"/>
              <w:top w:val="single" w:color="000000" w:sz="4" w:space="0"/>
            </w:tcBorders>
          </w:tcPr>
          <w:p>
            <w:pPr>
              <w:pStyle w:val="TableText"/>
              <w:ind w:left="775"/>
              <w:spacing w:before="247" w:line="220" w:lineRule="auto"/>
              <w:rPr/>
            </w:pPr>
            <w:r>
              <w:rPr>
                <w:spacing w:val="4"/>
              </w:rPr>
              <w:t>多免费</w:t>
            </w:r>
          </w:p>
        </w:tc>
        <w:tc>
          <w:tcPr>
            <w:tcW w:w="2393" w:type="dxa"/>
            <w:vAlign w:val="top"/>
            <w:tcBorders>
              <w:bottom w:val="single" w:color="000000" w:sz="4" w:space="0"/>
              <w:top w:val="single" w:color="000000" w:sz="4" w:space="0"/>
            </w:tcBorders>
          </w:tcPr>
          <w:p>
            <w:pPr>
              <w:pStyle w:val="TableText"/>
              <w:ind w:left="192"/>
              <w:spacing w:before="247" w:line="219" w:lineRule="auto"/>
              <w:rPr/>
            </w:pPr>
            <w:r>
              <w:rPr>
                <w:spacing w:val="1"/>
              </w:rPr>
              <w:t>可持续教育指南完善</w:t>
            </w:r>
          </w:p>
        </w:tc>
      </w:tr>
    </w:tbl>
    <w:p>
      <w:pPr>
        <w:ind w:left="63"/>
        <w:spacing w:before="230" w:line="220" w:lineRule="auto"/>
        <w:rPr>
          <w:rFonts w:ascii="SimSun" w:hAnsi="SimSun" w:eastAsia="SimSun" w:cs="SimSun"/>
          <w:sz w:val="22"/>
          <w:szCs w:val="22"/>
        </w:rPr>
      </w:pPr>
      <w:r>
        <w:rPr>
          <w:rFonts w:ascii="SimSun" w:hAnsi="SimSun" w:eastAsia="SimSun" w:cs="SimSun"/>
          <w:sz w:val="22"/>
          <w:szCs w:val="22"/>
          <w:b/>
          <w:bCs/>
        </w:rPr>
        <w:t>日本</w:t>
      </w:r>
      <w:r>
        <w:rPr>
          <w:rFonts w:ascii="SimSun" w:hAnsi="SimSun" w:eastAsia="SimSun" w:cs="SimSun"/>
          <w:sz w:val="22"/>
          <w:szCs w:val="22"/>
        </w:rPr>
        <w:t xml:space="preserve">     ≈5,700         未统一</w:t>
      </w:r>
      <w:r>
        <w:rPr>
          <w:rFonts w:ascii="SimSun" w:hAnsi="SimSun" w:eastAsia="SimSun" w:cs="SimSun"/>
          <w:sz w:val="22"/>
          <w:szCs w:val="22"/>
          <w:spacing w:val="10"/>
        </w:rPr>
        <w:t xml:space="preserve">          </w:t>
      </w:r>
      <w:r>
        <w:rPr>
          <w:rFonts w:ascii="SimSun" w:hAnsi="SimSun" w:eastAsia="SimSun" w:cs="SimSun"/>
          <w:sz w:val="22"/>
          <w:szCs w:val="22"/>
        </w:rPr>
        <w:t>未统一            部分免费      学校程序系统化</w:t>
      </w:r>
    </w:p>
    <w:p>
      <w:pPr>
        <w:spacing w:line="293" w:lineRule="auto"/>
        <w:rPr>
          <w:rFonts w:ascii="Arial"/>
          <w:sz w:val="21"/>
        </w:rPr>
      </w:pPr>
      <w:r/>
    </w:p>
    <w:p>
      <w:pPr>
        <w:spacing w:line="293" w:lineRule="auto"/>
        <w:rPr>
          <w:rFonts w:ascii="Arial"/>
          <w:sz w:val="21"/>
        </w:rPr>
      </w:pPr>
      <w:r/>
    </w:p>
    <w:p>
      <w:pPr>
        <w:pStyle w:val="BodyText"/>
        <w:ind w:left="64"/>
        <w:spacing w:before="98" w:line="221" w:lineRule="auto"/>
        <w:outlineLvl w:val="2"/>
        <w:rPr>
          <w:sz w:val="30"/>
          <w:szCs w:val="30"/>
        </w:rPr>
      </w:pPr>
      <w:r>
        <w:rPr>
          <w:sz w:val="30"/>
          <w:szCs w:val="30"/>
          <w:b/>
          <w:bCs/>
          <w:spacing w:val="-4"/>
        </w:rPr>
        <w:t>三、博物馆分类体系及其教育特点</w:t>
      </w:r>
    </w:p>
    <w:p>
      <w:pPr>
        <w:pStyle w:val="BodyText"/>
        <w:ind w:left="59" w:right="18"/>
        <w:spacing w:before="234" w:line="335" w:lineRule="auto"/>
        <w:jc w:val="both"/>
        <w:rPr/>
      </w:pPr>
      <w:r>
        <w:rPr>
          <w:spacing w:val="16"/>
        </w:rPr>
        <w:t>为便于分析，本报告提出一套博物馆分类体系，主要按级别(中国特有评定标准)和产权性</w:t>
      </w:r>
      <w:r>
        <w:rPr>
          <w:spacing w:val="15"/>
        </w:rPr>
        <w:t>质划</w:t>
      </w:r>
      <w:r>
        <w:rPr/>
        <w:t xml:space="preserve"> </w:t>
      </w:r>
      <w:r>
        <w:rPr>
          <w:spacing w:val="20"/>
        </w:rPr>
        <w:t>分。该体系参考国家文物局博物馆等级评定(一级&gt;800分、二级&gt;600分、三级&gt;400分，满分</w:t>
      </w:r>
      <w:r>
        <w:rPr>
          <w:spacing w:val="12"/>
        </w:rPr>
        <w:t xml:space="preserve"> </w:t>
      </w:r>
      <w:r>
        <w:rPr>
          <w:spacing w:val="16"/>
        </w:rPr>
        <w:t>1000分，涵盖管理、藏品、展览等)及</w:t>
      </w:r>
      <w:r>
        <w:rPr>
          <w:spacing w:val="15"/>
        </w:rPr>
        <w:t>国际惯例。</w:t>
      </w:r>
    </w:p>
    <w:p>
      <w:pPr>
        <w:pStyle w:val="BodyText"/>
        <w:ind w:left="59"/>
        <w:spacing w:before="137" w:line="187" w:lineRule="auto"/>
        <w:rPr/>
      </w:pPr>
      <w:r>
        <w:rPr>
          <w:spacing w:val="4"/>
        </w:rPr>
        <w:t>分类如下表：</w:t>
      </w:r>
    </w:p>
    <w:p>
      <w:pPr>
        <w:spacing w:line="187" w:lineRule="auto"/>
        <w:sectPr>
          <w:type w:val="continuous"/>
          <w:pgSz w:w="12240" w:h="15840"/>
          <w:pgMar w:top="1111" w:right="1129" w:bottom="0" w:left="929" w:header="0" w:footer="0" w:gutter="0"/>
          <w:cols w:equalWidth="0" w:num="1">
            <w:col w:w="10181" w:space="0"/>
          </w:cols>
        </w:sectPr>
        <w:rPr/>
      </w:pPr>
    </w:p>
    <w:p>
      <w:pPr>
        <w:spacing w:before="15"/>
        <w:rPr/>
      </w:pPr>
      <w:r/>
    </w:p>
    <w:p>
      <w:pPr>
        <w:spacing w:before="15"/>
        <w:rPr/>
      </w:pPr>
      <w:r/>
    </w:p>
    <w:p>
      <w:pPr>
        <w:spacing w:before="15"/>
        <w:rPr/>
      </w:pPr>
      <w:r/>
    </w:p>
    <w:p>
      <w:pPr>
        <w:spacing w:before="15"/>
        <w:rPr/>
      </w:pPr>
      <w:r/>
    </w:p>
    <w:p>
      <w:pPr>
        <w:spacing w:before="15"/>
        <w:rPr/>
      </w:pPr>
      <w:r/>
    </w:p>
    <w:p>
      <w:pPr>
        <w:spacing w:before="15"/>
        <w:rPr/>
      </w:pPr>
      <w:r/>
    </w:p>
    <w:p>
      <w:pPr>
        <w:spacing w:before="14"/>
        <w:rPr/>
      </w:pPr>
      <w:r/>
    </w:p>
    <w:p>
      <w:pPr>
        <w:spacing w:before="14"/>
        <w:rPr/>
      </w:pPr>
      <w:r/>
    </w:p>
    <w:p>
      <w:pPr>
        <w:spacing w:line="14" w:lineRule="auto"/>
        <w:rPr>
          <w:rFonts w:ascii="Arial"/>
          <w:sz w:val="2"/>
        </w:rPr>
      </w:pPr>
      <w:r>
        <w:rPr>
          <w:rFonts w:ascii="Arial" w:hAnsi="Arial" w:eastAsia="Arial" w:cs="Arial"/>
          <w:sz w:val="2"/>
          <w:szCs w:val="2"/>
        </w:rPr>
        <w:br w:type="column"/>
      </w:r>
    </w:p>
    <w:p>
      <w:pPr>
        <w:pStyle w:val="BodyText"/>
        <w:ind w:left="13"/>
        <w:spacing w:before="43" w:line="221" w:lineRule="auto"/>
        <w:rPr>
          <w:sz w:val="22"/>
          <w:szCs w:val="22"/>
        </w:rPr>
      </w:pPr>
      <w:r>
        <w:rPr>
          <w:sz w:val="22"/>
          <w:szCs w:val="22"/>
          <w:b/>
          <w:bCs/>
          <w:spacing w:val="-6"/>
        </w:rPr>
        <w:t>分类维</w:t>
      </w:r>
    </w:p>
    <w:p>
      <w:pPr>
        <w:pStyle w:val="BodyText"/>
        <w:ind w:left="10"/>
        <w:spacing w:before="100" w:line="222" w:lineRule="auto"/>
        <w:rPr>
          <w:sz w:val="22"/>
          <w:szCs w:val="22"/>
        </w:rPr>
      </w:pPr>
      <w:r>
        <w:rPr>
          <w:sz w:val="22"/>
          <w:szCs w:val="22"/>
        </w:rPr>
        <w:t>度</w:t>
      </w:r>
    </w:p>
    <w:p>
      <w:pPr>
        <w:spacing w:line="272" w:lineRule="auto"/>
        <w:rPr>
          <w:rFonts w:ascii="Arial"/>
          <w:sz w:val="21"/>
        </w:rPr>
      </w:pPr>
      <w:r/>
    </w:p>
    <w:p>
      <w:pPr>
        <w:pStyle w:val="BodyText"/>
        <w:spacing w:before="71" w:line="213" w:lineRule="auto"/>
        <w:rPr>
          <w:sz w:val="22"/>
          <w:szCs w:val="22"/>
        </w:rPr>
      </w:pPr>
      <w:r>
        <w:rPr>
          <w:sz w:val="22"/>
          <w:szCs w:val="22"/>
          <w:spacing w:val="-10"/>
        </w:rPr>
        <w:t>一级博</w:t>
      </w:r>
      <w:r>
        <w:rPr>
          <w:sz w:val="22"/>
          <w:szCs w:val="22"/>
          <w:spacing w:val="25"/>
        </w:rPr>
        <w:t xml:space="preserve">  </w:t>
      </w:r>
      <w:r>
        <w:rPr>
          <w:sz w:val="22"/>
          <w:szCs w:val="22"/>
          <w:spacing w:val="-10"/>
        </w:rPr>
        <w:t>综合评分最高，基础设施完善、</w:t>
      </w:r>
    </w:p>
    <w:p>
      <w:pPr>
        <w:pStyle w:val="BodyText"/>
        <w:ind w:left="20"/>
        <w:spacing w:before="96" w:line="213" w:lineRule="auto"/>
        <w:rPr>
          <w:sz w:val="22"/>
          <w:szCs w:val="22"/>
        </w:rPr>
      </w:pPr>
      <w:r>
        <w:rPr>
          <w:sz w:val="22"/>
          <w:szCs w:val="22"/>
          <w:spacing w:val="-9"/>
        </w:rPr>
        <w:t>物馆</w:t>
      </w:r>
      <w:r>
        <w:rPr>
          <w:sz w:val="22"/>
          <w:szCs w:val="22"/>
          <w:spacing w:val="10"/>
        </w:rPr>
        <w:t xml:space="preserve">    </w:t>
      </w:r>
      <w:r>
        <w:rPr>
          <w:sz w:val="22"/>
          <w:szCs w:val="22"/>
          <w:spacing w:val="-9"/>
        </w:rPr>
        <w:t>藏品丰富，通常为国家级或省级</w:t>
      </w:r>
    </w:p>
    <w:p>
      <w:pPr>
        <w:pStyle w:val="BodyText"/>
        <w:ind w:left="920"/>
        <w:spacing w:before="106" w:line="222" w:lineRule="auto"/>
        <w:rPr>
          <w:sz w:val="22"/>
          <w:szCs w:val="22"/>
        </w:rPr>
      </w:pPr>
      <w:r>
        <w:rPr>
          <w:sz w:val="22"/>
          <w:szCs w:val="22"/>
          <w:spacing w:val="-4"/>
        </w:rPr>
        <w:t>示范馆</w:t>
      </w:r>
    </w:p>
    <w:p>
      <w:pPr>
        <w:spacing w:line="14" w:lineRule="auto"/>
        <w:rPr>
          <w:rFonts w:ascii="Arial"/>
          <w:sz w:val="2"/>
        </w:rPr>
      </w:pPr>
      <w:r>
        <w:rPr>
          <w:rFonts w:ascii="Arial" w:hAnsi="Arial" w:eastAsia="Arial" w:cs="Arial"/>
          <w:sz w:val="2"/>
          <w:szCs w:val="2"/>
        </w:rPr>
        <w:br w:type="column"/>
      </w:r>
    </w:p>
    <w:p>
      <w:pPr>
        <w:spacing w:line="339" w:lineRule="auto"/>
        <w:rPr>
          <w:rFonts w:ascii="Arial"/>
          <w:sz w:val="21"/>
        </w:rPr>
      </w:pPr>
      <w:r/>
    </w:p>
    <w:p>
      <w:pPr>
        <w:pStyle w:val="BodyText"/>
        <w:ind w:left="3"/>
        <w:spacing w:before="72" w:line="221" w:lineRule="auto"/>
        <w:rPr>
          <w:sz w:val="22"/>
          <w:szCs w:val="22"/>
        </w:rPr>
      </w:pPr>
      <w:r>
        <w:rPr>
          <w:sz w:val="22"/>
          <w:szCs w:val="22"/>
          <w:b/>
          <w:bCs/>
          <w:spacing w:val="-7"/>
        </w:rPr>
        <w:t>类型</w:t>
      </w:r>
    </w:p>
    <w:p>
      <w:pPr>
        <w:spacing w:line="257" w:lineRule="auto"/>
        <w:rPr>
          <w:rFonts w:ascii="Arial"/>
          <w:sz w:val="21"/>
        </w:rPr>
      </w:pPr>
      <w:r/>
    </w:p>
    <w:p>
      <w:pPr>
        <w:pStyle w:val="BodyText"/>
        <w:ind w:right="52"/>
        <w:spacing w:before="72" w:line="312" w:lineRule="auto"/>
        <w:rPr>
          <w:sz w:val="22"/>
          <w:szCs w:val="22"/>
        </w:rPr>
      </w:pPr>
      <w:r>
        <w:rPr>
          <w:sz w:val="22"/>
          <w:szCs w:val="22"/>
          <w:spacing w:val="-10"/>
        </w:rPr>
        <w:t>高质量教育性展览设计、观众研究</w:t>
      </w:r>
      <w:r>
        <w:rPr>
          <w:sz w:val="22"/>
          <w:szCs w:val="22"/>
          <w:spacing w:val="6"/>
        </w:rPr>
        <w:t xml:space="preserve"> </w:t>
      </w:r>
      <w:r>
        <w:rPr>
          <w:sz w:val="22"/>
          <w:szCs w:val="22"/>
          <w:spacing w:val="-8"/>
        </w:rPr>
        <w:t>深度强</w:t>
      </w:r>
    </w:p>
    <w:p>
      <w:pPr>
        <w:spacing w:line="14" w:lineRule="auto"/>
        <w:rPr>
          <w:rFonts w:ascii="Arial"/>
          <w:sz w:val="2"/>
        </w:rPr>
      </w:pPr>
      <w:r>
        <w:rPr>
          <w:rFonts w:ascii="Arial" w:hAnsi="Arial" w:eastAsia="Arial" w:cs="Arial"/>
          <w:sz w:val="2"/>
          <w:szCs w:val="2"/>
        </w:rPr>
        <w:br w:type="column"/>
      </w:r>
    </w:p>
    <w:p>
      <w:pPr>
        <w:pStyle w:val="BodyText"/>
        <w:ind w:left="20" w:right="287" w:hanging="20"/>
        <w:spacing w:before="56" w:line="313" w:lineRule="auto"/>
        <w:rPr>
          <w:sz w:val="22"/>
          <w:szCs w:val="22"/>
        </w:rPr>
      </w:pPr>
      <w:r>
        <w:rPr>
          <w:sz w:val="22"/>
          <w:szCs w:val="22"/>
          <w:spacing w:val="-4"/>
        </w:rPr>
        <w:t>特点</w:t>
      </w:r>
      <w:r>
        <w:rPr>
          <w:sz w:val="22"/>
          <w:szCs w:val="22"/>
        </w:rPr>
        <w:t xml:space="preserve"> </w:t>
      </w:r>
      <w:r>
        <w:rPr>
          <w:sz w:val="22"/>
          <w:szCs w:val="22"/>
          <w:spacing w:val="-13"/>
          <w:w w:val="98"/>
        </w:rPr>
        <w:t>描述</w:t>
      </w:r>
    </w:p>
    <w:p>
      <w:pPr>
        <w:spacing w:line="14" w:lineRule="auto"/>
        <w:rPr>
          <w:rFonts w:ascii="Arial"/>
          <w:sz w:val="2"/>
        </w:rPr>
      </w:pPr>
      <w:r>
        <w:rPr>
          <w:rFonts w:ascii="Arial" w:hAnsi="Arial" w:eastAsia="Arial" w:cs="Arial"/>
          <w:sz w:val="2"/>
          <w:szCs w:val="2"/>
        </w:rPr>
        <w:br w:type="column"/>
      </w:r>
    </w:p>
    <w:p>
      <w:pPr>
        <w:pStyle w:val="BodyText"/>
        <w:ind w:left="10" w:right="511" w:hanging="10"/>
        <w:spacing w:before="57" w:line="312" w:lineRule="auto"/>
        <w:rPr>
          <w:sz w:val="22"/>
          <w:szCs w:val="22"/>
        </w:rPr>
      </w:pPr>
      <w:r>
        <w:rPr>
          <w:sz w:val="22"/>
          <w:szCs w:val="22"/>
          <w:spacing w:val="-3"/>
        </w:rPr>
        <w:t>教育特</w:t>
      </w:r>
      <w:r>
        <w:rPr>
          <w:sz w:val="22"/>
          <w:szCs w:val="22"/>
          <w:spacing w:val="1"/>
        </w:rPr>
        <w:t xml:space="preserve"> </w:t>
      </w:r>
      <w:r>
        <w:rPr>
          <w:sz w:val="22"/>
          <w:szCs w:val="22"/>
          <w:spacing w:val="-4"/>
        </w:rPr>
        <w:t>点示例</w:t>
      </w:r>
    </w:p>
    <w:p>
      <w:pPr>
        <w:spacing w:line="312" w:lineRule="auto"/>
        <w:sectPr>
          <w:pgSz w:w="12240" w:h="15840"/>
          <w:pgMar w:top="1069" w:right="1170" w:bottom="0" w:left="482" w:header="0" w:footer="0" w:gutter="0"/>
          <w:cols w:equalWidth="0" w:num="5">
            <w:col w:w="1038" w:space="100"/>
            <w:col w:w="4141" w:space="100"/>
            <w:col w:w="3210" w:space="100"/>
            <w:col w:w="720" w:space="9"/>
            <w:col w:w="1171" w:space="0"/>
          </w:cols>
        </w:sectPr>
        <w:rPr>
          <w:sz w:val="22"/>
          <w:szCs w:val="22"/>
        </w:rPr>
      </w:pPr>
    </w:p>
    <w:tbl>
      <w:tblPr>
        <w:tblStyle w:val="TableNormal"/>
        <w:tblW w:w="10089" w:type="dxa"/>
        <w:tblInd w:w="49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1"/>
        <w:gridCol w:w="1084"/>
        <w:gridCol w:w="3274"/>
        <w:gridCol w:w="5400"/>
      </w:tblGrid>
      <w:tr>
        <w:trPr>
          <w:trHeight w:val="968" w:hRule="atLeast"/>
        </w:trPr>
        <w:tc>
          <w:tcPr>
            <w:tcW w:w="331" w:type="dxa"/>
            <w:vAlign w:val="top"/>
            <w:tcBorders>
              <w:bottom w:val="single" w:color="000000" w:sz="2" w:space="0"/>
              <w:top w:val="single" w:color="000000" w:sz="2" w:space="0"/>
            </w:tcBorders>
          </w:tcPr>
          <w:p>
            <w:pPr>
              <w:rPr>
                <w:rFonts w:ascii="Arial"/>
                <w:sz w:val="21"/>
              </w:rPr>
            </w:pPr>
            <w:r/>
          </w:p>
        </w:tc>
        <w:tc>
          <w:tcPr>
            <w:tcW w:w="1084" w:type="dxa"/>
            <w:vAlign w:val="top"/>
            <w:tcBorders>
              <w:bottom w:val="single" w:color="000000" w:sz="2" w:space="0"/>
              <w:top w:val="single" w:color="000000" w:sz="2" w:space="0"/>
            </w:tcBorders>
          </w:tcPr>
          <w:p>
            <w:pPr>
              <w:ind w:left="318" w:right="138"/>
              <w:spacing w:before="283" w:line="283" w:lineRule="auto"/>
              <w:rPr>
                <w:rFonts w:ascii="SimHei" w:hAnsi="SimHei" w:eastAsia="SimHei" w:cs="SimHei"/>
                <w:sz w:val="22"/>
                <w:szCs w:val="22"/>
              </w:rPr>
            </w:pPr>
            <w:r>
              <w:rPr>
                <w:rFonts w:ascii="SimHei" w:hAnsi="SimHei" w:eastAsia="SimHei" w:cs="SimHei"/>
                <w:sz w:val="22"/>
                <w:szCs w:val="22"/>
                <w:spacing w:val="-12"/>
              </w:rPr>
              <w:t>二级博</w:t>
            </w:r>
            <w:r>
              <w:rPr>
                <w:rFonts w:ascii="SimHei" w:hAnsi="SimHei" w:eastAsia="SimHei" w:cs="SimHei"/>
                <w:sz w:val="22"/>
                <w:szCs w:val="22"/>
                <w:spacing w:val="1"/>
              </w:rPr>
              <w:t xml:space="preserve"> </w:t>
            </w:r>
            <w:r>
              <w:rPr>
                <w:rFonts w:ascii="SimHei" w:hAnsi="SimHei" w:eastAsia="SimHei" w:cs="SimHei"/>
                <w:sz w:val="22"/>
                <w:szCs w:val="22"/>
                <w:spacing w:val="-2"/>
              </w:rPr>
              <w:t>物馆</w:t>
            </w:r>
          </w:p>
        </w:tc>
        <w:tc>
          <w:tcPr>
            <w:tcW w:w="3274" w:type="dxa"/>
            <w:vAlign w:val="top"/>
            <w:tcBorders>
              <w:bottom w:val="single" w:color="000000" w:sz="2" w:space="0"/>
              <w:top w:val="single" w:color="000000" w:sz="2" w:space="0"/>
            </w:tcBorders>
          </w:tcPr>
          <w:p>
            <w:pPr>
              <w:ind w:left="144"/>
              <w:spacing w:before="282" w:line="213" w:lineRule="auto"/>
              <w:rPr>
                <w:rFonts w:ascii="SimHei" w:hAnsi="SimHei" w:eastAsia="SimHei" w:cs="SimHei"/>
                <w:sz w:val="22"/>
                <w:szCs w:val="22"/>
              </w:rPr>
            </w:pPr>
            <w:r>
              <w:rPr>
                <w:rFonts w:ascii="SimHei" w:hAnsi="SimHei" w:eastAsia="SimHei" w:cs="SimHei"/>
                <w:sz w:val="22"/>
                <w:szCs w:val="22"/>
                <w:spacing w:val="-10"/>
              </w:rPr>
              <w:t>中等水平，区域影响力强</w:t>
            </w:r>
          </w:p>
        </w:tc>
        <w:tc>
          <w:tcPr>
            <w:tcW w:w="5400" w:type="dxa"/>
            <w:vAlign w:val="top"/>
            <w:tcBorders>
              <w:bottom w:val="single" w:color="000000" w:sz="2" w:space="0"/>
              <w:top w:val="single" w:color="000000" w:sz="2" w:space="0"/>
            </w:tcBorders>
          </w:tcPr>
          <w:p>
            <w:pPr>
              <w:ind w:left="190"/>
              <w:spacing w:before="302" w:line="221" w:lineRule="auto"/>
              <w:rPr>
                <w:rFonts w:ascii="SimHei" w:hAnsi="SimHei" w:eastAsia="SimHei" w:cs="SimHei"/>
                <w:sz w:val="22"/>
                <w:szCs w:val="22"/>
              </w:rPr>
            </w:pPr>
            <w:r>
              <w:rPr>
                <w:rFonts w:ascii="SimHei" w:hAnsi="SimHei" w:eastAsia="SimHei" w:cs="SimHei"/>
                <w:sz w:val="22"/>
                <w:szCs w:val="22"/>
                <w:spacing w:val="-10"/>
              </w:rPr>
              <w:t>常规学校合作、社区活动</w:t>
            </w:r>
          </w:p>
        </w:tc>
      </w:tr>
      <w:tr>
        <w:trPr>
          <w:trHeight w:val="853" w:hRule="atLeast"/>
        </w:trPr>
        <w:tc>
          <w:tcPr>
            <w:tcW w:w="331" w:type="dxa"/>
            <w:vAlign w:val="top"/>
            <w:tcBorders>
              <w:top w:val="single" w:color="000000" w:sz="2" w:space="0"/>
              <w:bottom w:val="single" w:color="000000" w:sz="4" w:space="0"/>
            </w:tcBorders>
          </w:tcPr>
          <w:p>
            <w:pPr>
              <w:rPr>
                <w:rFonts w:ascii="Arial"/>
                <w:sz w:val="21"/>
              </w:rPr>
            </w:pPr>
            <w:r/>
          </w:p>
        </w:tc>
        <w:tc>
          <w:tcPr>
            <w:tcW w:w="1084" w:type="dxa"/>
            <w:vAlign w:val="top"/>
            <w:tcBorders>
              <w:top w:val="single" w:color="000000" w:sz="2" w:space="0"/>
              <w:bottom w:val="single" w:color="000000" w:sz="4" w:space="0"/>
            </w:tcBorders>
          </w:tcPr>
          <w:p>
            <w:pPr>
              <w:ind w:left="119" w:right="138" w:firstLine="199"/>
              <w:spacing w:before="280" w:line="236" w:lineRule="auto"/>
              <w:rPr>
                <w:rFonts w:ascii="SimHei" w:hAnsi="SimHei" w:eastAsia="SimHei" w:cs="SimHei"/>
                <w:sz w:val="22"/>
                <w:szCs w:val="22"/>
              </w:rPr>
            </w:pPr>
            <w:r>
              <w:rPr>
                <w:rFonts w:ascii="SimHei" w:hAnsi="SimHei" w:eastAsia="SimHei" w:cs="SimHei"/>
                <w:sz w:val="22"/>
                <w:szCs w:val="22"/>
                <w:spacing w:val="-12"/>
              </w:rPr>
              <w:t>三级博</w:t>
            </w:r>
            <w:r>
              <w:rPr>
                <w:rFonts w:ascii="SimHei" w:hAnsi="SimHei" w:eastAsia="SimHei" w:cs="SimHei"/>
                <w:sz w:val="22"/>
                <w:szCs w:val="22"/>
                <w:spacing w:val="1"/>
              </w:rPr>
              <w:t xml:space="preserve"> </w:t>
            </w:r>
            <w:r>
              <w:rPr>
                <w:rFonts w:ascii="SimHei" w:hAnsi="SimHei" w:eastAsia="SimHei" w:cs="SimHei"/>
                <w:sz w:val="22"/>
                <w:szCs w:val="22"/>
                <w:spacing w:val="-4"/>
              </w:rPr>
              <w:t>物</w:t>
            </w:r>
            <w:r>
              <w:rPr>
                <w:rFonts w:ascii="SimHei" w:hAnsi="SimHei" w:eastAsia="SimHei" w:cs="SimHei"/>
                <w:sz w:val="22"/>
                <w:szCs w:val="22"/>
                <w:spacing w:val="3"/>
              </w:rPr>
              <w:t xml:space="preserve"> </w:t>
            </w:r>
            <w:r>
              <w:rPr>
                <w:rFonts w:ascii="SimHei" w:hAnsi="SimHei" w:eastAsia="SimHei" w:cs="SimHei"/>
                <w:sz w:val="22"/>
                <w:szCs w:val="22"/>
                <w:spacing w:val="-4"/>
              </w:rPr>
              <w:t>馆</w:t>
            </w:r>
          </w:p>
        </w:tc>
        <w:tc>
          <w:tcPr>
            <w:tcW w:w="3274" w:type="dxa"/>
            <w:vAlign w:val="top"/>
            <w:tcBorders>
              <w:top w:val="single" w:color="000000" w:sz="2" w:space="0"/>
              <w:bottom w:val="single" w:color="000000" w:sz="4" w:space="0"/>
            </w:tcBorders>
          </w:tcPr>
          <w:p>
            <w:pPr>
              <w:ind w:left="144"/>
              <w:spacing w:before="279" w:line="213" w:lineRule="auto"/>
              <w:rPr>
                <w:rFonts w:ascii="SimHei" w:hAnsi="SimHei" w:eastAsia="SimHei" w:cs="SimHei"/>
                <w:sz w:val="22"/>
                <w:szCs w:val="22"/>
              </w:rPr>
            </w:pPr>
            <w:r>
              <w:rPr>
                <w:rFonts w:ascii="SimHei" w:hAnsi="SimHei" w:eastAsia="SimHei" w:cs="SimHei"/>
                <w:sz w:val="22"/>
                <w:szCs w:val="22"/>
                <w:spacing w:val="-9"/>
              </w:rPr>
              <w:t>基础合格，地方性强</w:t>
            </w:r>
          </w:p>
        </w:tc>
        <w:tc>
          <w:tcPr>
            <w:tcW w:w="5400" w:type="dxa"/>
            <w:vAlign w:val="top"/>
            <w:tcBorders>
              <w:top w:val="single" w:color="000000" w:sz="2" w:space="0"/>
              <w:bottom w:val="single" w:color="000000" w:sz="4" w:space="0"/>
            </w:tcBorders>
          </w:tcPr>
          <w:p>
            <w:pPr>
              <w:ind w:left="190"/>
              <w:spacing w:before="299" w:line="221" w:lineRule="auto"/>
              <w:rPr>
                <w:rFonts w:ascii="SimHei" w:hAnsi="SimHei" w:eastAsia="SimHei" w:cs="SimHei"/>
                <w:sz w:val="22"/>
                <w:szCs w:val="22"/>
              </w:rPr>
            </w:pPr>
            <w:r>
              <w:rPr>
                <w:rFonts w:ascii="SimHei" w:hAnsi="SimHei" w:eastAsia="SimHei" w:cs="SimHei"/>
                <w:sz w:val="22"/>
                <w:szCs w:val="22"/>
                <w:spacing w:val="-10"/>
              </w:rPr>
              <w:t>基础科普、非正式学习入门</w:t>
            </w:r>
          </w:p>
        </w:tc>
      </w:tr>
      <w:tr>
        <w:trPr>
          <w:trHeight w:val="681" w:hRule="atLeast"/>
        </w:trPr>
        <w:tc>
          <w:tcPr>
            <w:tcW w:w="331" w:type="dxa"/>
            <w:vAlign w:val="top"/>
            <w:vMerge w:val="restart"/>
            <w:textDirection w:val="tbRlV"/>
            <w:tcBorders>
              <w:bottom w:val="nil"/>
              <w:top w:val="single" w:color="000000" w:sz="4" w:space="0"/>
            </w:tcBorders>
          </w:tcPr>
          <w:p>
            <w:pPr>
              <w:spacing w:before="108" w:line="206" w:lineRule="auto"/>
              <w:jc w:val="right"/>
              <w:rPr>
                <w:rFonts w:ascii="SimHei" w:hAnsi="SimHei" w:eastAsia="SimHei" w:cs="SimHei"/>
                <w:sz w:val="17"/>
                <w:szCs w:val="17"/>
              </w:rPr>
            </w:pPr>
            <w:r>
              <w:rPr>
                <w:rFonts w:ascii="SimHei" w:hAnsi="SimHei" w:eastAsia="SimHei" w:cs="SimHei"/>
                <w:sz w:val="22"/>
                <w:szCs w:val="22"/>
                <w:spacing w:val="1"/>
              </w:rPr>
              <w:t>按</w:t>
            </w:r>
            <w:r>
              <w:rPr>
                <w:rFonts w:ascii="SimHei" w:hAnsi="SimHei" w:eastAsia="SimHei" w:cs="SimHei"/>
                <w:sz w:val="22"/>
                <w:szCs w:val="22"/>
                <w:spacing w:val="18"/>
              </w:rPr>
              <w:t xml:space="preserve"> </w:t>
            </w:r>
            <w:r>
              <w:rPr>
                <w:rFonts w:ascii="SimHei" w:hAnsi="SimHei" w:eastAsia="SimHei" w:cs="SimHei"/>
                <w:sz w:val="22"/>
                <w:szCs w:val="22"/>
                <w:spacing w:val="1"/>
              </w:rPr>
              <w:t>产</w:t>
            </w:r>
            <w:r>
              <w:rPr>
                <w:rFonts w:ascii="SimHei" w:hAnsi="SimHei" w:eastAsia="SimHei" w:cs="SimHei"/>
                <w:sz w:val="22"/>
                <w:szCs w:val="22"/>
                <w:spacing w:val="85"/>
              </w:rPr>
              <w:t xml:space="preserve"> </w:t>
            </w:r>
            <w:r>
              <w:rPr>
                <w:rFonts w:ascii="SimHei" w:hAnsi="SimHei" w:eastAsia="SimHei" w:cs="SimHei"/>
                <w:sz w:val="17"/>
                <w:szCs w:val="17"/>
                <w:spacing w:val="1"/>
                <w:position w:val="-1"/>
              </w:rPr>
              <w:t>权</w:t>
            </w:r>
          </w:p>
        </w:tc>
        <w:tc>
          <w:tcPr>
            <w:tcW w:w="1084" w:type="dxa"/>
            <w:vAlign w:val="top"/>
            <w:tcBorders>
              <w:top w:val="single" w:color="000000" w:sz="4" w:space="0"/>
            </w:tcBorders>
          </w:tcPr>
          <w:p>
            <w:pPr>
              <w:spacing w:line="323" w:lineRule="auto"/>
              <w:rPr>
                <w:rFonts w:ascii="Arial"/>
                <w:sz w:val="21"/>
              </w:rPr>
            </w:pPr>
            <w:r/>
          </w:p>
          <w:p>
            <w:pPr>
              <w:ind w:left="318"/>
              <w:spacing w:before="72" w:line="222" w:lineRule="auto"/>
              <w:rPr>
                <w:rFonts w:ascii="SimHei" w:hAnsi="SimHei" w:eastAsia="SimHei" w:cs="SimHei"/>
                <w:sz w:val="22"/>
                <w:szCs w:val="22"/>
              </w:rPr>
            </w:pPr>
            <w:r>
              <w:rPr>
                <w:rFonts w:ascii="SimHei" w:hAnsi="SimHei" w:eastAsia="SimHei" w:cs="SimHei"/>
                <w:sz w:val="22"/>
                <w:szCs w:val="22"/>
                <w:spacing w:val="-5"/>
              </w:rPr>
              <w:t>国有博</w:t>
            </w:r>
          </w:p>
        </w:tc>
        <w:tc>
          <w:tcPr>
            <w:tcW w:w="3274" w:type="dxa"/>
            <w:vAlign w:val="top"/>
            <w:tcBorders>
              <w:top w:val="single" w:color="000000" w:sz="4" w:space="0"/>
            </w:tcBorders>
          </w:tcPr>
          <w:p>
            <w:pPr>
              <w:spacing w:line="323" w:lineRule="auto"/>
              <w:rPr>
                <w:rFonts w:ascii="Arial"/>
                <w:sz w:val="21"/>
              </w:rPr>
            </w:pPr>
            <w:r/>
          </w:p>
          <w:p>
            <w:pPr>
              <w:ind w:left="134"/>
              <w:spacing w:before="71" w:line="213" w:lineRule="auto"/>
              <w:rPr>
                <w:rFonts w:ascii="SimHei" w:hAnsi="SimHei" w:eastAsia="SimHei" w:cs="SimHei"/>
                <w:sz w:val="22"/>
                <w:szCs w:val="22"/>
              </w:rPr>
            </w:pPr>
            <w:r>
              <w:rPr>
                <w:rFonts w:ascii="SimHei" w:hAnsi="SimHei" w:eastAsia="SimHei" w:cs="SimHei"/>
                <w:sz w:val="22"/>
                <w:szCs w:val="22"/>
                <w:spacing w:val="-8"/>
              </w:rPr>
              <w:t>政府主导，资源稳定，通常免费</w:t>
            </w:r>
          </w:p>
        </w:tc>
        <w:tc>
          <w:tcPr>
            <w:tcW w:w="5400" w:type="dxa"/>
            <w:vAlign w:val="top"/>
            <w:tcBorders>
              <w:top w:val="single" w:color="000000" w:sz="4" w:space="0"/>
            </w:tcBorders>
          </w:tcPr>
          <w:p>
            <w:pPr>
              <w:spacing w:line="322" w:lineRule="auto"/>
              <w:rPr>
                <w:rFonts w:ascii="Arial"/>
                <w:sz w:val="21"/>
              </w:rPr>
            </w:pPr>
            <w:r/>
          </w:p>
          <w:p>
            <w:pPr>
              <w:ind w:left="190"/>
              <w:spacing w:before="72" w:line="222" w:lineRule="auto"/>
              <w:rPr>
                <w:rFonts w:ascii="SimHei" w:hAnsi="SimHei" w:eastAsia="SimHei" w:cs="SimHei"/>
                <w:sz w:val="22"/>
                <w:szCs w:val="22"/>
              </w:rPr>
            </w:pPr>
            <w:r>
              <w:rPr>
                <w:rFonts w:ascii="SimHei" w:hAnsi="SimHei" w:eastAsia="SimHei" w:cs="SimHei"/>
                <w:sz w:val="22"/>
                <w:szCs w:val="22"/>
                <w:spacing w:val="-10"/>
              </w:rPr>
              <w:t>社会包容性项目多、覆盖面广</w:t>
            </w:r>
          </w:p>
        </w:tc>
      </w:tr>
      <w:tr>
        <w:trPr>
          <w:trHeight w:val="653" w:hRule="atLeast"/>
        </w:trPr>
        <w:tc>
          <w:tcPr>
            <w:tcW w:w="331" w:type="dxa"/>
            <w:vAlign w:val="top"/>
            <w:vMerge w:val="continue"/>
            <w:textDirection w:val="tbRlV"/>
            <w:tcBorders>
              <w:bottom w:val="single" w:color="000000" w:sz="2" w:space="0"/>
              <w:top w:val="nil"/>
            </w:tcBorders>
          </w:tcPr>
          <w:p>
            <w:pPr>
              <w:rPr>
                <w:rFonts w:ascii="Arial"/>
                <w:sz w:val="21"/>
              </w:rPr>
            </w:pPr>
            <w:r/>
          </w:p>
        </w:tc>
        <w:tc>
          <w:tcPr>
            <w:tcW w:w="1084" w:type="dxa"/>
            <w:vAlign w:val="top"/>
            <w:tcBorders>
              <w:bottom w:val="single" w:color="000000" w:sz="2" w:space="0"/>
            </w:tcBorders>
          </w:tcPr>
          <w:p>
            <w:pPr>
              <w:ind w:left="318"/>
              <w:spacing w:before="66" w:line="224" w:lineRule="auto"/>
              <w:rPr>
                <w:rFonts w:ascii="SimHei" w:hAnsi="SimHei" w:eastAsia="SimHei" w:cs="SimHei"/>
                <w:sz w:val="22"/>
                <w:szCs w:val="22"/>
              </w:rPr>
            </w:pPr>
            <w:r>
              <w:rPr>
                <w:rFonts w:ascii="SimHei" w:hAnsi="SimHei" w:eastAsia="SimHei" w:cs="SimHei"/>
                <w:sz w:val="22"/>
                <w:szCs w:val="22"/>
                <w:spacing w:val="-2"/>
              </w:rPr>
              <w:t>物馆</w:t>
            </w:r>
          </w:p>
        </w:tc>
        <w:tc>
          <w:tcPr>
            <w:tcW w:w="3274" w:type="dxa"/>
            <w:vAlign w:val="top"/>
            <w:tcBorders>
              <w:bottom w:val="single" w:color="000000" w:sz="2" w:space="0"/>
            </w:tcBorders>
          </w:tcPr>
          <w:p>
            <w:pPr>
              <w:ind w:left="154"/>
              <w:spacing w:before="67" w:line="222" w:lineRule="auto"/>
              <w:rPr>
                <w:rFonts w:ascii="SimHei" w:hAnsi="SimHei" w:eastAsia="SimHei" w:cs="SimHei"/>
                <w:sz w:val="22"/>
                <w:szCs w:val="22"/>
              </w:rPr>
            </w:pPr>
            <w:r>
              <w:rPr>
                <w:rFonts w:ascii="SimHei" w:hAnsi="SimHei" w:eastAsia="SimHei" w:cs="SimHei"/>
                <w:sz w:val="22"/>
                <w:szCs w:val="22"/>
                <w:spacing w:val="-4"/>
              </w:rPr>
              <w:t>开放</w:t>
            </w:r>
          </w:p>
        </w:tc>
        <w:tc>
          <w:tcPr>
            <w:tcW w:w="5400" w:type="dxa"/>
            <w:vAlign w:val="top"/>
            <w:tcBorders>
              <w:bottom w:val="single" w:color="000000" w:sz="2" w:space="0"/>
            </w:tcBorders>
          </w:tcPr>
          <w:p>
            <w:pPr>
              <w:rPr>
                <w:rFonts w:ascii="Arial"/>
                <w:sz w:val="21"/>
              </w:rPr>
            </w:pPr>
            <w:r/>
          </w:p>
        </w:tc>
      </w:tr>
    </w:tbl>
    <w:p>
      <w:pPr>
        <w:rPr>
          <w:rFonts w:ascii="Arial"/>
          <w:sz w:val="21"/>
        </w:rPr>
      </w:pPr>
      <w:r/>
    </w:p>
    <w:p>
      <w:pPr>
        <w:spacing w:line="43" w:lineRule="exact"/>
        <w:rPr/>
      </w:pPr>
      <w:r/>
    </w:p>
    <w:p>
      <w:pPr>
        <w:spacing w:line="43" w:lineRule="exact"/>
        <w:sectPr>
          <w:type w:val="continuous"/>
          <w:pgSz w:w="12240" w:h="15840"/>
          <w:pgMar w:top="1069" w:right="1170" w:bottom="0" w:left="482" w:header="0" w:footer="0" w:gutter="0"/>
          <w:cols w:equalWidth="0" w:num="1">
            <w:col w:w="10588" w:space="0"/>
          </w:cols>
        </w:sectPr>
        <w:rPr/>
      </w:pPr>
    </w:p>
    <w:p>
      <w:pPr>
        <w:pStyle w:val="BodyText"/>
        <w:ind w:left="1147" w:right="709"/>
        <w:spacing w:before="111" w:line="303" w:lineRule="auto"/>
        <w:rPr>
          <w:sz w:val="22"/>
          <w:szCs w:val="22"/>
        </w:rPr>
      </w:pPr>
      <w:r>
        <w:rPr>
          <w:sz w:val="22"/>
          <w:szCs w:val="22"/>
          <w:spacing w:val="-12"/>
        </w:rPr>
        <w:t>非国有</w:t>
      </w:r>
      <w:r>
        <w:rPr>
          <w:sz w:val="22"/>
          <w:szCs w:val="22"/>
          <w:spacing w:val="39"/>
        </w:rPr>
        <w:t xml:space="preserve">  </w:t>
      </w:r>
      <w:r>
        <w:rPr>
          <w:sz w:val="22"/>
          <w:szCs w:val="22"/>
          <w:spacing w:val="-12"/>
        </w:rPr>
        <w:t>民营或行业主办，创新灵活</w:t>
      </w:r>
      <w:r>
        <w:rPr>
          <w:sz w:val="22"/>
          <w:szCs w:val="22"/>
          <w:spacing w:val="1"/>
        </w:rPr>
        <w:t xml:space="preserve"> </w:t>
      </w:r>
      <w:r>
        <w:rPr>
          <w:sz w:val="22"/>
          <w:szCs w:val="22"/>
          <w:spacing w:val="-2"/>
        </w:rPr>
        <w:t>博物馆</w:t>
      </w:r>
    </w:p>
    <w:p>
      <w:pPr>
        <w:spacing w:line="14" w:lineRule="auto"/>
        <w:rPr>
          <w:rFonts w:ascii="Arial"/>
          <w:sz w:val="2"/>
        </w:rPr>
      </w:pPr>
      <w:r>
        <w:rPr>
          <w:rFonts w:ascii="Arial" w:hAnsi="Arial" w:eastAsia="Arial" w:cs="Arial"/>
          <w:sz w:val="2"/>
          <w:szCs w:val="2"/>
        </w:rPr>
        <w:br w:type="column"/>
      </w:r>
    </w:p>
    <w:p>
      <w:pPr>
        <w:pStyle w:val="BodyText"/>
        <w:ind w:right="2292"/>
        <w:spacing w:before="58" w:line="313" w:lineRule="auto"/>
        <w:rPr>
          <w:sz w:val="22"/>
          <w:szCs w:val="22"/>
        </w:rPr>
      </w:pPr>
      <w:r>
        <w:rPr>
          <w:sz w:val="22"/>
          <w:szCs w:val="22"/>
          <w:spacing w:val="-2"/>
        </w:rPr>
        <w:t>数字化叙事</w:t>
      </w:r>
      <w:r>
        <w:rPr>
          <w:sz w:val="22"/>
          <w:szCs w:val="22"/>
          <w:spacing w:val="-29"/>
        </w:rPr>
        <w:t xml:space="preserve"> </w:t>
      </w:r>
      <w:r>
        <w:rPr>
          <w:rFonts w:ascii="Arial" w:hAnsi="Arial" w:eastAsia="Arial" w:cs="Arial"/>
          <w:sz w:val="22"/>
          <w:szCs w:val="22"/>
          <w:spacing w:val="-2"/>
        </w:rPr>
        <w:t>(digital   narrative,</w:t>
      </w:r>
      <w:r>
        <w:rPr>
          <w:rFonts w:ascii="Arial" w:hAnsi="Arial" w:eastAsia="Arial" w:cs="Arial"/>
          <w:sz w:val="22"/>
          <w:szCs w:val="22"/>
        </w:rPr>
        <w:t xml:space="preserve"> </w:t>
      </w:r>
      <w:r>
        <w:rPr>
          <w:sz w:val="22"/>
          <w:szCs w:val="22"/>
          <w:spacing w:val="-4"/>
        </w:rPr>
        <w:t>指通过多媒体讲故事)实验性强</w:t>
      </w:r>
    </w:p>
    <w:p>
      <w:pPr>
        <w:spacing w:line="313" w:lineRule="auto"/>
        <w:sectPr>
          <w:type w:val="continuous"/>
          <w:pgSz w:w="12240" w:h="15840"/>
          <w:pgMar w:top="1069" w:right="1170" w:bottom="0" w:left="482" w:header="0" w:footer="0" w:gutter="0"/>
          <w:cols w:equalWidth="0" w:num="2">
            <w:col w:w="5278" w:space="100"/>
            <w:col w:w="5210" w:space="0"/>
          </w:cols>
        </w:sectPr>
        <w:rPr>
          <w:sz w:val="22"/>
          <w:szCs w:val="22"/>
        </w:rPr>
      </w:pPr>
    </w:p>
    <w:p>
      <w:pPr>
        <w:spacing w:line="363" w:lineRule="auto"/>
        <w:rPr>
          <w:rFonts w:ascii="Arial"/>
          <w:sz w:val="21"/>
        </w:rPr>
      </w:pPr>
      <w:r>
        <w:pict>
          <v:shape id="_x0000_s2" style="position:absolute;margin-left:22.2638pt;margin-top:-267.603pt;mso-position-vertical-relative:text;mso-position-horizontal-relative:text;width:14.75pt;height:49.7pt;z-index:251658240;" filled="false" stroked="false" type="#_x0000_t202">
            <v:fill on="false"/>
            <v:stroke on="false"/>
            <v:path/>
            <v:imagedata o:title=""/>
            <o:lock v:ext="edit" aspectratio="false"/>
            <v:textbox inset="0mm,0mm,0mm,0mm" style="layout-flow:vertical-ideographic;">
              <w:txbxContent>
                <w:p>
                  <w:pPr>
                    <w:pStyle w:val="BodyText"/>
                    <w:ind w:left="20"/>
                    <w:spacing w:before="19" w:line="208" w:lineRule="auto"/>
                    <w:rPr>
                      <w:sz w:val="22"/>
                      <w:szCs w:val="22"/>
                    </w:rPr>
                  </w:pPr>
                  <w:r>
                    <w:rPr>
                      <w:sz w:val="22"/>
                      <w:szCs w:val="22"/>
                      <w:spacing w:val="3"/>
                    </w:rPr>
                    <w:t>按</w:t>
                  </w:r>
                  <w:r>
                    <w:rPr>
                      <w:sz w:val="22"/>
                      <w:szCs w:val="22"/>
                      <w:spacing w:val="16"/>
                    </w:rPr>
                    <w:t xml:space="preserve"> </w:t>
                  </w:r>
                  <w:r>
                    <w:rPr>
                      <w:sz w:val="22"/>
                      <w:szCs w:val="22"/>
                      <w:spacing w:val="3"/>
                    </w:rPr>
                    <w:t>级</w:t>
                  </w:r>
                  <w:r>
                    <w:rPr>
                      <w:sz w:val="22"/>
                      <w:szCs w:val="22"/>
                      <w:spacing w:val="47"/>
                    </w:rPr>
                    <w:t xml:space="preserve"> </w:t>
                  </w:r>
                  <w:r>
                    <w:rPr>
                      <w:sz w:val="22"/>
                      <w:szCs w:val="22"/>
                      <w:spacing w:val="3"/>
                    </w:rPr>
                    <w:t>别</w:t>
                  </w:r>
                </w:p>
              </w:txbxContent>
            </v:textbox>
          </v:shape>
        </w:pict>
      </w:r>
      <w:r/>
    </w:p>
    <w:p>
      <w:pPr>
        <w:pStyle w:val="BodyText"/>
        <w:ind w:left="507"/>
        <w:spacing w:before="72" w:line="221" w:lineRule="auto"/>
        <w:rPr>
          <w:sz w:val="22"/>
          <w:szCs w:val="22"/>
        </w:rPr>
      </w:pPr>
      <w:r>
        <w:rPr>
          <w:sz w:val="22"/>
          <w:szCs w:val="22"/>
          <w:spacing w:val="18"/>
        </w:rPr>
        <w:t>该分类在一定程度上有助于针对性优化教育资源分配。</w:t>
      </w:r>
    </w:p>
    <w:p>
      <w:pPr>
        <w:spacing w:line="397" w:lineRule="auto"/>
        <w:rPr>
          <w:rFonts w:ascii="Arial"/>
          <w:sz w:val="21"/>
        </w:rPr>
      </w:pPr>
      <w:r/>
    </w:p>
    <w:p>
      <w:pPr>
        <w:pStyle w:val="BodyText"/>
        <w:ind w:left="511"/>
        <w:spacing w:before="98" w:line="222" w:lineRule="auto"/>
        <w:outlineLvl w:val="2"/>
        <w:rPr>
          <w:sz w:val="30"/>
          <w:szCs w:val="30"/>
        </w:rPr>
      </w:pPr>
      <w:r>
        <w:rPr>
          <w:sz w:val="30"/>
          <w:szCs w:val="30"/>
          <w:b/>
          <w:bCs/>
          <w:spacing w:val="-5"/>
        </w:rPr>
        <w:t>四、未来趋势分析</w:t>
      </w:r>
    </w:p>
    <w:p>
      <w:pPr>
        <w:pStyle w:val="BodyText"/>
        <w:ind w:left="660"/>
        <w:spacing w:before="207" w:line="222" w:lineRule="auto"/>
        <w:outlineLvl w:val="4"/>
        <w:rPr>
          <w:sz w:val="22"/>
          <w:szCs w:val="22"/>
        </w:rPr>
      </w:pPr>
      <w:r>
        <w:rPr>
          <w:sz w:val="22"/>
          <w:szCs w:val="22"/>
          <w:b/>
          <w:bCs/>
          <w:spacing w:val="17"/>
        </w:rPr>
        <w:t>(</w:t>
      </w:r>
      <w:r>
        <w:rPr>
          <w:sz w:val="22"/>
          <w:szCs w:val="22"/>
          <w:spacing w:val="-32"/>
        </w:rPr>
        <w:t xml:space="preserve"> </w:t>
      </w:r>
      <w:r>
        <w:rPr>
          <w:sz w:val="22"/>
          <w:szCs w:val="22"/>
          <w:b/>
          <w:bCs/>
          <w:spacing w:val="17"/>
        </w:rPr>
        <w:t>一)科技应用趋势</w:t>
      </w:r>
    </w:p>
    <w:p>
      <w:pPr>
        <w:pStyle w:val="BodyText"/>
        <w:ind w:left="1146" w:right="88" w:hanging="289"/>
        <w:spacing w:before="224" w:line="345" w:lineRule="auto"/>
        <w:rPr>
          <w:sz w:val="22"/>
          <w:szCs w:val="22"/>
        </w:rPr>
      </w:pPr>
      <w:r>
        <w:rPr>
          <w:rFonts w:ascii="Times New Roman" w:hAnsi="Times New Roman" w:eastAsia="Times New Roman" w:cs="Times New Roman"/>
          <w:sz w:val="22"/>
          <w:szCs w:val="22"/>
          <w:spacing w:val="21"/>
        </w:rPr>
        <w:t>1.</w:t>
      </w:r>
      <w:r>
        <w:rPr>
          <w:rFonts w:ascii="Times New Roman" w:hAnsi="Times New Roman" w:eastAsia="Times New Roman" w:cs="Times New Roman"/>
          <w:sz w:val="22"/>
          <w:szCs w:val="22"/>
          <w:spacing w:val="2"/>
        </w:rPr>
        <w:t xml:space="preserve">   </w:t>
      </w:r>
      <w:r>
        <w:rPr>
          <w:sz w:val="22"/>
          <w:szCs w:val="22"/>
          <w:spacing w:val="21"/>
        </w:rPr>
        <w:t>虚拟现实/增强现实</w:t>
      </w:r>
      <w:r>
        <w:rPr>
          <w:sz w:val="22"/>
          <w:szCs w:val="22"/>
          <w:spacing w:val="21"/>
        </w:rPr>
        <w:t xml:space="preserve"> </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rPr>
        <w:t>AR</w:t>
      </w:r>
      <w:r>
        <w:rPr>
          <w:rFonts w:ascii="Times New Roman" w:hAnsi="Times New Roman" w:eastAsia="Times New Roman" w:cs="Times New Roman"/>
          <w:sz w:val="22"/>
          <w:szCs w:val="22"/>
          <w:spacing w:val="21"/>
        </w:rPr>
        <w:t>)    </w:t>
      </w:r>
      <w:r>
        <w:rPr>
          <w:sz w:val="22"/>
          <w:szCs w:val="22"/>
          <w:spacing w:val="21"/>
        </w:rPr>
        <w:t>优势分析：据相关趋势报告(2024-</w:t>
      </w:r>
      <w:r>
        <w:rPr>
          <w:sz w:val="22"/>
          <w:szCs w:val="22"/>
          <w:spacing w:val="-66"/>
        </w:rPr>
        <w:t xml:space="preserve"> </w:t>
      </w:r>
      <w:r>
        <w:rPr>
          <w:sz w:val="22"/>
          <w:szCs w:val="22"/>
          <w:spacing w:val="21"/>
        </w:rPr>
        <w:t>20</w:t>
      </w:r>
      <w:r>
        <w:rPr>
          <w:sz w:val="22"/>
          <w:szCs w:val="22"/>
          <w:spacing w:val="20"/>
        </w:rPr>
        <w:t>25)指出，</w:t>
      </w:r>
      <w:r>
        <w:rPr>
          <w:sz w:val="22"/>
          <w:szCs w:val="22"/>
          <w:spacing w:val="-10"/>
        </w:rPr>
        <w:t xml:space="preserve"> </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20"/>
        </w:rPr>
        <w:t>/</w:t>
      </w:r>
      <w:r>
        <w:rPr>
          <w:rFonts w:ascii="Times New Roman" w:hAnsi="Times New Roman" w:eastAsia="Times New Roman" w:cs="Times New Roman"/>
          <w:sz w:val="22"/>
          <w:szCs w:val="22"/>
        </w:rPr>
        <w:t>AR </w:t>
      </w:r>
      <w:r>
        <w:rPr>
          <w:sz w:val="22"/>
          <w:szCs w:val="22"/>
          <w:spacing w:val="19"/>
        </w:rPr>
        <w:t>可提供沉浸式体验，支持跨学科学习和远程访问</w:t>
      </w:r>
      <w:r>
        <w:rPr>
          <w:sz w:val="22"/>
          <w:szCs w:val="22"/>
          <w:spacing w:val="18"/>
        </w:rPr>
        <w:t>，在一定程度上提升社会包容性。</w:t>
      </w:r>
    </w:p>
    <w:p>
      <w:pPr>
        <w:pStyle w:val="BodyText"/>
        <w:ind w:left="1147"/>
        <w:spacing w:before="11" w:line="213" w:lineRule="auto"/>
        <w:rPr>
          <w:sz w:val="22"/>
          <w:szCs w:val="22"/>
        </w:rPr>
      </w:pPr>
      <w:r>
        <w:rPr>
          <w:sz w:val="22"/>
          <w:szCs w:val="22"/>
          <w:spacing w:val="18"/>
        </w:rPr>
        <w:t>潜在局限：技术成本较高，可能存在数字鸿沟挑战。</w:t>
      </w:r>
    </w:p>
    <w:p>
      <w:pPr>
        <w:pStyle w:val="BodyText"/>
        <w:ind w:left="1147"/>
        <w:spacing w:before="186" w:line="221" w:lineRule="auto"/>
        <w:rPr>
          <w:sz w:val="22"/>
          <w:szCs w:val="22"/>
        </w:rPr>
      </w:pPr>
      <w:r>
        <w:rPr>
          <w:sz w:val="22"/>
          <w:szCs w:val="22"/>
          <w:spacing w:val="19"/>
        </w:rPr>
        <w:t>适用条件：建议可考虑在大型博物馆或教育资源丰富的场馆优先应用。</w:t>
      </w:r>
    </w:p>
    <w:p>
      <w:pPr>
        <w:pStyle w:val="BodyText"/>
        <w:ind w:left="1146" w:right="41" w:hanging="289"/>
        <w:spacing w:before="235" w:line="370" w:lineRule="auto"/>
        <w:rPr>
          <w:sz w:val="22"/>
          <w:szCs w:val="22"/>
        </w:rPr>
      </w:pPr>
      <w:r>
        <w:rPr>
          <w:rFonts w:ascii="Arial" w:hAnsi="Arial" w:eastAsia="Arial" w:cs="Arial"/>
          <w:sz w:val="22"/>
          <w:szCs w:val="22"/>
          <w:spacing w:val="16"/>
        </w:rPr>
        <w:t>2.  </w:t>
      </w:r>
      <w:r>
        <w:rPr>
          <w:sz w:val="22"/>
          <w:szCs w:val="22"/>
          <w:spacing w:val="16"/>
        </w:rPr>
        <w:t>人工智能</w:t>
      </w:r>
      <w:r>
        <w:rPr>
          <w:sz w:val="22"/>
          <w:szCs w:val="22"/>
          <w:spacing w:val="-13"/>
        </w:rPr>
        <w:t xml:space="preserve"> </w:t>
      </w:r>
      <w:r>
        <w:rPr>
          <w:rFonts w:ascii="Arial" w:hAnsi="Arial" w:eastAsia="Arial" w:cs="Arial"/>
          <w:sz w:val="22"/>
          <w:szCs w:val="22"/>
          <w:spacing w:val="16"/>
        </w:rPr>
        <w:t>(</w:t>
      </w:r>
      <w:r>
        <w:rPr>
          <w:rFonts w:ascii="Arial" w:hAnsi="Arial" w:eastAsia="Arial" w:cs="Arial"/>
          <w:sz w:val="22"/>
          <w:szCs w:val="22"/>
        </w:rPr>
        <w:t>AI</w:t>
      </w:r>
      <w:r>
        <w:rPr>
          <w:rFonts w:ascii="Arial" w:hAnsi="Arial" w:eastAsia="Arial" w:cs="Arial"/>
          <w:sz w:val="22"/>
          <w:szCs w:val="22"/>
          <w:spacing w:val="16"/>
        </w:rPr>
        <w:t>)</w:t>
      </w:r>
      <w:r>
        <w:rPr>
          <w:rFonts w:ascii="Arial" w:hAnsi="Arial" w:eastAsia="Arial" w:cs="Arial"/>
          <w:sz w:val="22"/>
          <w:szCs w:val="22"/>
          <w:spacing w:val="3"/>
        </w:rPr>
        <w:t xml:space="preserve">    </w:t>
      </w:r>
      <w:r>
        <w:rPr>
          <w:sz w:val="22"/>
          <w:szCs w:val="22"/>
          <w:spacing w:val="16"/>
        </w:rPr>
        <w:t>优势分析：</w:t>
      </w:r>
      <w:r>
        <w:rPr>
          <w:sz w:val="22"/>
          <w:szCs w:val="22"/>
          <w:spacing w:val="16"/>
        </w:rPr>
        <w:t xml:space="preserve"> </w:t>
      </w:r>
      <w:r>
        <w:rPr>
          <w:rFonts w:ascii="Arial" w:hAnsi="Arial" w:eastAsia="Arial" w:cs="Arial"/>
          <w:sz w:val="22"/>
          <w:szCs w:val="22"/>
        </w:rPr>
        <w:t>AI</w:t>
      </w:r>
      <w:r>
        <w:rPr>
          <w:sz w:val="22"/>
          <w:szCs w:val="22"/>
          <w:spacing w:val="16"/>
        </w:rPr>
        <w:t>可实现个性化</w:t>
      </w:r>
      <w:r>
        <w:rPr>
          <w:sz w:val="22"/>
          <w:szCs w:val="22"/>
          <w:spacing w:val="15"/>
        </w:rPr>
        <w:t>导览和数字化叙事，通常而言通过大数据分析</w:t>
      </w:r>
      <w:r>
        <w:rPr>
          <w:sz w:val="22"/>
          <w:szCs w:val="22"/>
          <w:spacing w:val="3"/>
        </w:rPr>
        <w:t xml:space="preserve"> </w:t>
      </w:r>
      <w:r>
        <w:rPr>
          <w:sz w:val="22"/>
          <w:szCs w:val="22"/>
          <w:spacing w:val="12"/>
        </w:rPr>
        <w:t>优化观众研究。</w:t>
      </w:r>
    </w:p>
    <w:p>
      <w:pPr>
        <w:pStyle w:val="BodyText"/>
        <w:ind w:left="1147"/>
        <w:spacing w:before="1" w:line="220" w:lineRule="auto"/>
        <w:rPr>
          <w:sz w:val="22"/>
          <w:szCs w:val="22"/>
        </w:rPr>
      </w:pPr>
      <w:r>
        <w:rPr>
          <w:sz w:val="22"/>
          <w:szCs w:val="22"/>
          <w:spacing w:val="18"/>
        </w:rPr>
        <w:t>潜在局限：隐私保护和算法偏见可能存在挑战。</w:t>
      </w:r>
    </w:p>
    <w:p>
      <w:pPr>
        <w:pStyle w:val="BodyText"/>
        <w:ind w:left="1147"/>
        <w:spacing w:before="147" w:line="213" w:lineRule="auto"/>
        <w:rPr>
          <w:sz w:val="22"/>
          <w:szCs w:val="22"/>
        </w:rPr>
      </w:pPr>
      <w:r>
        <w:rPr>
          <w:sz w:val="22"/>
          <w:szCs w:val="22"/>
          <w:spacing w:val="19"/>
        </w:rPr>
        <w:t>适用条件：适用于观众流量大的博物馆，结合伦理指</w:t>
      </w:r>
      <w:r>
        <w:rPr>
          <w:sz w:val="22"/>
          <w:szCs w:val="22"/>
          <w:spacing w:val="18"/>
        </w:rPr>
        <w:t>南实施。</w:t>
      </w:r>
    </w:p>
    <w:p>
      <w:pPr>
        <w:pStyle w:val="BodyText"/>
        <w:ind w:left="857"/>
        <w:spacing w:before="275" w:line="221" w:lineRule="auto"/>
        <w:rPr>
          <w:sz w:val="22"/>
          <w:szCs w:val="22"/>
        </w:rPr>
      </w:pPr>
      <w:r>
        <w:rPr>
          <w:rFonts w:ascii="SimSun" w:hAnsi="SimSun" w:eastAsia="SimSun" w:cs="SimSun"/>
          <w:sz w:val="22"/>
          <w:szCs w:val="22"/>
          <w:spacing w:val="16"/>
        </w:rPr>
        <w:t>3. </w:t>
      </w:r>
      <w:r>
        <w:rPr>
          <w:sz w:val="22"/>
          <w:szCs w:val="22"/>
          <w:spacing w:val="16"/>
        </w:rPr>
        <w:t>大数据优势分析：支持精准观众研究和教育效果评估。</w:t>
      </w:r>
    </w:p>
    <w:p>
      <w:pPr>
        <w:pStyle w:val="BodyText"/>
        <w:ind w:left="1147"/>
        <w:spacing w:before="158" w:line="213" w:lineRule="auto"/>
        <w:rPr>
          <w:sz w:val="22"/>
          <w:szCs w:val="22"/>
        </w:rPr>
      </w:pPr>
      <w:r>
        <w:rPr>
          <w:sz w:val="22"/>
          <w:szCs w:val="22"/>
          <w:spacing w:val="14"/>
        </w:rPr>
        <w:t>潜在局限：</w:t>
      </w:r>
      <w:r>
        <w:rPr>
          <w:sz w:val="22"/>
          <w:szCs w:val="22"/>
          <w:spacing w:val="14"/>
        </w:rPr>
        <w:t xml:space="preserve"> </w:t>
      </w:r>
      <w:r>
        <w:rPr>
          <w:sz w:val="22"/>
          <w:szCs w:val="22"/>
          <w:spacing w:val="14"/>
        </w:rPr>
        <w:t>数据处理能力要求高，小型馆可能面临资源不足。</w:t>
      </w:r>
    </w:p>
    <w:p>
      <w:pPr>
        <w:pStyle w:val="BodyText"/>
        <w:ind w:left="1147"/>
        <w:spacing w:before="176" w:line="187" w:lineRule="auto"/>
        <w:rPr>
          <w:sz w:val="22"/>
          <w:szCs w:val="22"/>
        </w:rPr>
      </w:pPr>
      <w:r>
        <w:rPr>
          <w:sz w:val="22"/>
          <w:szCs w:val="22"/>
          <w:spacing w:val="18"/>
        </w:rPr>
        <w:t>适用条件：建议可考虑与平台合作，逐步推广。</w:t>
      </w:r>
    </w:p>
    <w:p>
      <w:pPr>
        <w:spacing w:line="187" w:lineRule="auto"/>
        <w:sectPr>
          <w:type w:val="continuous"/>
          <w:pgSz w:w="12240" w:h="15840"/>
          <w:pgMar w:top="1069" w:right="1170" w:bottom="0" w:left="482" w:header="0" w:footer="0" w:gutter="0"/>
          <w:cols w:equalWidth="0" w:num="1">
            <w:col w:w="10588" w:space="0"/>
          </w:cols>
        </w:sectPr>
        <w:rPr>
          <w:sz w:val="22"/>
          <w:szCs w:val="22"/>
        </w:rPr>
      </w:pPr>
    </w:p>
    <w:p>
      <w:pPr>
        <w:pStyle w:val="BodyText"/>
        <w:spacing w:before="44" w:line="221" w:lineRule="auto"/>
        <w:rPr>
          <w:sz w:val="22"/>
          <w:szCs w:val="22"/>
        </w:rPr>
      </w:pPr>
      <w:r>
        <w:rPr>
          <w:sz w:val="22"/>
          <w:szCs w:val="22"/>
          <w:spacing w:val="14"/>
        </w:rPr>
        <w:t>以下表格分解科技应用要素：</w:t>
      </w:r>
    </w:p>
    <w:p>
      <w:pPr>
        <w:spacing w:line="274" w:lineRule="auto"/>
        <w:rPr>
          <w:rFonts w:ascii="Arial"/>
          <w:sz w:val="21"/>
        </w:rPr>
      </w:pPr>
      <w:r/>
    </w:p>
    <w:p>
      <w:pPr>
        <w:pStyle w:val="BodyText"/>
        <w:ind w:left="3"/>
        <w:spacing w:before="71" w:line="226" w:lineRule="auto"/>
        <w:rPr>
          <w:sz w:val="22"/>
          <w:szCs w:val="22"/>
        </w:rPr>
      </w:pPr>
      <w:r>
        <w:rPr>
          <w:sz w:val="22"/>
          <w:szCs w:val="22"/>
          <w:b/>
          <w:bCs/>
          <w:spacing w:val="-5"/>
        </w:rPr>
        <w:t>科技类型</w:t>
      </w:r>
      <w:r>
        <w:rPr>
          <w:sz w:val="22"/>
          <w:szCs w:val="22"/>
          <w:spacing w:val="-5"/>
        </w:rPr>
        <w:t xml:space="preserve">  </w:t>
      </w:r>
      <w:r>
        <w:rPr>
          <w:sz w:val="22"/>
          <w:szCs w:val="22"/>
          <w:b/>
          <w:bCs/>
          <w:spacing w:val="-5"/>
        </w:rPr>
        <w:t>核心功能</w:t>
      </w:r>
      <w:r>
        <w:rPr>
          <w:sz w:val="22"/>
          <w:szCs w:val="22"/>
          <w:spacing w:val="21"/>
        </w:rPr>
        <w:t xml:space="preserve">     </w:t>
      </w:r>
      <w:r>
        <w:rPr>
          <w:sz w:val="22"/>
          <w:szCs w:val="22"/>
          <w:b/>
          <w:bCs/>
          <w:spacing w:val="-5"/>
        </w:rPr>
        <w:t>优势</w:t>
      </w:r>
      <w:r>
        <w:rPr>
          <w:sz w:val="22"/>
          <w:szCs w:val="22"/>
          <w:spacing w:val="-5"/>
        </w:rPr>
        <w:t xml:space="preserve">                </w:t>
      </w:r>
      <w:r>
        <w:rPr>
          <w:sz w:val="22"/>
          <w:szCs w:val="22"/>
          <w:b/>
          <w:bCs/>
          <w:spacing w:val="-5"/>
        </w:rPr>
        <w:t>局限</w:t>
      </w:r>
      <w:r>
        <w:rPr>
          <w:sz w:val="22"/>
          <w:szCs w:val="22"/>
          <w:spacing w:val="-5"/>
        </w:rPr>
        <w:t xml:space="preserve">              </w:t>
      </w:r>
      <w:r>
        <w:rPr>
          <w:sz w:val="22"/>
          <w:szCs w:val="22"/>
          <w:b/>
          <w:bCs/>
          <w:spacing w:val="-5"/>
        </w:rPr>
        <w:t>适用博物</w:t>
      </w:r>
      <w:r>
        <w:rPr>
          <w:sz w:val="22"/>
          <w:szCs w:val="22"/>
          <w:b/>
          <w:bCs/>
          <w:spacing w:val="-6"/>
        </w:rPr>
        <w:t>馆类型</w:t>
      </w:r>
    </w:p>
    <w:p>
      <w:pPr>
        <w:spacing w:line="257" w:lineRule="auto"/>
        <w:rPr>
          <w:rFonts w:ascii="Arial"/>
          <w:sz w:val="21"/>
        </w:rPr>
      </w:pPr>
      <w:r/>
    </w:p>
    <w:p>
      <w:pPr>
        <w:pStyle w:val="BodyText"/>
        <w:spacing w:before="71" w:line="229" w:lineRule="auto"/>
        <w:rPr>
          <w:sz w:val="22"/>
          <w:szCs w:val="22"/>
        </w:rPr>
      </w:pPr>
      <w:r>
        <w:rPr>
          <w:rFonts w:ascii="Arial" w:hAnsi="Arial" w:eastAsia="Arial" w:cs="Arial"/>
          <w:sz w:val="22"/>
          <w:szCs w:val="22"/>
          <w:spacing w:val="-7"/>
        </w:rPr>
        <w:t>VR/AR        </w:t>
      </w:r>
      <w:r>
        <w:rPr>
          <w:sz w:val="22"/>
          <w:szCs w:val="22"/>
          <w:spacing w:val="-7"/>
          <w:position w:val="1"/>
        </w:rPr>
        <w:t>沉浸式展览</w:t>
      </w:r>
      <w:r>
        <w:rPr>
          <w:sz w:val="22"/>
          <w:szCs w:val="22"/>
          <w:spacing w:val="-7"/>
          <w:position w:val="1"/>
        </w:rPr>
        <w:t xml:space="preserve">    </w:t>
      </w:r>
      <w:r>
        <w:rPr>
          <w:sz w:val="22"/>
          <w:szCs w:val="22"/>
          <w:spacing w:val="-7"/>
          <w:position w:val="1"/>
        </w:rPr>
        <w:t>提升互动、远程学习</w:t>
      </w:r>
      <w:r>
        <w:rPr>
          <w:sz w:val="22"/>
          <w:szCs w:val="22"/>
          <w:spacing w:val="-7"/>
          <w:position w:val="1"/>
        </w:rPr>
        <w:t xml:space="preserve">  </w:t>
      </w:r>
      <w:r>
        <w:rPr>
          <w:sz w:val="22"/>
          <w:szCs w:val="22"/>
          <w:spacing w:val="-7"/>
        </w:rPr>
        <w:t>高成本、设备依赖</w:t>
      </w:r>
      <w:r>
        <w:rPr>
          <w:sz w:val="22"/>
          <w:szCs w:val="22"/>
          <w:spacing w:val="23"/>
        </w:rPr>
        <w:t xml:space="preserve">  </w:t>
      </w:r>
      <w:r>
        <w:rPr>
          <w:sz w:val="22"/>
          <w:szCs w:val="22"/>
          <w:spacing w:val="-7"/>
        </w:rPr>
        <w:t>一级/国有大型馆</w:t>
      </w:r>
    </w:p>
    <w:p>
      <w:pPr>
        <w:spacing w:line="29" w:lineRule="exact"/>
        <w:rPr/>
      </w:pPr>
      <w:r/>
    </w:p>
    <w:tbl>
      <w:tblPr>
        <w:tblStyle w:val="TableNormal"/>
        <w:tblW w:w="865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8"/>
        <w:gridCol w:w="5536"/>
        <w:gridCol w:w="2516"/>
      </w:tblGrid>
      <w:tr>
        <w:trPr>
          <w:trHeight w:val="609" w:hRule="atLeast"/>
        </w:trPr>
        <w:tc>
          <w:tcPr>
            <w:tcW w:w="598" w:type="dxa"/>
            <w:vAlign w:val="top"/>
            <w:tcBorders>
              <w:bottom w:val="single" w:color="000000" w:sz="2" w:space="0"/>
              <w:top w:val="single" w:color="000000" w:sz="2" w:space="0"/>
            </w:tcBorders>
          </w:tcPr>
          <w:p>
            <w:pPr>
              <w:spacing w:line="260" w:lineRule="auto"/>
              <w:rPr>
                <w:rFonts w:ascii="Arial"/>
                <w:sz w:val="21"/>
              </w:rPr>
            </w:pPr>
            <w:r/>
          </w:p>
          <w:p>
            <w:pPr>
              <w:spacing w:before="63" w:line="196" w:lineRule="auto"/>
              <w:rPr>
                <w:rFonts w:ascii="Arial" w:hAnsi="Arial" w:eastAsia="Arial" w:cs="Arial"/>
                <w:sz w:val="22"/>
                <w:szCs w:val="22"/>
              </w:rPr>
            </w:pPr>
            <w:r>
              <w:rPr>
                <w:rFonts w:ascii="Arial" w:hAnsi="Arial" w:eastAsia="Arial" w:cs="Arial"/>
                <w:sz w:val="22"/>
                <w:szCs w:val="22"/>
                <w:spacing w:val="-1"/>
              </w:rPr>
              <w:t>Al</w:t>
            </w:r>
          </w:p>
        </w:tc>
        <w:tc>
          <w:tcPr>
            <w:tcW w:w="5536" w:type="dxa"/>
            <w:vAlign w:val="top"/>
            <w:tcBorders>
              <w:bottom w:val="single" w:color="000000" w:sz="2" w:space="0"/>
              <w:top w:val="single" w:color="000000" w:sz="2" w:space="0"/>
            </w:tcBorders>
          </w:tcPr>
          <w:p>
            <w:pPr>
              <w:ind w:left="511"/>
              <w:spacing w:before="282" w:line="237" w:lineRule="auto"/>
              <w:rPr>
                <w:rFonts w:ascii="SimHei" w:hAnsi="SimHei" w:eastAsia="SimHei" w:cs="SimHei"/>
                <w:sz w:val="22"/>
                <w:szCs w:val="22"/>
              </w:rPr>
            </w:pPr>
            <w:r>
              <w:rPr>
                <w:rFonts w:ascii="SimHei" w:hAnsi="SimHei" w:eastAsia="SimHei" w:cs="SimHei"/>
                <w:sz w:val="22"/>
                <w:szCs w:val="22"/>
                <w:spacing w:val="-5"/>
              </w:rPr>
              <w:t>个性化导览</w:t>
            </w:r>
            <w:r>
              <w:rPr>
                <w:rFonts w:ascii="SimHei" w:hAnsi="SimHei" w:eastAsia="SimHei" w:cs="SimHei"/>
                <w:sz w:val="22"/>
                <w:szCs w:val="22"/>
                <w:spacing w:val="-5"/>
              </w:rPr>
              <w:t xml:space="preserve">    </w:t>
            </w:r>
            <w:r>
              <w:rPr>
                <w:rFonts w:ascii="SimHei" w:hAnsi="SimHei" w:eastAsia="SimHei" w:cs="SimHei"/>
                <w:sz w:val="22"/>
                <w:szCs w:val="22"/>
                <w:spacing w:val="-5"/>
              </w:rPr>
              <w:t>精准服务、效率高</w:t>
            </w:r>
            <w:r>
              <w:rPr>
                <w:rFonts w:ascii="SimHei" w:hAnsi="SimHei" w:eastAsia="SimHei" w:cs="SimHei"/>
                <w:sz w:val="22"/>
                <w:szCs w:val="22"/>
                <w:spacing w:val="-5"/>
              </w:rPr>
              <w:t xml:space="preserve">    </w:t>
            </w:r>
            <w:r>
              <w:rPr>
                <w:rFonts w:ascii="SimHei" w:hAnsi="SimHei" w:eastAsia="SimHei" w:cs="SimHei"/>
                <w:sz w:val="22"/>
                <w:szCs w:val="22"/>
                <w:spacing w:val="-5"/>
              </w:rPr>
              <w:t>隐私风险</w:t>
            </w:r>
          </w:p>
        </w:tc>
        <w:tc>
          <w:tcPr>
            <w:tcW w:w="2516" w:type="dxa"/>
            <w:vAlign w:val="top"/>
            <w:tcBorders>
              <w:bottom w:val="single" w:color="000000" w:sz="2" w:space="0"/>
              <w:top w:val="single" w:color="000000" w:sz="2" w:space="0"/>
            </w:tcBorders>
          </w:tcPr>
          <w:p>
            <w:pPr>
              <w:ind w:left="535"/>
              <w:spacing w:before="285" w:line="224" w:lineRule="auto"/>
              <w:rPr>
                <w:rFonts w:ascii="SimHei" w:hAnsi="SimHei" w:eastAsia="SimHei" w:cs="SimHei"/>
                <w:sz w:val="22"/>
                <w:szCs w:val="22"/>
              </w:rPr>
            </w:pPr>
            <w:r>
              <w:rPr>
                <w:rFonts w:ascii="SimHei" w:hAnsi="SimHei" w:eastAsia="SimHei" w:cs="SimHei"/>
                <w:sz w:val="22"/>
                <w:szCs w:val="22"/>
                <w:spacing w:val="-5"/>
              </w:rPr>
              <w:t>中大型馆</w:t>
            </w:r>
          </w:p>
        </w:tc>
      </w:tr>
    </w:tbl>
    <w:p>
      <w:pPr>
        <w:pStyle w:val="BodyText"/>
        <w:spacing w:before="287" w:line="231" w:lineRule="auto"/>
        <w:rPr>
          <w:sz w:val="22"/>
          <w:szCs w:val="22"/>
        </w:rPr>
      </w:pPr>
      <w:r>
        <w:rPr>
          <w:sz w:val="22"/>
          <w:szCs w:val="22"/>
          <w:spacing w:val="-2"/>
        </w:rPr>
        <w:t>大数据</w:t>
      </w:r>
      <w:r>
        <w:rPr>
          <w:sz w:val="22"/>
          <w:szCs w:val="22"/>
          <w:spacing w:val="-2"/>
        </w:rPr>
        <w:t xml:space="preserve">    </w:t>
      </w:r>
      <w:r>
        <w:rPr>
          <w:sz w:val="22"/>
          <w:szCs w:val="22"/>
          <w:spacing w:val="-2"/>
        </w:rPr>
        <w:t>观众行为分析</w:t>
      </w:r>
      <w:r>
        <w:rPr>
          <w:sz w:val="22"/>
          <w:szCs w:val="22"/>
          <w:spacing w:val="-2"/>
        </w:rPr>
        <w:t xml:space="preserve">  </w:t>
      </w:r>
      <w:r>
        <w:rPr>
          <w:sz w:val="22"/>
          <w:szCs w:val="22"/>
          <w:spacing w:val="-2"/>
        </w:rPr>
        <w:t>优化教育设计</w:t>
      </w:r>
      <w:r>
        <w:rPr>
          <w:sz w:val="22"/>
          <w:szCs w:val="22"/>
          <w:spacing w:val="-2"/>
        </w:rPr>
        <w:t xml:space="preserve">        </w:t>
      </w:r>
      <w:r>
        <w:rPr>
          <w:sz w:val="22"/>
          <w:szCs w:val="22"/>
          <w:spacing w:val="-2"/>
        </w:rPr>
        <w:t>技术门槛</w:t>
      </w:r>
      <w:r>
        <w:rPr>
          <w:sz w:val="22"/>
          <w:szCs w:val="22"/>
          <w:spacing w:val="-2"/>
        </w:rPr>
        <w:t xml:space="preserve">          </w:t>
      </w:r>
      <w:r>
        <w:rPr>
          <w:sz w:val="22"/>
          <w:szCs w:val="22"/>
          <w:spacing w:val="-2"/>
          <w:position w:val="1"/>
        </w:rPr>
        <w:t>所有级别(合作)</w:t>
      </w:r>
    </w:p>
    <w:p>
      <w:pPr>
        <w:spacing w:line="264" w:lineRule="auto"/>
        <w:rPr>
          <w:rFonts w:ascii="Arial"/>
          <w:sz w:val="21"/>
        </w:rPr>
      </w:pPr>
      <w:r/>
    </w:p>
    <w:p>
      <w:pPr>
        <w:spacing w:line="265" w:lineRule="auto"/>
        <w:rPr>
          <w:rFonts w:ascii="Arial"/>
          <w:sz w:val="21"/>
        </w:rPr>
      </w:pPr>
      <w:r/>
    </w:p>
    <w:p>
      <w:pPr>
        <w:pStyle w:val="BodyText"/>
        <w:ind w:left="173"/>
        <w:spacing w:before="72" w:line="223" w:lineRule="auto"/>
        <w:outlineLvl w:val="4"/>
        <w:rPr>
          <w:sz w:val="22"/>
          <w:szCs w:val="22"/>
        </w:rPr>
      </w:pPr>
      <w:r>
        <w:rPr>
          <w:sz w:val="22"/>
          <w:szCs w:val="22"/>
          <w:b/>
          <w:bCs/>
          <w:spacing w:val="25"/>
        </w:rPr>
        <w:t>(二)教育理念趋势</w:t>
      </w:r>
    </w:p>
    <w:p>
      <w:pPr>
        <w:pStyle w:val="BodyText"/>
        <w:ind w:right="2"/>
        <w:spacing w:before="247" w:line="361" w:lineRule="auto"/>
        <w:rPr>
          <w:sz w:val="22"/>
          <w:szCs w:val="22"/>
        </w:rPr>
      </w:pPr>
      <w:r>
        <w:rPr>
          <w:rFonts w:ascii="SimSun" w:hAnsi="SimSun" w:eastAsia="SimSun" w:cs="SimSun"/>
          <w:sz w:val="22"/>
          <w:szCs w:val="22"/>
        </w:rPr>
        <w:t>STEAM</w:t>
      </w:r>
      <w:r>
        <w:rPr>
          <w:rFonts w:ascii="SimSun" w:hAnsi="SimSun" w:eastAsia="SimSun" w:cs="SimSun"/>
          <w:sz w:val="22"/>
          <w:szCs w:val="22"/>
          <w:spacing w:val="24"/>
        </w:rPr>
        <w:t xml:space="preserve">  </w:t>
      </w:r>
      <w:r>
        <w:rPr>
          <w:sz w:val="22"/>
          <w:szCs w:val="22"/>
          <w:spacing w:val="24"/>
        </w:rPr>
        <w:t>和终身学习将成为主流。据</w:t>
      </w:r>
      <w:r>
        <w:rPr>
          <w:rFonts w:ascii="SimSun" w:hAnsi="SimSun" w:eastAsia="SimSun" w:cs="SimSun"/>
          <w:sz w:val="22"/>
          <w:szCs w:val="22"/>
        </w:rPr>
        <w:t>UNESCO</w:t>
      </w:r>
      <w:r>
        <w:rPr>
          <w:rFonts w:ascii="SimSun" w:hAnsi="SimSun" w:eastAsia="SimSun" w:cs="SimSun"/>
          <w:sz w:val="22"/>
          <w:szCs w:val="22"/>
          <w:spacing w:val="24"/>
        </w:rPr>
        <w:t xml:space="preserve">   </w:t>
      </w:r>
      <w:r>
        <w:rPr>
          <w:sz w:val="22"/>
          <w:szCs w:val="22"/>
          <w:spacing w:val="24"/>
        </w:rPr>
        <w:t>框架及</w:t>
      </w:r>
      <w:r>
        <w:rPr>
          <w:rFonts w:ascii="SimSun" w:hAnsi="SimSun" w:eastAsia="SimSun" w:cs="SimSun"/>
          <w:sz w:val="22"/>
          <w:szCs w:val="22"/>
        </w:rPr>
        <w:t>AAM</w:t>
      </w:r>
      <w:r>
        <w:rPr>
          <w:rFonts w:ascii="SimSun" w:hAnsi="SimSun" w:eastAsia="SimSun" w:cs="SimSun"/>
          <w:sz w:val="22"/>
          <w:szCs w:val="22"/>
          <w:spacing w:val="24"/>
        </w:rPr>
        <w:t xml:space="preserve">  </w:t>
      </w:r>
      <w:r>
        <w:rPr>
          <w:sz w:val="22"/>
          <w:szCs w:val="22"/>
          <w:spacing w:val="24"/>
        </w:rPr>
        <w:t>调查(2024)表明，这些理念在</w:t>
      </w:r>
      <w:r>
        <w:rPr>
          <w:sz w:val="22"/>
          <w:szCs w:val="22"/>
          <w:spacing w:val="-52"/>
        </w:rPr>
        <w:t xml:space="preserve"> </w:t>
      </w:r>
      <w:r>
        <w:rPr>
          <w:sz w:val="22"/>
          <w:szCs w:val="22"/>
          <w:spacing w:val="24"/>
        </w:rPr>
        <w:t>一</w:t>
      </w:r>
      <w:r>
        <w:rPr>
          <w:sz w:val="22"/>
          <w:szCs w:val="22"/>
          <w:spacing w:val="-66"/>
        </w:rPr>
        <w:t xml:space="preserve"> </w:t>
      </w:r>
      <w:r>
        <w:rPr>
          <w:sz w:val="22"/>
          <w:szCs w:val="22"/>
          <w:spacing w:val="24"/>
        </w:rPr>
        <w:t>定程</w:t>
      </w:r>
      <w:r>
        <w:rPr>
          <w:sz w:val="22"/>
          <w:szCs w:val="22"/>
        </w:rPr>
        <w:t xml:space="preserve"> </w:t>
      </w:r>
      <w:r>
        <w:rPr>
          <w:sz w:val="22"/>
          <w:szCs w:val="22"/>
          <w:spacing w:val="20"/>
        </w:rPr>
        <w:t>度上促进创新思维和社会包容性，但可能存在实施标准化挑战，建议可考虑结合本地文化逐步推</w:t>
      </w:r>
      <w:r>
        <w:rPr>
          <w:sz w:val="22"/>
          <w:szCs w:val="22"/>
          <w:spacing w:val="8"/>
        </w:rPr>
        <w:t xml:space="preserve">  </w:t>
      </w:r>
      <w:r>
        <w:rPr>
          <w:sz w:val="22"/>
          <w:szCs w:val="22"/>
          <w:spacing w:val="5"/>
        </w:rPr>
        <w:t>进。</w:t>
      </w:r>
    </w:p>
    <w:p>
      <w:pPr>
        <w:pStyle w:val="BodyText"/>
        <w:ind w:left="4"/>
        <w:spacing w:before="296" w:line="222" w:lineRule="auto"/>
        <w:outlineLvl w:val="2"/>
        <w:rPr>
          <w:sz w:val="30"/>
          <w:szCs w:val="30"/>
        </w:rPr>
      </w:pPr>
      <w:r>
        <w:rPr>
          <w:sz w:val="30"/>
          <w:szCs w:val="30"/>
          <w:b/>
          <w:bCs/>
          <w:spacing w:val="-4"/>
        </w:rPr>
        <w:t>五、中国博物馆教育未来展望</w:t>
      </w:r>
    </w:p>
    <w:p>
      <w:pPr>
        <w:pStyle w:val="BodyText"/>
        <w:spacing w:before="221" w:line="357" w:lineRule="auto"/>
        <w:rPr>
          <w:sz w:val="22"/>
          <w:szCs w:val="22"/>
        </w:rPr>
      </w:pPr>
      <w:r>
        <w:rPr>
          <w:sz w:val="22"/>
          <w:szCs w:val="22"/>
          <w:spacing w:val="20"/>
        </w:rPr>
        <w:t>在中国博物馆数量快速增长的基础上，未来发展可在一定程度上强化数字化叙事和观众研究，扩</w:t>
      </w:r>
      <w:r>
        <w:rPr>
          <w:sz w:val="22"/>
          <w:szCs w:val="22"/>
          <w:spacing w:val="8"/>
        </w:rPr>
        <w:t xml:space="preserve">  </w:t>
      </w:r>
      <w:r>
        <w:rPr>
          <w:sz w:val="22"/>
          <w:szCs w:val="22"/>
          <w:spacing w:val="19"/>
        </w:rPr>
        <w:t>展</w:t>
      </w:r>
      <w:r>
        <w:rPr>
          <w:rFonts w:ascii="SimSun" w:hAnsi="SimSun" w:eastAsia="SimSun" w:cs="SimSun"/>
          <w:sz w:val="22"/>
          <w:szCs w:val="22"/>
        </w:rPr>
        <w:t>VR</w:t>
      </w:r>
      <w:r>
        <w:rPr>
          <w:rFonts w:ascii="SimSun" w:hAnsi="SimSun" w:eastAsia="SimSun" w:cs="SimSun"/>
          <w:sz w:val="22"/>
          <w:szCs w:val="22"/>
          <w:spacing w:val="19"/>
        </w:rPr>
        <w:t>/</w:t>
      </w:r>
      <w:r>
        <w:rPr>
          <w:rFonts w:ascii="SimSun" w:hAnsi="SimSun" w:eastAsia="SimSun" w:cs="SimSun"/>
          <w:sz w:val="22"/>
          <w:szCs w:val="22"/>
        </w:rPr>
        <w:t>AR</w:t>
      </w:r>
      <w:r>
        <w:rPr>
          <w:rFonts w:ascii="SimSun" w:hAnsi="SimSun" w:eastAsia="SimSun" w:cs="SimSun"/>
          <w:sz w:val="22"/>
          <w:szCs w:val="22"/>
          <w:spacing w:val="96"/>
        </w:rPr>
        <w:t xml:space="preserve"> </w:t>
      </w:r>
      <w:r>
        <w:rPr>
          <w:sz w:val="22"/>
          <w:szCs w:val="22"/>
          <w:spacing w:val="19"/>
        </w:rPr>
        <w:t>在教育性展览设计中的应用。通常而言，通过一级博物馆示范，带动二级、三级馆提升</w:t>
      </w:r>
      <w:r>
        <w:rPr>
          <w:sz w:val="22"/>
          <w:szCs w:val="22"/>
        </w:rPr>
        <w:t xml:space="preserve">  </w:t>
      </w:r>
      <w:r>
        <w:rPr>
          <w:sz w:val="22"/>
          <w:szCs w:val="22"/>
          <w:spacing w:val="20"/>
        </w:rPr>
        <w:t>跨学科学习项目。展望中，建议可考虑加强学校-博物馆合作，针对农村和残障群体增强社会包容</w:t>
      </w:r>
      <w:r>
        <w:rPr>
          <w:sz w:val="22"/>
          <w:szCs w:val="22"/>
          <w:spacing w:val="9"/>
        </w:rPr>
        <w:t xml:space="preserve"> </w:t>
      </w:r>
      <w:r>
        <w:rPr>
          <w:sz w:val="22"/>
          <w:szCs w:val="22"/>
          <w:spacing w:val="5"/>
        </w:rPr>
        <w:t>性。</w:t>
      </w:r>
    </w:p>
    <w:p>
      <w:pPr>
        <w:pStyle w:val="BodyText"/>
        <w:ind w:left="4"/>
        <w:spacing w:before="327" w:line="222" w:lineRule="auto"/>
        <w:outlineLvl w:val="2"/>
        <w:rPr>
          <w:sz w:val="30"/>
          <w:szCs w:val="30"/>
        </w:rPr>
      </w:pPr>
      <w:r>
        <w:rPr>
          <w:sz w:val="30"/>
          <w:szCs w:val="30"/>
          <w:b/>
          <w:bCs/>
          <w:spacing w:val="-2"/>
        </w:rPr>
        <w:t>六、结论与战略建议</w:t>
      </w:r>
    </w:p>
    <w:p>
      <w:pPr>
        <w:pStyle w:val="BodyText"/>
        <w:ind w:right="17"/>
        <w:spacing w:before="230" w:line="350" w:lineRule="auto"/>
        <w:rPr>
          <w:sz w:val="22"/>
          <w:szCs w:val="22"/>
        </w:rPr>
      </w:pPr>
      <w:r>
        <w:rPr>
          <w:sz w:val="22"/>
          <w:szCs w:val="22"/>
          <w:spacing w:val="12"/>
        </w:rPr>
        <w:t>博物馆教育发展在一定程度上与“文化强国战略”相契合，可通过高质量展览弘扬中</w:t>
      </w:r>
      <w:r>
        <w:rPr>
          <w:sz w:val="22"/>
          <w:szCs w:val="22"/>
          <w:spacing w:val="11"/>
        </w:rPr>
        <w:t>华文化；与“数</w:t>
      </w:r>
      <w:r>
        <w:rPr>
          <w:sz w:val="22"/>
          <w:szCs w:val="22"/>
        </w:rPr>
        <w:t xml:space="preserve"> </w:t>
      </w:r>
      <w:r>
        <w:rPr>
          <w:sz w:val="22"/>
          <w:szCs w:val="22"/>
          <w:spacing w:val="11"/>
        </w:rPr>
        <w:t>字中国建设”关联，推动</w:t>
      </w:r>
      <w:r>
        <w:rPr>
          <w:rFonts w:ascii="Times New Roman" w:hAnsi="Times New Roman" w:eastAsia="Times New Roman" w:cs="Times New Roman"/>
          <w:sz w:val="22"/>
          <w:szCs w:val="22"/>
          <w:spacing w:val="11"/>
        </w:rPr>
        <w:t>A₁</w:t>
      </w:r>
      <w:r>
        <w:rPr>
          <w:sz w:val="22"/>
          <w:szCs w:val="22"/>
          <w:spacing w:val="11"/>
        </w:rPr>
        <w:t>和</w:t>
      </w:r>
      <w:r>
        <w:rPr>
          <w:rFonts w:ascii="Times New Roman" w:hAnsi="Times New Roman" w:eastAsia="Times New Roman" w:cs="Times New Roman"/>
          <w:sz w:val="22"/>
          <w:szCs w:val="22"/>
        </w:rPr>
        <w:t>VR</w:t>
      </w:r>
      <w:r>
        <w:rPr>
          <w:sz w:val="22"/>
          <w:szCs w:val="22"/>
          <w:spacing w:val="11"/>
        </w:rPr>
        <w:t>应用；与“全民科学素</w:t>
      </w:r>
      <w:r>
        <w:rPr>
          <w:sz w:val="22"/>
          <w:szCs w:val="22"/>
          <w:spacing w:val="10"/>
        </w:rPr>
        <w:t>养提升”对接，强化</w:t>
      </w:r>
      <w:r>
        <w:rPr>
          <w:rFonts w:ascii="Times New Roman" w:hAnsi="Times New Roman" w:eastAsia="Times New Roman" w:cs="Times New Roman"/>
          <w:sz w:val="22"/>
          <w:szCs w:val="22"/>
        </w:rPr>
        <w:t>STEAM</w:t>
      </w:r>
      <w:r>
        <w:rPr>
          <w:rFonts w:ascii="Times New Roman" w:hAnsi="Times New Roman" w:eastAsia="Times New Roman" w:cs="Times New Roman"/>
          <w:sz w:val="22"/>
          <w:szCs w:val="22"/>
          <w:spacing w:val="34"/>
        </w:rPr>
        <w:t xml:space="preserve"> </w:t>
      </w:r>
      <w:r>
        <w:rPr>
          <w:sz w:val="22"/>
          <w:szCs w:val="22"/>
          <w:spacing w:val="10"/>
        </w:rPr>
        <w:t>项目；并支持</w:t>
      </w:r>
    </w:p>
    <w:p>
      <w:pPr>
        <w:pStyle w:val="BodyText"/>
        <w:ind w:right="122"/>
        <w:spacing w:before="6" w:line="350" w:lineRule="auto"/>
        <w:rPr>
          <w:sz w:val="22"/>
          <w:szCs w:val="22"/>
        </w:rPr>
      </w:pPr>
      <w:r>
        <w:rPr>
          <w:rFonts w:ascii="Arial" w:hAnsi="Arial" w:eastAsia="Arial" w:cs="Arial"/>
          <w:sz w:val="22"/>
          <w:szCs w:val="22"/>
        </w:rPr>
        <w:t>SDGs</w:t>
      </w:r>
      <w:r>
        <w:rPr>
          <w:rFonts w:ascii="Arial" w:hAnsi="Arial" w:eastAsia="Arial" w:cs="Arial"/>
          <w:sz w:val="22"/>
          <w:szCs w:val="22"/>
          <w:spacing w:val="29"/>
        </w:rPr>
        <w:t xml:space="preserve"> </w:t>
      </w:r>
      <w:r>
        <w:rPr>
          <w:sz w:val="22"/>
          <w:szCs w:val="22"/>
          <w:spacing w:val="29"/>
        </w:rPr>
        <w:t>中教育(目标4)和文化(目标11)议题。建</w:t>
      </w:r>
      <w:r>
        <w:rPr>
          <w:sz w:val="22"/>
          <w:szCs w:val="22"/>
          <w:spacing w:val="28"/>
        </w:rPr>
        <w:t>议可考虑制定专项政策，鼓励观众研究和跨部</w:t>
      </w:r>
      <w:r>
        <w:rPr>
          <w:sz w:val="22"/>
          <w:szCs w:val="22"/>
        </w:rPr>
        <w:t xml:space="preserve"> </w:t>
      </w:r>
      <w:r>
        <w:rPr>
          <w:sz w:val="22"/>
          <w:szCs w:val="22"/>
          <w:spacing w:val="18"/>
        </w:rPr>
        <w:t>门合作，以实现可持续、非正式学习环境的优化。</w:t>
      </w:r>
    </w:p>
    <w:p>
      <w:pPr>
        <w:pStyle w:val="BodyText"/>
        <w:ind w:right="103"/>
        <w:spacing w:before="127" w:line="371" w:lineRule="auto"/>
        <w:rPr>
          <w:sz w:val="22"/>
          <w:szCs w:val="22"/>
        </w:rPr>
      </w:pPr>
      <w:r>
        <w:rPr>
          <w:sz w:val="22"/>
          <w:szCs w:val="22"/>
          <w:spacing w:val="21"/>
        </w:rPr>
        <w:t>本报告分析表明，博物馆教育前景广阔，但需审慎应对技术与资源挑战，方可在</w:t>
      </w:r>
      <w:r>
        <w:rPr>
          <w:sz w:val="22"/>
          <w:szCs w:val="22"/>
          <w:spacing w:val="20"/>
        </w:rPr>
        <w:t>全球层面贡献中</w:t>
      </w:r>
      <w:r>
        <w:rPr>
          <w:sz w:val="22"/>
          <w:szCs w:val="22"/>
        </w:rPr>
        <w:t xml:space="preserve"> </w:t>
      </w:r>
      <w:r>
        <w:rPr>
          <w:sz w:val="22"/>
          <w:szCs w:val="22"/>
          <w:spacing w:val="14"/>
        </w:rPr>
        <w:t>国经验。</w:t>
      </w:r>
    </w:p>
    <w:sectPr>
      <w:pgSz w:w="12240" w:h="15840"/>
      <w:pgMar w:top="1222" w:right="1049" w:bottom="0" w:left="97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 w:type="paragraph" w:styleId="TableText">
    <w:name w:val="Table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2026-03-16T00:00:24Z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2026-03-16T00:00:25</vt:filetime>
  </property>
  <property fmtid="{D5CDD505-2E9C-101B-9397-08002B2CF9AE}" pid="4" name="UsrData">
    <vt:lpwstr>69b6d796259dfc001fa65496wl</vt:lpwstr>
  </property>
</Properties>
</file>