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499" w:right="76" w:hanging="140"/>
        <w:spacing w:before="206" w:line="279" w:lineRule="auto"/>
        <w:rPr/>
      </w:pPr>
      <w:r>
        <w:rPr>
          <w:spacing w:val="1"/>
        </w:rPr>
        <w:t>·</w:t>
      </w:r>
      <w:r>
        <w:rPr>
          <w:spacing w:val="-85"/>
        </w:rPr>
        <w:t xml:space="preserve"> </w:t>
      </w:r>
      <w:r>
        <w:rPr>
          <w:spacing w:val="1"/>
        </w:rPr>
        <w:t>中国博物馆教育现状以非正式、体验性和终身学习为主，受益于免费</w:t>
      </w:r>
      <w:r>
        <w:rPr/>
        <w:t>开放政策和“双减”背景</w:t>
      </w:r>
      <w:r>
        <w:rPr/>
        <w:t xml:space="preserve"> </w:t>
      </w:r>
      <w:r>
        <w:rPr>
          <w:spacing w:val="14"/>
        </w:rPr>
        <w:t>下与学校的深度合作，数量快速增长至7000</w:t>
      </w:r>
      <w:r>
        <w:rPr>
          <w:spacing w:val="13"/>
        </w:rPr>
        <w:t>余家。</w:t>
      </w:r>
    </w:p>
    <w:p>
      <w:pPr>
        <w:pStyle w:val="BodyText"/>
        <w:ind w:left="499" w:right="17" w:hanging="140"/>
        <w:spacing w:before="264" w:line="279" w:lineRule="auto"/>
        <w:rPr/>
      </w:pPr>
      <w:r>
        <w:rPr>
          <w:spacing w:val="6"/>
        </w:rPr>
        <w:t>·</w:t>
      </w:r>
      <w:r>
        <w:rPr>
          <w:spacing w:val="-78"/>
        </w:rPr>
        <w:t xml:space="preserve"> </w:t>
      </w:r>
      <w:r>
        <w:rPr>
          <w:spacing w:val="6"/>
        </w:rPr>
        <w:t>国外博物馆教育更专业化和互动化，美国强调公平与</w:t>
      </w:r>
      <w:r>
        <w:rPr>
          <w:rFonts w:ascii="SimSun" w:hAnsi="SimSun" w:eastAsia="SimSun" w:cs="SimSun"/>
          <w:spacing w:val="6"/>
        </w:rPr>
        <w:t>K-12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6"/>
        </w:rPr>
        <w:t>教育，英国注重学校伙伴关系，法</w:t>
      </w:r>
      <w:r>
        <w:rPr/>
        <w:t xml:space="preserve"> </w:t>
      </w:r>
      <w:r>
        <w:rPr>
          <w:spacing w:val="9"/>
        </w:rPr>
        <w:t>国结合高等艺术教育，德国聚焦研究与专业发展，日本突出科技与社会教育。</w:t>
      </w:r>
    </w:p>
    <w:p>
      <w:pPr>
        <w:pStyle w:val="BodyText"/>
        <w:ind w:left="688" w:right="295" w:hanging="329"/>
        <w:spacing w:before="294" w:line="283" w:lineRule="auto"/>
        <w:rPr/>
      </w:pPr>
      <w:r>
        <w:rPr>
          <w:spacing w:val="13"/>
        </w:rPr>
        <w:t>·</w:t>
      </w:r>
      <w:r>
        <w:rPr>
          <w:spacing w:val="-90"/>
        </w:rPr>
        <w:t xml:space="preserve"> </w:t>
      </w:r>
      <w:r>
        <w:rPr>
          <w:spacing w:val="13"/>
        </w:rPr>
        <w:t>博物馆分类可自成体系：中国主要按行政级别(国家级、省</w:t>
      </w:r>
      <w:r>
        <w:rPr>
          <w:spacing w:val="12"/>
        </w:rPr>
        <w:t>级、市级、县级)和等级评估</w:t>
      </w:r>
      <w:r>
        <w:rPr/>
        <w:t xml:space="preserve"> </w:t>
      </w:r>
      <w:r>
        <w:rPr>
          <w:spacing w:val="19"/>
        </w:rPr>
        <w:t>(一二三级)结合所有制(国有、私立);国外多按资助来源(国立、私立、大学附属)。</w:t>
      </w:r>
    </w:p>
    <w:p>
      <w:pPr>
        <w:pStyle w:val="BodyText"/>
        <w:ind w:left="499" w:right="591" w:hanging="140"/>
        <w:spacing w:before="226" w:line="283" w:lineRule="auto"/>
        <w:rPr/>
      </w:pPr>
      <w:r>
        <w:rPr>
          <w:spacing w:val="5"/>
        </w:rPr>
        <w:t>·</w:t>
      </w:r>
      <w:r>
        <w:rPr>
          <w:spacing w:val="-82"/>
        </w:rPr>
        <w:t xml:space="preserve"> </w:t>
      </w:r>
      <w:r>
        <w:rPr>
          <w:spacing w:val="5"/>
        </w:rPr>
        <w:t>未来趋势受科技驱动，普遍向数字化、沉浸式和个性化发展；中国博物馆将更注重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VR</w:t>
      </w:r>
      <w:r>
        <w:rPr>
          <w:rFonts w:ascii="SimSun" w:hAnsi="SimSun" w:eastAsia="SimSun" w:cs="SimSun"/>
          <w:spacing w:val="8"/>
        </w:rPr>
        <w:t>/</w:t>
      </w:r>
      <w:r>
        <w:rPr>
          <w:rFonts w:ascii="SimSun" w:hAnsi="SimSun" w:eastAsia="SimSun" w:cs="SimSun"/>
        </w:rPr>
        <w:t>AR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spacing w:val="8"/>
        </w:rPr>
        <w:t>应用和智慧化建设，结合国家政策实现普惠与创新。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中国博物馆教育现状与特点</w:t>
      </w:r>
    </w:p>
    <w:p>
      <w:pPr>
        <w:pStyle w:val="BodyText"/>
        <w:spacing w:before="211" w:line="336" w:lineRule="auto"/>
        <w:jc w:val="both"/>
        <w:rPr/>
      </w:pPr>
      <w:r>
        <w:rPr>
          <w:spacing w:val="10"/>
        </w:rPr>
        <w:t>中国博物馆教育作为社会教育的重要组成部分，具有实物性、情境性和体验性特点，强调非</w:t>
      </w:r>
      <w:r>
        <w:rPr>
          <w:spacing w:val="9"/>
        </w:rPr>
        <w:t>正式</w:t>
      </w:r>
      <w:r>
        <w:rPr/>
        <w:t xml:space="preserve"> </w:t>
      </w:r>
      <w:r>
        <w:rPr>
          <w:spacing w:val="16"/>
        </w:rPr>
        <w:t>学习和终身教育。截至2025年，全国备案博物馆达7046家，平均每20万人拥</w:t>
      </w:r>
      <w:r>
        <w:rPr>
          <w:spacing w:val="15"/>
        </w:rPr>
        <w:t>有一座，免费开放</w:t>
      </w:r>
      <w:r>
        <w:rPr/>
        <w:t xml:space="preserve"> </w:t>
      </w:r>
      <w:r>
        <w:rPr>
          <w:spacing w:val="7"/>
        </w:rPr>
        <w:t>率超过91%。教育活动多样，包括研学课程、互动展览和馆校合作，尤其在“双减”政策下</w:t>
      </w:r>
      <w:r>
        <w:rPr>
          <w:spacing w:val="6"/>
        </w:rPr>
        <w:t>，博物</w:t>
      </w:r>
      <w:r>
        <w:rPr/>
        <w:t xml:space="preserve"> </w:t>
      </w:r>
      <w:r>
        <w:rPr>
          <w:spacing w:val="10"/>
        </w:rPr>
        <w:t>馆资源广泛用于补充学校教育，满足学生个性化需求。国家级博物馆如故宫、国家博物馆引领示</w:t>
      </w:r>
      <w:r>
        <w:rPr>
          <w:spacing w:val="4"/>
        </w:rPr>
        <w:t xml:space="preserve"> </w:t>
      </w:r>
      <w:r>
        <w:rPr>
          <w:spacing w:val="8"/>
        </w:rPr>
        <w:t>范，省级和市级博物馆则更注重地域文化传承。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国外博物馆教育现状与特点</w:t>
      </w:r>
    </w:p>
    <w:p>
      <w:pPr>
        <w:pStyle w:val="BodyText"/>
        <w:spacing w:before="221" w:line="213" w:lineRule="auto"/>
        <w:rPr/>
      </w:pPr>
      <w:r>
        <w:rPr>
          <w:spacing w:val="9"/>
        </w:rPr>
        <w:t>国外博物馆教育整体更成熟，专业教育部门发达，注重包容性和批判性思考。</w:t>
      </w:r>
    </w:p>
    <w:p>
      <w:pPr>
        <w:pStyle w:val="BodyText"/>
        <w:ind w:left="499" w:right="26" w:hanging="140"/>
        <w:spacing w:before="274" w:line="275" w:lineRule="auto"/>
        <w:rPr/>
      </w:pPr>
      <w:r>
        <w:rPr>
          <w:spacing w:val="7"/>
        </w:rPr>
        <w:t>·</w:t>
      </w:r>
      <w:r>
        <w:rPr>
          <w:spacing w:val="-83"/>
        </w:rPr>
        <w:t xml:space="preserve"> </w:t>
      </w:r>
      <w:r>
        <w:rPr>
          <w:spacing w:val="7"/>
        </w:rPr>
        <w:t>美国：博物馆每年教育支出超20亿美元，三分之二用于</w:t>
      </w:r>
      <w:r>
        <w:rPr>
          <w:rFonts w:ascii="SimSun" w:hAnsi="SimSun" w:eastAsia="SimSun" w:cs="SimSun"/>
          <w:spacing w:val="7"/>
        </w:rPr>
        <w:t>K-</w:t>
      </w:r>
      <w:r>
        <w:rPr>
          <w:rFonts w:ascii="SimSun" w:hAnsi="SimSun" w:eastAsia="SimSun" w:cs="SimSun"/>
          <w:spacing w:val="6"/>
        </w:rPr>
        <w:t>12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6"/>
        </w:rPr>
        <w:t>学生，强调公平访问和</w:t>
      </w:r>
      <w:r>
        <w:rPr>
          <w:rFonts w:ascii="SimSun" w:hAnsi="SimSun" w:eastAsia="SimSun" w:cs="SimSun"/>
        </w:rPr>
        <w:t>STEM</w:t>
      </w:r>
      <w:r>
        <w:rPr>
          <w:rFonts w:ascii="SimSun" w:hAnsi="SimSun" w:eastAsia="SimSun" w:cs="SimSun"/>
          <w:spacing w:val="95"/>
        </w:rPr>
        <w:t xml:space="preserve"> </w:t>
      </w:r>
      <w:r>
        <w:rPr>
          <w:spacing w:val="6"/>
        </w:rPr>
        <w:t>教</w:t>
      </w:r>
      <w:r>
        <w:rPr/>
        <w:t xml:space="preserve"> </w:t>
      </w:r>
      <w:r>
        <w:rPr>
          <w:spacing w:val="8"/>
        </w:rPr>
        <w:t>育，许多机构与学校深度整合，提供批判性反思空间。</w:t>
      </w:r>
    </w:p>
    <w:p>
      <w:pPr>
        <w:pStyle w:val="BodyText"/>
        <w:ind w:left="499" w:right="784" w:hanging="140"/>
        <w:spacing w:before="265" w:line="279" w:lineRule="auto"/>
        <w:rPr/>
      </w:pPr>
      <w:r>
        <w:rPr>
          <w:spacing w:val="1"/>
        </w:rPr>
        <w:t>·</w:t>
      </w:r>
      <w:r>
        <w:rPr>
          <w:spacing w:val="-97"/>
        </w:rPr>
        <w:t xml:space="preserve"> </w:t>
      </w:r>
      <w:r>
        <w:rPr>
          <w:spacing w:val="1"/>
        </w:rPr>
        <w:t>英国：通过“博物馆与学校”计划支持低参与地区，英</w:t>
      </w:r>
      <w:r>
        <w:rPr/>
        <w:t>国博物馆等提供课程导向的现场</w:t>
      </w:r>
      <w:r>
        <w:rPr/>
        <w:t xml:space="preserve"> </w:t>
      </w:r>
      <w:r>
        <w:rPr>
          <w:rFonts w:ascii="SimSun" w:hAnsi="SimSun" w:eastAsia="SimSun" w:cs="SimSun"/>
        </w:rPr>
        <w:t>session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spacing w:val="8"/>
        </w:rPr>
        <w:t>和教师资源，关注儿童终身学习热情。</w:t>
      </w:r>
    </w:p>
    <w:p>
      <w:pPr>
        <w:pStyle w:val="BodyText"/>
        <w:ind w:left="499" w:right="194" w:hanging="140"/>
        <w:spacing w:before="265" w:line="287" w:lineRule="auto"/>
        <w:rPr/>
      </w:pPr>
      <w:r>
        <w:rPr>
          <w:spacing w:val="12"/>
        </w:rPr>
        <w:t>·</w:t>
      </w:r>
      <w:r>
        <w:rPr>
          <w:spacing w:val="-88"/>
        </w:rPr>
        <w:t xml:space="preserve"> </w:t>
      </w:r>
      <w:r>
        <w:rPr>
          <w:spacing w:val="12"/>
        </w:rPr>
        <w:t>法国：卢浮宫等国立博物馆结合高等教育(如卢浮宫学院),提供艺术史和考古专业课程，</w:t>
      </w:r>
      <w:r>
        <w:rPr/>
        <w:t xml:space="preserve"> </w:t>
      </w:r>
      <w:r>
        <w:rPr>
          <w:spacing w:val="7"/>
        </w:rPr>
        <w:t>强调文化浸润和研究导向。</w:t>
      </w:r>
    </w:p>
    <w:p>
      <w:pPr>
        <w:pStyle w:val="BodyText"/>
        <w:ind w:left="499" w:right="83" w:hanging="140"/>
        <w:spacing w:before="264" w:line="276" w:lineRule="auto"/>
        <w:rPr/>
      </w:pPr>
      <w:r>
        <w:rPr>
          <w:spacing w:val="7"/>
        </w:rPr>
        <w:t>·</w:t>
      </w:r>
      <w:r>
        <w:rPr>
          <w:spacing w:val="-96"/>
        </w:rPr>
        <w:t xml:space="preserve"> </w:t>
      </w:r>
      <w:r>
        <w:rPr>
          <w:spacing w:val="7"/>
        </w:rPr>
        <w:t>德国：设有专业博物馆教育协会，研究机</w:t>
      </w:r>
      <w:r>
        <w:rPr>
          <w:spacing w:val="6"/>
        </w:rPr>
        <w:t>构如博物馆研究所聚焦教育效果评估和专业发展，</w:t>
      </w:r>
      <w:r>
        <w:rPr/>
        <w:t xml:space="preserve"> </w:t>
      </w:r>
      <w:r>
        <w:rPr>
          <w:spacing w:val="9"/>
        </w:rPr>
        <w:t>注重历史反思和访客研究。</w:t>
      </w:r>
    </w:p>
    <w:p>
      <w:pPr>
        <w:pStyle w:val="BodyText"/>
        <w:ind w:left="499" w:right="40" w:hanging="140"/>
        <w:spacing w:before="262" w:line="280" w:lineRule="auto"/>
        <w:rPr/>
      </w:pPr>
      <w:r>
        <w:rPr>
          <w:spacing w:val="7"/>
        </w:rPr>
        <w:t>·</w:t>
      </w:r>
      <w:r>
        <w:rPr>
          <w:spacing w:val="-60"/>
        </w:rPr>
        <w:t xml:space="preserve"> </w:t>
      </w:r>
      <w:r>
        <w:rPr>
          <w:spacing w:val="7"/>
        </w:rPr>
        <w:t>日本：博物馆被视为社会教育场所，国家自然科学博物馆</w:t>
      </w:r>
      <w:r>
        <w:rPr>
          <w:spacing w:val="6"/>
        </w:rPr>
        <w:t>等领导科学教育，强调社区活动和</w:t>
      </w:r>
      <w:r>
        <w:rPr/>
        <w:t xml:space="preserve"> </w:t>
      </w:r>
      <w:r>
        <w:rPr>
          <w:spacing w:val="4"/>
        </w:rPr>
        <w:t>包容性展览。</w:t>
      </w:r>
    </w:p>
    <w:p>
      <w:pPr>
        <w:spacing w:line="280" w:lineRule="auto"/>
        <w:sectPr>
          <w:pgSz w:w="12240" w:h="15840"/>
          <w:pgMar w:top="1127" w:right="1100" w:bottom="0" w:left="980" w:header="0" w:footer="0" w:gutter="0"/>
        </w:sectPr>
        <w:rPr/>
      </w:pPr>
    </w:p>
    <w:p>
      <w:pPr>
        <w:pStyle w:val="BodyText"/>
        <w:ind w:left="10"/>
        <w:spacing w:before="6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博物馆分类总结</w:t>
      </w:r>
    </w:p>
    <w:p>
      <w:pPr>
        <w:pStyle w:val="BodyText"/>
        <w:ind w:left="5"/>
        <w:spacing w:before="233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为自成体系，本文采用“层级+所有制+类型”相</w:t>
      </w:r>
      <w:r>
        <w:rPr>
          <w:sz w:val="22"/>
          <w:szCs w:val="22"/>
          <w:spacing w:val="13"/>
        </w:rPr>
        <w:t>结合的分类框架，便于比较中外差异。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分类维度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b/>
          <w:bCs/>
          <w:spacing w:val="-3"/>
        </w:rPr>
        <w:t>中国博物馆特点</w:t>
      </w:r>
      <w:r>
        <w:rPr>
          <w:sz w:val="22"/>
          <w:szCs w:val="22"/>
          <w:spacing w:val="-3"/>
        </w:rPr>
        <w:t xml:space="preserve">             </w:t>
      </w:r>
      <w:r>
        <w:rPr>
          <w:sz w:val="22"/>
          <w:szCs w:val="22"/>
          <w:spacing w:val="-4"/>
        </w:rPr>
        <w:t xml:space="preserve">         </w:t>
      </w:r>
      <w:r>
        <w:rPr>
          <w:sz w:val="22"/>
          <w:szCs w:val="22"/>
          <w:b/>
          <w:bCs/>
          <w:spacing w:val="-4"/>
        </w:rPr>
        <w:t>国外博物馆特点(代表国家示例)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1" w:line="221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行政/评估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6"/>
        </w:rPr>
        <w:t>国家级(如故宫)、省级、市级、县</w:t>
      </w:r>
      <w:r>
        <w:rPr>
          <w:sz w:val="22"/>
          <w:szCs w:val="22"/>
          <w:spacing w:val="-6"/>
        </w:rPr>
        <w:t xml:space="preserve">    </w:t>
      </w:r>
      <w:r>
        <w:rPr>
          <w:sz w:val="22"/>
          <w:szCs w:val="22"/>
          <w:spacing w:val="-7"/>
        </w:rPr>
        <w:t xml:space="preserve">  </w:t>
      </w:r>
      <w:r>
        <w:rPr>
          <w:sz w:val="22"/>
          <w:szCs w:val="22"/>
          <w:spacing w:val="-7"/>
        </w:rPr>
        <w:t>美国/英国：无统一国家级评估，多为地方或协会认证</w:t>
      </w:r>
    </w:p>
    <w:p>
      <w:pPr>
        <w:pStyle w:val="BodyText"/>
        <w:ind w:left="8"/>
        <w:spacing w:before="103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层级</w:t>
      </w:r>
      <w:r>
        <w:rPr>
          <w:sz w:val="22"/>
          <w:szCs w:val="22"/>
          <w:spacing w:val="9"/>
        </w:rPr>
        <w:t xml:space="preserve">      </w:t>
      </w:r>
      <w:r>
        <w:rPr>
          <w:sz w:val="22"/>
          <w:szCs w:val="22"/>
          <w:spacing w:val="-9"/>
        </w:rPr>
        <w:t>级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9"/>
        </w:rPr>
        <w:t>；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9"/>
        </w:rPr>
        <w:t>一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9"/>
        </w:rPr>
        <w:t>二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9"/>
        </w:rPr>
        <w:t>三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9"/>
        </w:rPr>
        <w:t>级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9"/>
        </w:rPr>
        <w:t>评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9"/>
        </w:rPr>
        <w:t>估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9"/>
        </w:rPr>
        <w:t>制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9"/>
        </w:rPr>
        <w:t>度</w:t>
      </w:r>
    </w:p>
    <w:tbl>
      <w:tblPr>
        <w:tblStyle w:val="TableNormal"/>
        <w:tblW w:w="102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1"/>
        <w:gridCol w:w="4009"/>
        <w:gridCol w:w="5325"/>
      </w:tblGrid>
      <w:tr>
        <w:trPr>
          <w:trHeight w:val="1060" w:hRule="atLeast"/>
        </w:trPr>
        <w:tc>
          <w:tcPr>
            <w:tcW w:w="93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71" w:line="223" w:lineRule="auto"/>
              <w:rPr/>
            </w:pPr>
            <w:r>
              <w:rPr>
                <w:spacing w:val="-3"/>
              </w:rPr>
              <w:t>所有制</w:t>
            </w:r>
          </w:p>
        </w:tc>
        <w:tc>
          <w:tcPr>
            <w:tcW w:w="40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 w:right="185"/>
              <w:spacing w:before="72" w:line="279" w:lineRule="auto"/>
              <w:rPr/>
            </w:pPr>
            <w:r>
              <w:rPr>
                <w:spacing w:val="12"/>
              </w:rPr>
              <w:t>国有为主(90%以上),私立博物馆快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速增长</w:t>
            </w:r>
          </w:p>
        </w:tc>
        <w:tc>
          <w:tcPr>
            <w:tcW w:w="532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 w:right="407"/>
              <w:spacing w:before="72" w:line="279" w:lineRule="auto"/>
              <w:rPr/>
            </w:pPr>
            <w:r>
              <w:rPr>
                <w:spacing w:val="-10"/>
              </w:rPr>
              <w:t>美国：私立与大学附属占比高；法国/德国：国立主</w:t>
            </w:r>
            <w:r>
              <w:rPr/>
              <w:t xml:space="preserve"> </w:t>
            </w:r>
            <w:r>
              <w:rPr>
                <w:spacing w:val="-9"/>
              </w:rPr>
              <w:t>导；日本：公立与私立并重</w:t>
            </w:r>
          </w:p>
        </w:tc>
      </w:tr>
      <w:tr>
        <w:trPr>
          <w:trHeight w:val="5928" w:hRule="atLeast"/>
        </w:trPr>
        <w:tc>
          <w:tcPr>
            <w:tcW w:w="10265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134" w:right="201" w:hanging="5126"/>
              <w:spacing w:before="271" w:line="293" w:lineRule="auto"/>
              <w:rPr/>
            </w:pPr>
            <w:r>
              <w:rPr>
                <w:b/>
                <w:bCs/>
                <w:spacing w:val="-7"/>
              </w:rPr>
              <w:t>类型</w:t>
            </w:r>
            <w:r>
              <w:rPr>
                <w:spacing w:val="-7"/>
              </w:rPr>
              <w:t xml:space="preserve">       </w:t>
            </w:r>
            <w:r>
              <w:rPr>
                <w:spacing w:val="-7"/>
                <w:position w:val="-1"/>
              </w:rPr>
              <w:t>综合、艺术、历史、科技、纪念馆等</w:t>
            </w:r>
            <w:r>
              <w:rPr>
                <w:spacing w:val="-7"/>
                <w:position w:val="-1"/>
              </w:rPr>
              <w:t xml:space="preserve">     </w:t>
            </w:r>
            <w:r>
              <w:rPr>
                <w:spacing w:val="-7"/>
              </w:rPr>
              <w:t>类</w:t>
            </w:r>
            <w:r>
              <w:rPr>
                <w:spacing w:val="-8"/>
              </w:rPr>
              <w:t>似，但美国/英国私立艺术馆多，德国历史反思类突</w:t>
            </w:r>
            <w:r>
              <w:rPr/>
              <w:t xml:space="preserve"> </w:t>
            </w:r>
            <w:r>
              <w:rPr>
                <w:spacing w:val="-10"/>
              </w:rPr>
              <w:t>出，日本科技馆发达</w:t>
            </w:r>
          </w:p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71" w:line="213" w:lineRule="auto"/>
              <w:rPr/>
            </w:pPr>
            <w:r>
              <w:rPr>
                <w:spacing w:val="19"/>
              </w:rPr>
              <w:t>中国分类更注重行政管理和质量评估，国外则更灵活，私立与大学博物馆</w:t>
            </w:r>
            <w:r>
              <w:rPr>
                <w:spacing w:val="18"/>
              </w:rPr>
              <w:t>占比更高。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98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5"/>
              </w:rPr>
              <w:t>未来发展趋势</w:t>
            </w:r>
          </w:p>
          <w:p>
            <w:pPr>
              <w:pStyle w:val="TableText"/>
              <w:ind w:left="5" w:right="20"/>
              <w:spacing w:before="209" w:line="381" w:lineRule="auto"/>
              <w:rPr/>
            </w:pPr>
            <w:r>
              <w:rPr>
                <w:spacing w:val="25"/>
              </w:rPr>
              <w:t>结合科技进步(如</w:t>
            </w:r>
            <w:r>
              <w:rPr>
                <w:rFonts w:ascii="Times New Roman" w:hAnsi="Times New Roman" w:eastAsia="Times New Roman" w:cs="Times New Roman"/>
              </w:rPr>
              <w:t>AI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pacing w:val="25"/>
              </w:rPr>
              <w:t>、</w:t>
            </w:r>
            <w:r>
              <w:rPr>
                <w:rFonts w:ascii="Times New Roman" w:hAnsi="Times New Roman" w:eastAsia="Times New Roman" w:cs="Times New Roman"/>
              </w:rPr>
              <w:t>VR</w:t>
            </w:r>
            <w:r>
              <w:rPr>
                <w:rFonts w:ascii="Times New Roman" w:hAnsi="Times New Roman" w:eastAsia="Times New Roman" w:cs="Times New Roman"/>
                <w:spacing w:val="25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AR</w:t>
            </w:r>
            <w:r>
              <w:rPr>
                <w:rFonts w:ascii="Times New Roman" w:hAnsi="Times New Roman" w:eastAsia="Times New Roman" w:cs="Times New Roman"/>
                <w:spacing w:val="25"/>
              </w:rPr>
              <w:t>)    </w:t>
            </w:r>
            <w:r>
              <w:rPr>
                <w:spacing w:val="25"/>
              </w:rPr>
              <w:t>和教育理念(如终身学习、包容性),博物馆教育将向</w:t>
            </w:r>
            <w:r>
              <w:rPr>
                <w:spacing w:val="24"/>
              </w:rPr>
              <w:t>沉浸式、个</w:t>
            </w:r>
            <w:r>
              <w:rPr/>
              <w:t xml:space="preserve"> </w:t>
            </w:r>
            <w:r>
              <w:rPr>
                <w:spacing w:val="20"/>
              </w:rPr>
              <w:t>性化与可持续方向演进。全球趋势包括多感官体验、</w:t>
            </w:r>
            <w:r>
              <w:rPr>
                <w:spacing w:val="19"/>
              </w:rPr>
              <w:t>语音导览和数据驱动优化。</w:t>
            </w:r>
          </w:p>
          <w:p>
            <w:pPr>
              <w:pStyle w:val="TableText"/>
              <w:ind w:left="5" w:right="101"/>
              <w:spacing w:before="67" w:line="351" w:lineRule="auto"/>
              <w:jc w:val="both"/>
              <w:rPr/>
            </w:pPr>
            <w:r>
              <w:rPr>
                <w:spacing w:val="13"/>
              </w:rPr>
              <w:t>针对中国博物馆，发展趋势更为明确和详尽：国家政策大力推动</w:t>
            </w:r>
            <w:r>
              <w:rPr>
                <w:spacing w:val="12"/>
              </w:rPr>
              <w:t>“智慧博物馆”建设，预计</w:t>
            </w:r>
            <w:r>
              <w:rPr>
                <w:rFonts w:ascii="SimSun" w:hAnsi="SimSun" w:eastAsia="SimSun" w:cs="SimSun"/>
              </w:rPr>
              <w:t>AI</w:t>
            </w:r>
            <w:r>
              <w:rPr>
                <w:spacing w:val="12"/>
              </w:rPr>
              <w:t>数</w:t>
            </w:r>
            <w:r>
              <w:rPr>
                <w:spacing w:val="-21"/>
              </w:rPr>
              <w:t xml:space="preserve"> </w:t>
            </w:r>
            <w:r>
              <w:rPr>
                <w:spacing w:val="12"/>
              </w:rPr>
              <w:t>字</w:t>
            </w:r>
            <w:r>
              <w:rPr/>
              <w:t xml:space="preserve"> </w:t>
            </w:r>
            <w:r>
              <w:rPr>
                <w:spacing w:val="14"/>
              </w:rPr>
              <w:t>人</w:t>
            </w:r>
            <w:r>
              <w:rPr>
                <w:spacing w:val="-48"/>
              </w:rPr>
              <w:t xml:space="preserve"> </w:t>
            </w:r>
            <w:r>
              <w:rPr>
                <w:spacing w:val="14"/>
              </w:rPr>
              <w:t>渗</w:t>
            </w:r>
            <w:r>
              <w:rPr>
                <w:spacing w:val="-48"/>
              </w:rPr>
              <w:t xml:space="preserve"> </w:t>
            </w:r>
            <w:r>
              <w:rPr>
                <w:spacing w:val="14"/>
              </w:rPr>
              <w:t>透</w:t>
            </w:r>
            <w:r>
              <w:rPr>
                <w:spacing w:val="-45"/>
              </w:rPr>
              <w:t xml:space="preserve"> </w:t>
            </w:r>
            <w:r>
              <w:rPr>
                <w:spacing w:val="14"/>
              </w:rPr>
              <w:t>率</w:t>
            </w:r>
            <w:r>
              <w:rPr>
                <w:spacing w:val="-49"/>
              </w:rPr>
              <w:t xml:space="preserve"> </w:t>
            </w:r>
            <w:r>
              <w:rPr>
                <w:spacing w:val="14"/>
              </w:rPr>
              <w:t>超</w:t>
            </w:r>
            <w:r>
              <w:rPr>
                <w:spacing w:val="-53"/>
              </w:rPr>
              <w:t xml:space="preserve"> </w:t>
            </w:r>
            <w:r>
              <w:rPr>
                <w:spacing w:val="14"/>
              </w:rPr>
              <w:t>4</w:t>
            </w:r>
            <w:r>
              <w:rPr>
                <w:spacing w:val="-49"/>
              </w:rPr>
              <w:t xml:space="preserve"> </w:t>
            </w:r>
            <w:r>
              <w:rPr>
                <w:spacing w:val="14"/>
              </w:rPr>
              <w:t>0</w:t>
            </w:r>
            <w:r>
              <w:rPr>
                <w:spacing w:val="-50"/>
              </w:rPr>
              <w:t xml:space="preserve"> </w:t>
            </w:r>
            <w:r>
              <w:rPr>
                <w:spacing w:val="14"/>
              </w:rPr>
              <w:t>%</w:t>
            </w:r>
            <w:r>
              <w:rPr>
                <w:spacing w:val="-38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rFonts w:ascii="SimSun" w:hAnsi="SimSun" w:eastAsia="SimSun" w:cs="SimSun"/>
              </w:rPr>
              <w:t>VR</w:t>
            </w:r>
            <w:r>
              <w:rPr>
                <w:rFonts w:ascii="SimSun" w:hAnsi="SimSun" w:eastAsia="SimSun" w:cs="SimSun"/>
                <w:spacing w:val="14"/>
              </w:rPr>
              <w:t>/</w:t>
            </w:r>
            <w:r>
              <w:rPr>
                <w:rFonts w:ascii="SimSun" w:hAnsi="SimSun" w:eastAsia="SimSun" w:cs="SimSun"/>
              </w:rPr>
              <w:t>AR</w:t>
            </w:r>
            <w:r>
              <w:rPr>
                <w:rFonts w:ascii="SimSun" w:hAnsi="SimSun" w:eastAsia="SimSun" w:cs="SimSun"/>
                <w:spacing w:val="84"/>
              </w:rPr>
              <w:t xml:space="preserve"> </w:t>
            </w:r>
            <w:r>
              <w:rPr>
                <w:spacing w:val="14"/>
              </w:rPr>
              <w:t>用于虚拟展览和沉浸式</w:t>
            </w:r>
            <w:r>
              <w:rPr>
                <w:spacing w:val="13"/>
              </w:rPr>
              <w:t>研学；大数据实现个性化导览，满足不同年龄和</w:t>
            </w:r>
            <w:r>
              <w:rPr/>
              <w:t xml:space="preserve"> </w:t>
            </w:r>
            <w:r>
              <w:rPr>
                <w:spacing w:val="26"/>
              </w:rPr>
              <w:t>需求；馆际资源共享扩展到基层，县级博物馆覆盖率已达80%;结合可持续发展目标，强调非物</w:t>
            </w:r>
            <w:r>
              <w:rPr>
                <w:spacing w:val="12"/>
              </w:rPr>
              <w:t xml:space="preserve"> </w:t>
            </w:r>
            <w:r>
              <w:rPr>
                <w:spacing w:val="17"/>
              </w:rPr>
              <w:t>质文化遗产教育和青年参与。未来五年，中国博物馆将深化数字化转型，打造“数智博物</w:t>
            </w:r>
            <w:r>
              <w:rPr>
                <w:spacing w:val="16"/>
              </w:rPr>
              <w:t>馆”,通</w:t>
            </w:r>
            <w:r>
              <w:rPr/>
              <w:t xml:space="preserve"> </w:t>
            </w:r>
            <w:r>
              <w:rPr>
                <w:spacing w:val="19"/>
              </w:rPr>
              <w:t>过新技术降低成本、提升效率，实现普惠均等与文化自信的双重目标。</w:t>
            </w:r>
          </w:p>
        </w:tc>
      </w:tr>
    </w:tbl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中外博物馆教育现状详述</w:t>
      </w:r>
    </w:p>
    <w:p>
      <w:pPr>
        <w:pStyle w:val="BodyText"/>
        <w:ind w:left="5"/>
        <w:spacing w:before="204" w:line="354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中国博物馆教育快速发展，体现出强烈的政策导向和社会需求。2025年最新数据表明，全国博物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3"/>
        </w:rPr>
        <w:t>馆总量达7046家，年接待观众近15亿人次，免费开放博物</w:t>
      </w:r>
      <w:r>
        <w:rPr>
          <w:sz w:val="22"/>
          <w:szCs w:val="22"/>
          <w:spacing w:val="22"/>
        </w:rPr>
        <w:t>馆6444家。这一增长得益于“十四五”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规划提前完成目标，博物馆从传统收藏展示向教育功能转型，非正式教育特点突出：观众可自主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3"/>
        </w:rPr>
        <w:t>选择内容，结合实物观摩、互动体验和隐性熏陶。典型活动包括研学丛书开发(</w:t>
      </w:r>
      <w:r>
        <w:rPr>
          <w:sz w:val="22"/>
          <w:szCs w:val="22"/>
          <w:spacing w:val="22"/>
        </w:rPr>
        <w:t>如国家博物馆与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3"/>
        </w:rPr>
        <w:t>北京四中合作)和科技馆进校园项目。尽管基层博物</w:t>
      </w:r>
      <w:r>
        <w:rPr>
          <w:sz w:val="22"/>
          <w:szCs w:val="22"/>
          <w:spacing w:val="22"/>
        </w:rPr>
        <w:t>馆活动水平仍有提升空间，但整体呈现普及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16"/>
        </w:rPr>
        <w:t>化、分层化和终身化趋势。</w:t>
      </w:r>
    </w:p>
    <w:p>
      <w:pPr>
        <w:spacing w:line="354" w:lineRule="auto"/>
        <w:sectPr>
          <w:pgSz w:w="12240" w:h="15840"/>
          <w:pgMar w:top="1124" w:right="956" w:bottom="0" w:left="974" w:header="0" w:footer="0" w:gutter="0"/>
        </w:sectPr>
        <w:rPr>
          <w:sz w:val="22"/>
          <w:szCs w:val="22"/>
        </w:rPr>
      </w:pPr>
    </w:p>
    <w:p>
      <w:pPr>
        <w:pStyle w:val="BodyText"/>
        <w:ind w:right="185"/>
        <w:spacing w:before="47" w:line="335" w:lineRule="auto"/>
        <w:jc w:val="both"/>
        <w:rPr/>
      </w:pPr>
      <w:r>
        <w:rPr>
          <w:spacing w:val="11"/>
        </w:rPr>
        <w:t>国外博物馆教育起步早、专业化强，受</w:t>
      </w:r>
      <w:r>
        <w:rPr>
          <w:rFonts w:ascii="SimSun" w:hAnsi="SimSun" w:eastAsia="SimSun" w:cs="SimSun"/>
        </w:rPr>
        <w:t>ICOM</w:t>
      </w:r>
      <w:r>
        <w:rPr>
          <w:rFonts w:ascii="SimSun" w:hAnsi="SimSun" w:eastAsia="SimSun" w:cs="SimSun"/>
          <w:spacing w:val="5"/>
        </w:rPr>
        <w:t xml:space="preserve">   </w:t>
      </w:r>
      <w:r>
        <w:rPr>
          <w:spacing w:val="11"/>
        </w:rPr>
        <w:t>(国际博物馆协会)影响，2024年主题“博物馆致</w:t>
      </w:r>
      <w:r>
        <w:rPr>
          <w:spacing w:val="2"/>
        </w:rPr>
        <w:t xml:space="preserve"> </w:t>
      </w:r>
      <w:r>
        <w:rPr>
          <w:spacing w:val="4"/>
        </w:rPr>
        <w:t>力于教育和研究”强调博物馆作为动态学习中心的作用。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ICOM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CECA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3"/>
        </w:rPr>
        <w:t>(教育与文化行动委员会)</w:t>
      </w:r>
      <w:r>
        <w:rPr/>
        <w:t xml:space="preserve"> </w:t>
      </w:r>
      <w:r>
        <w:rPr>
          <w:spacing w:val="9"/>
        </w:rPr>
        <w:t>通过专业发展小组和网络，推动全球博物馆教育研究和实践。</w:t>
      </w:r>
    </w:p>
    <w:p>
      <w:pPr>
        <w:pStyle w:val="BodyText"/>
        <w:spacing w:before="137" w:line="222" w:lineRule="auto"/>
        <w:rPr/>
      </w:pPr>
      <w:r>
        <w:rPr>
          <w:spacing w:val="6"/>
        </w:rPr>
        <w:t>按代表性国家归纳：</w:t>
      </w:r>
    </w:p>
    <w:p>
      <w:pPr>
        <w:pStyle w:val="BodyText"/>
        <w:ind w:left="509" w:right="90" w:hanging="140"/>
        <w:spacing w:before="263" w:line="267" w:lineRule="auto"/>
        <w:rPr/>
      </w:pPr>
      <w:r>
        <w:rPr>
          <w:spacing w:val="6"/>
        </w:rPr>
        <w:t>·</w:t>
      </w:r>
      <w:r>
        <w:rPr>
          <w:spacing w:val="-86"/>
        </w:rPr>
        <w:t xml:space="preserve"> </w:t>
      </w:r>
      <w:r>
        <w:rPr>
          <w:spacing w:val="6"/>
        </w:rPr>
        <w:t>美国：博物馆教育预算庞大，针对</w:t>
      </w:r>
      <w:r>
        <w:rPr>
          <w:rFonts w:ascii="SimSun" w:hAnsi="SimSun" w:eastAsia="SimSun" w:cs="SimSun"/>
          <w:spacing w:val="6"/>
        </w:rPr>
        <w:t>K-12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6"/>
        </w:rPr>
        <w:t>学生占比高，关注教育公平和系统反思。疫</w:t>
      </w:r>
      <w:r>
        <w:rPr>
          <w:spacing w:val="5"/>
        </w:rPr>
        <w:t>情后恢复</w:t>
      </w:r>
      <w:r>
        <w:rPr/>
        <w:t xml:space="preserve"> </w:t>
      </w:r>
      <w:r>
        <w:rPr>
          <w:spacing w:val="9"/>
        </w:rPr>
        <w:t>不均，但数字工具助力包容性访问。</w:t>
      </w:r>
    </w:p>
    <w:p>
      <w:pPr>
        <w:pStyle w:val="BodyText"/>
        <w:ind w:left="509" w:right="154" w:hanging="140"/>
        <w:spacing w:before="294" w:line="275" w:lineRule="auto"/>
        <w:rPr/>
      </w:pPr>
      <w:r>
        <w:rPr>
          <w:spacing w:val="1"/>
        </w:rPr>
        <w:t>·</w:t>
      </w:r>
      <w:r>
        <w:rPr>
          <w:spacing w:val="-96"/>
        </w:rPr>
        <w:t xml:space="preserve"> </w:t>
      </w:r>
      <w:r>
        <w:rPr>
          <w:spacing w:val="1"/>
        </w:rPr>
        <w:t>英国：政府资助“博物馆与学校”伙伴计划，针对低文化参与地区，提供现</w:t>
      </w:r>
      <w:r>
        <w:rPr/>
        <w:t>场课程和资源包，</w:t>
      </w:r>
      <w:r>
        <w:rPr/>
        <w:t xml:space="preserve"> </w:t>
      </w:r>
      <w:r>
        <w:rPr>
          <w:spacing w:val="6"/>
        </w:rPr>
        <w:t>强调儿童热情培养。</w:t>
      </w:r>
    </w:p>
    <w:p>
      <w:pPr>
        <w:pStyle w:val="BodyText"/>
        <w:ind w:left="509" w:right="154" w:hanging="140"/>
        <w:spacing w:before="264" w:line="279" w:lineRule="auto"/>
        <w:rPr/>
      </w:pPr>
      <w:r>
        <w:rPr>
          <w:spacing w:val="6"/>
        </w:rPr>
        <w:t>·</w:t>
      </w:r>
      <w:r>
        <w:rPr>
          <w:spacing w:val="-77"/>
        </w:rPr>
        <w:t xml:space="preserve"> </w:t>
      </w:r>
      <w:r>
        <w:rPr>
          <w:spacing w:val="6"/>
        </w:rPr>
        <w:t>法国：国立博物馆如卢浮宫整合高等教育，卢浮宫学院提供专业培训，教育活动结合研究，</w:t>
      </w:r>
      <w:r>
        <w:rPr/>
        <w:t xml:space="preserve"> </w:t>
      </w:r>
      <w:r>
        <w:rPr>
          <w:spacing w:val="7"/>
        </w:rPr>
        <w:t>注重艺术史深度浸润。</w:t>
      </w:r>
    </w:p>
    <w:p>
      <w:pPr>
        <w:pStyle w:val="BodyText"/>
        <w:ind w:left="509" w:right="107" w:hanging="140"/>
        <w:spacing w:before="266" w:line="287" w:lineRule="auto"/>
        <w:rPr/>
      </w:pPr>
      <w:r>
        <w:rPr>
          <w:spacing w:val="8"/>
        </w:rPr>
        <w:t>·</w:t>
      </w:r>
      <w:r>
        <w:rPr>
          <w:spacing w:val="-96"/>
        </w:rPr>
        <w:t xml:space="preserve"> </w:t>
      </w:r>
      <w:r>
        <w:rPr>
          <w:spacing w:val="8"/>
        </w:rPr>
        <w:t>德国：专业协会和研究所主导，研究访客效果和专业满</w:t>
      </w:r>
      <w:r>
        <w:rPr>
          <w:spacing w:val="7"/>
        </w:rPr>
        <w:t>意度，教育活动注重历史对话和标准</w:t>
      </w:r>
      <w:r>
        <w:rPr/>
        <w:t xml:space="preserve"> </w:t>
      </w:r>
      <w:r>
        <w:rPr>
          <w:spacing w:val="-4"/>
        </w:rPr>
        <w:t>化。</w:t>
      </w:r>
    </w:p>
    <w:p>
      <w:pPr>
        <w:pStyle w:val="BodyText"/>
        <w:ind w:left="509" w:right="104" w:hanging="100"/>
        <w:spacing w:before="243" w:line="288" w:lineRule="auto"/>
        <w:rPr/>
      </w:pPr>
      <w:r>
        <w:rPr>
          <w:spacing w:val="7"/>
        </w:rPr>
        <w:t>·</w:t>
      </w:r>
      <w:r>
        <w:rPr>
          <w:b/>
          <w:bCs/>
          <w:spacing w:val="7"/>
        </w:rPr>
        <w:t>日本：</w:t>
      </w:r>
      <w:r>
        <w:rPr>
          <w:spacing w:val="7"/>
        </w:rPr>
        <w:t>博物馆法支持社会教育，国家机构领导科学普及，社区讲座和包容展览常见，疫情后</w:t>
      </w:r>
      <w:r>
        <w:rPr/>
        <w:t xml:space="preserve"> </w:t>
      </w:r>
      <w:r>
        <w:rPr>
          <w:spacing w:val="4"/>
        </w:rPr>
        <w:t>强调数字未来。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博物馆分类体系详析</w:t>
      </w:r>
    </w:p>
    <w:p>
      <w:pPr>
        <w:pStyle w:val="BodyText"/>
        <w:spacing w:before="233" w:line="213" w:lineRule="auto"/>
        <w:rPr/>
      </w:pPr>
      <w:r>
        <w:rPr>
          <w:spacing w:val="19"/>
        </w:rPr>
        <w:t>为形成完整体系，本文构建三维分类框架：层级(管</w:t>
      </w:r>
      <w:r>
        <w:rPr>
          <w:spacing w:val="18"/>
        </w:rPr>
        <w:t>理与影响力)、所有制(运营主体)和类型</w:t>
      </w:r>
    </w:p>
    <w:p>
      <w:pPr>
        <w:pStyle w:val="BodyText"/>
        <w:ind w:firstLine="169"/>
        <w:spacing w:before="144" w:line="335" w:lineRule="auto"/>
        <w:rPr/>
      </w:pPr>
      <w:r>
        <w:rPr>
          <w:spacing w:val="15"/>
        </w:rPr>
        <w:t>(内容导向)。中国以国有和行政层级为主，评估制度(一二三级)确保质量；私</w:t>
      </w:r>
      <w:r>
        <w:rPr>
          <w:spacing w:val="14"/>
        </w:rPr>
        <w:t>立博物馆虽少但</w:t>
      </w:r>
      <w:r>
        <w:rPr/>
        <w:t xml:space="preserve"> </w:t>
      </w:r>
      <w:r>
        <w:rPr>
          <w:spacing w:val="19"/>
        </w:rPr>
        <w:t>增长迅速。国外分类更市场化，美国私立博物馆(如大都会)</w:t>
      </w:r>
      <w:r>
        <w:rPr>
          <w:spacing w:val="18"/>
        </w:rPr>
        <w:t>影响力大，大学博物馆(如史密森</w:t>
      </w:r>
      <w:r>
        <w:rPr/>
        <w:t xml:space="preserve">  </w:t>
      </w:r>
      <w:r>
        <w:rPr>
          <w:spacing w:val="22"/>
        </w:rPr>
        <w:t>尼)教育功能强。</w:t>
      </w:r>
    </w:p>
    <w:p>
      <w:pPr>
        <w:spacing w:line="335" w:lineRule="auto"/>
        <w:sectPr>
          <w:pgSz w:w="12240" w:h="15840"/>
          <w:pgMar w:top="1241" w:right="1020" w:bottom="0" w:left="980" w:header="0" w:footer="0" w:gutter="0"/>
        </w:sectPr>
        <w:rPr/>
      </w:pP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658"/>
        <w:spacing w:before="68" w:line="23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  <w:position w:val="-1"/>
        </w:rPr>
        <w:t>国家/地区</w:t>
      </w:r>
      <w:r>
        <w:rPr>
          <w:sz w:val="21"/>
          <w:szCs w:val="21"/>
          <w:spacing w:val="-1"/>
          <w:position w:val="-1"/>
        </w:rPr>
        <w:t xml:space="preserve">                                </w:t>
      </w:r>
      <w:r>
        <w:rPr>
          <w:sz w:val="21"/>
          <w:szCs w:val="21"/>
          <w:spacing w:val="-2"/>
          <w:position w:val="-1"/>
        </w:rPr>
        <w:t xml:space="preserve">   </w:t>
      </w:r>
      <w:r>
        <w:rPr>
          <w:sz w:val="21"/>
          <w:szCs w:val="21"/>
          <w:b/>
          <w:bCs/>
          <w:spacing w:val="-2"/>
          <w:position w:val="1"/>
        </w:rPr>
        <w:t>主要层级示例</w:t>
      </w:r>
    </w:p>
    <w:p>
      <w:pPr>
        <w:spacing w:before="68"/>
        <w:rPr/>
      </w:pPr>
      <w:r/>
    </w:p>
    <w:tbl>
      <w:tblPr>
        <w:tblStyle w:val="TableNormal"/>
        <w:tblW w:w="7461" w:type="dxa"/>
        <w:tblInd w:w="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0"/>
        <w:gridCol w:w="2590"/>
        <w:gridCol w:w="2120"/>
        <w:gridCol w:w="2361"/>
      </w:tblGrid>
      <w:tr>
        <w:trPr>
          <w:trHeight w:val="595" w:hRule="atLeast"/>
        </w:trPr>
        <w:tc>
          <w:tcPr>
            <w:tcW w:w="390" w:type="dxa"/>
            <w:vAlign w:val="top"/>
            <w:textDirection w:val="tbRlV"/>
          </w:tcPr>
          <w:p>
            <w:pPr>
              <w:pStyle w:val="TableText"/>
              <w:spacing w:before="200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中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国</w:t>
            </w:r>
          </w:p>
        </w:tc>
        <w:tc>
          <w:tcPr>
            <w:tcW w:w="2590" w:type="dxa"/>
            <w:vAlign w:val="top"/>
          </w:tcPr>
          <w:p>
            <w:pPr>
              <w:pStyle w:val="TableText"/>
              <w:ind w:left="199" w:right="195" w:firstLine="10"/>
              <w:spacing w:line="2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国家级(故宫)、省级、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市级、县级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299" w:right="140"/>
              <w:spacing w:before="11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1"/>
              </w:rPr>
              <w:t>国有91%以上，私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立增长</w:t>
            </w:r>
          </w:p>
        </w:tc>
        <w:tc>
          <w:tcPr>
            <w:tcW w:w="2361" w:type="dxa"/>
            <w:vAlign w:val="top"/>
          </w:tcPr>
          <w:p>
            <w:pPr>
              <w:pStyle w:val="TableText"/>
              <w:ind w:left="139" w:firstLine="10"/>
              <w:spacing w:before="11" w:line="2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综合(最多)、纪念、艺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术、科技</w:t>
            </w:r>
          </w:p>
        </w:tc>
      </w:tr>
    </w:tbl>
    <w:p>
      <w:pPr>
        <w:spacing w:line="77" w:lineRule="exact"/>
        <w:rPr>
          <w:rFonts w:ascii="Arial"/>
          <w:sz w:val="6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32"/>
        <w:spacing w:before="47" w:line="30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6"/>
        </w:rPr>
        <w:t>所有制</w:t>
      </w:r>
      <w:r>
        <w:rPr>
          <w:sz w:val="21"/>
          <w:szCs w:val="21"/>
          <w:spacing w:val="32"/>
        </w:rPr>
        <w:t xml:space="preserve">   </w:t>
      </w:r>
      <w:r>
        <w:rPr>
          <w:sz w:val="21"/>
          <w:szCs w:val="21"/>
          <w:b/>
          <w:bCs/>
          <w:spacing w:val="-6"/>
        </w:rPr>
        <w:t>典型类型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b/>
          <w:bCs/>
        </w:rPr>
        <w:t>分布</w:t>
      </w:r>
      <w:r>
        <w:rPr>
          <w:sz w:val="21"/>
          <w:szCs w:val="21"/>
          <w:spacing w:val="13"/>
        </w:rPr>
        <w:t xml:space="preserve">     </w:t>
      </w:r>
      <w:r>
        <w:rPr>
          <w:sz w:val="21"/>
          <w:szCs w:val="21"/>
          <w:b/>
          <w:bCs/>
        </w:rPr>
        <w:t>分布</w:t>
      </w:r>
    </w:p>
    <w:p>
      <w:pPr>
        <w:spacing w:line="302" w:lineRule="auto"/>
        <w:sectPr>
          <w:pgSz w:w="12240" w:h="15840"/>
          <w:pgMar w:top="1095" w:right="1136" w:bottom="0" w:left="954" w:header="0" w:footer="0" w:gutter="0"/>
          <w:cols w:equalWidth="0" w:num="2">
            <w:col w:w="7559" w:space="100"/>
            <w:col w:w="2491" w:space="0"/>
          </w:cols>
        </w:sectPr>
        <w:rPr>
          <w:sz w:val="21"/>
          <w:szCs w:val="21"/>
        </w:rPr>
      </w:pPr>
    </w:p>
    <w:tbl>
      <w:tblPr>
        <w:tblStyle w:val="TableNormal"/>
        <w:tblW w:w="1011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2"/>
        <w:gridCol w:w="2688"/>
        <w:gridCol w:w="2006"/>
        <w:gridCol w:w="5009"/>
      </w:tblGrid>
      <w:tr>
        <w:trPr>
          <w:trHeight w:val="969" w:hRule="atLeast"/>
        </w:trPr>
        <w:tc>
          <w:tcPr>
            <w:tcW w:w="412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1"/>
              <w:spacing w:before="20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美</w:t>
            </w:r>
            <w:r>
              <w:rPr>
                <w:sz w:val="21"/>
                <w:szCs w:val="21"/>
                <w:spacing w:val="5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国</w:t>
            </w:r>
          </w:p>
        </w:tc>
        <w:tc>
          <w:tcPr>
            <w:tcW w:w="26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 w:right="187" w:hanging="19"/>
              <w:spacing w:before="68" w:line="2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联邦(如史密森尼)、州/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市级</w:t>
            </w:r>
          </w:p>
        </w:tc>
        <w:tc>
          <w:tcPr>
            <w:tcW w:w="20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 w:right="139"/>
              <w:spacing w:before="68" w:line="2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私立与大学附属占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比高</w:t>
            </w:r>
          </w:p>
        </w:tc>
        <w:tc>
          <w:tcPr>
            <w:tcW w:w="500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艺术、科学、历史</w:t>
            </w:r>
          </w:p>
        </w:tc>
      </w:tr>
      <w:tr>
        <w:trPr>
          <w:trHeight w:val="964" w:hRule="atLeast"/>
        </w:trPr>
        <w:tc>
          <w:tcPr>
            <w:tcW w:w="412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8"/>
              <w:spacing w:before="198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英</w:t>
            </w:r>
            <w:r>
              <w:rPr>
                <w:sz w:val="21"/>
                <w:szCs w:val="21"/>
                <w:spacing w:val="6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国</w:t>
            </w:r>
          </w:p>
        </w:tc>
        <w:tc>
          <w:tcPr>
            <w:tcW w:w="26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3"/>
              <w:spacing w:before="29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国家(如大英)、地方</w:t>
            </w:r>
          </w:p>
        </w:tc>
        <w:tc>
          <w:tcPr>
            <w:tcW w:w="20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公立与信托制</w:t>
            </w:r>
          </w:p>
        </w:tc>
        <w:tc>
          <w:tcPr>
            <w:tcW w:w="500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9"/>
              <w:spacing w:before="30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艺术、历史、自然史</w:t>
            </w:r>
          </w:p>
        </w:tc>
      </w:tr>
      <w:tr>
        <w:trPr>
          <w:trHeight w:val="963" w:hRule="atLeast"/>
        </w:trPr>
        <w:tc>
          <w:tcPr>
            <w:tcW w:w="412" w:type="dxa"/>
            <w:vAlign w:val="top"/>
            <w:textDirection w:val="tbRlV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98"/>
              <w:spacing w:before="196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法</w:t>
            </w:r>
            <w:r>
              <w:rPr>
                <w:sz w:val="21"/>
                <w:szCs w:val="21"/>
                <w:spacing w:val="7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国</w:t>
            </w:r>
          </w:p>
        </w:tc>
        <w:tc>
          <w:tcPr>
            <w:tcW w:w="268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13"/>
              <w:spacing w:before="29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国立(如卢浮宫)、地方</w:t>
            </w:r>
          </w:p>
        </w:tc>
        <w:tc>
          <w:tcPr>
            <w:tcW w:w="200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95"/>
              <w:spacing w:before="30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国立主导</w:t>
            </w:r>
          </w:p>
        </w:tc>
        <w:tc>
          <w:tcPr>
            <w:tcW w:w="500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49"/>
              <w:spacing w:before="30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艺术、考古</w:t>
            </w:r>
          </w:p>
        </w:tc>
      </w:tr>
      <w:tr>
        <w:trPr>
          <w:trHeight w:val="852" w:hRule="atLeast"/>
        </w:trPr>
        <w:tc>
          <w:tcPr>
            <w:tcW w:w="412" w:type="dxa"/>
            <w:vAlign w:val="top"/>
            <w:textDirection w:val="tbRlV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before="194" w:line="204" w:lineRule="auto"/>
              <w:jc w:val="right"/>
              <w:rPr>
                <w:sz w:val="16"/>
                <w:szCs w:val="16"/>
              </w:rPr>
            </w:pPr>
            <w:r>
              <w:rPr>
                <w:sz w:val="21"/>
                <w:szCs w:val="21"/>
              </w:rPr>
              <w:t>德</w:t>
            </w:r>
            <w:r>
              <w:rPr>
                <w:sz w:val="21"/>
                <w:szCs w:val="21"/>
                <w:spacing w:val="59"/>
              </w:rPr>
              <w:t xml:space="preserve"> </w:t>
            </w:r>
            <w:r>
              <w:rPr>
                <w:sz w:val="16"/>
                <w:szCs w:val="16"/>
                <w:position w:val="-1"/>
              </w:rPr>
              <w:t>国</w:t>
            </w:r>
          </w:p>
        </w:tc>
        <w:tc>
          <w:tcPr>
            <w:tcW w:w="268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联邦/州立、城市</w:t>
            </w:r>
          </w:p>
        </w:tc>
        <w:tc>
          <w:tcPr>
            <w:tcW w:w="200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5"/>
              <w:spacing w:before="29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公立为主</w:t>
            </w:r>
          </w:p>
        </w:tc>
        <w:tc>
          <w:tcPr>
            <w:tcW w:w="50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49"/>
              <w:spacing w:before="296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历史、文化、科技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12240" w:h="15840"/>
          <w:pgMar w:top="1095" w:right="1136" w:bottom="0" w:left="954" w:header="0" w:footer="0" w:gutter="0"/>
          <w:cols w:equalWidth="0" w:num="1">
            <w:col w:w="10149" w:space="0"/>
          </w:cols>
        </w:sectPr>
        <w:rPr/>
      </w:pPr>
    </w:p>
    <w:p>
      <w:pPr>
        <w:pStyle w:val="BodyText"/>
        <w:ind w:left="15" w:right="279"/>
        <w:spacing w:before="44" w:line="30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日</w:t>
      </w:r>
      <w:r>
        <w:rPr>
          <w:sz w:val="21"/>
          <w:szCs w:val="21"/>
          <w:spacing w:val="-3"/>
        </w:rPr>
        <w:t xml:space="preserve">    </w:t>
      </w:r>
      <w:r>
        <w:rPr>
          <w:sz w:val="21"/>
          <w:szCs w:val="21"/>
          <w:spacing w:val="-3"/>
        </w:rPr>
        <w:t>国立、都道府县、市町村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22" w:lineRule="auto"/>
        <w:rPr>
          <w:sz w:val="21"/>
          <w:szCs w:val="21"/>
        </w:rPr>
      </w:pPr>
      <w:r>
        <w:rPr>
          <w:sz w:val="21"/>
          <w:szCs w:val="21"/>
        </w:rPr>
        <w:t>公立与私立并重</w:t>
      </w:r>
      <w:r>
        <w:rPr>
          <w:sz w:val="21"/>
          <w:szCs w:val="21"/>
          <w:spacing w:val="15"/>
        </w:rPr>
        <w:t xml:space="preserve">    </w:t>
      </w:r>
      <w:r>
        <w:rPr>
          <w:sz w:val="21"/>
          <w:szCs w:val="21"/>
        </w:rPr>
        <w:t>科学、自然、历史</w:t>
      </w:r>
    </w:p>
    <w:p>
      <w:pPr>
        <w:spacing w:line="222" w:lineRule="auto"/>
        <w:sectPr>
          <w:type w:val="continuous"/>
          <w:pgSz w:w="12240" w:h="15840"/>
          <w:pgMar w:top="1095" w:right="1136" w:bottom="0" w:left="954" w:header="0" w:footer="0" w:gutter="0"/>
          <w:cols w:equalWidth="0" w:num="2">
            <w:col w:w="3196" w:space="100"/>
            <w:col w:w="6854" w:space="0"/>
          </w:cols>
        </w:sectPr>
        <w:rPr>
          <w:sz w:val="21"/>
          <w:szCs w:val="21"/>
        </w:rPr>
      </w:pP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9" w:line="213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此框架突出中国体系的统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7"/>
        </w:rPr>
        <w:t>一性和普惠性，与国外的多样化形成对比。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未来发展趋势深度探讨</w:t>
      </w:r>
    </w:p>
    <w:p>
      <w:pPr>
        <w:pStyle w:val="BodyText"/>
        <w:ind w:left="15"/>
        <w:spacing w:before="210" w:line="387" w:lineRule="auto"/>
        <w:jc w:val="both"/>
        <w:rPr>
          <w:sz w:val="21"/>
          <w:szCs w:val="21"/>
        </w:rPr>
      </w:pPr>
      <w:r>
        <w:rPr>
          <w:sz w:val="21"/>
          <w:szCs w:val="21"/>
          <w:spacing w:val="30"/>
        </w:rPr>
        <w:t>科技与教育理念交融驱动全球博物馆教育变革。趋势</w:t>
      </w:r>
      <w:r>
        <w:rPr>
          <w:sz w:val="21"/>
          <w:szCs w:val="21"/>
          <w:spacing w:val="29"/>
        </w:rPr>
        <w:t>包括：多感官与沉浸式</w:t>
      </w:r>
      <w:r>
        <w:rPr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VR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AR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29"/>
        </w:rPr>
        <w:t>模拟历史场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36"/>
        </w:rPr>
        <w:t>景)、个性化</w:t>
      </w:r>
      <w:r>
        <w:rPr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6"/>
        </w:rPr>
        <w:t>(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36"/>
        </w:rPr>
        <w:t>大数据导览)、包容性(针对少数群体和远程访问)以及可持续(数字减少实体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损耗)。</w:t>
      </w:r>
    </w:p>
    <w:p>
      <w:pPr>
        <w:pStyle w:val="BodyText"/>
        <w:ind w:left="15"/>
        <w:spacing w:before="93" w:line="187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中国发展趋势尤为活跃，受“新质生产力”</w:t>
      </w:r>
      <w:r>
        <w:rPr>
          <w:sz w:val="21"/>
          <w:szCs w:val="21"/>
          <w:spacing w:val="18"/>
        </w:rPr>
        <w:t>和数字化政策推动：</w:t>
      </w:r>
    </w:p>
    <w:p>
      <w:pPr>
        <w:spacing w:line="187" w:lineRule="auto"/>
        <w:sectPr>
          <w:type w:val="continuous"/>
          <w:pgSz w:w="12240" w:h="15840"/>
          <w:pgMar w:top="1095" w:right="1136" w:bottom="0" w:left="954" w:header="0" w:footer="0" w:gutter="0"/>
          <w:cols w:equalWidth="0" w:num="1">
            <w:col w:w="10149" w:space="0"/>
          </w:cols>
        </w:sectPr>
        <w:rPr>
          <w:sz w:val="21"/>
          <w:szCs w:val="21"/>
        </w:rPr>
      </w:pPr>
    </w:p>
    <w:p>
      <w:pPr>
        <w:pStyle w:val="BodyText"/>
        <w:ind w:left="509" w:right="117" w:hanging="140"/>
        <w:spacing w:before="47" w:line="298" w:lineRule="auto"/>
        <w:rPr/>
      </w:pPr>
      <w:r>
        <w:rPr>
          <w:spacing w:val="2"/>
        </w:rPr>
        <w:t>·</w:t>
      </w:r>
      <w:r>
        <w:rPr>
          <w:b/>
          <w:bCs/>
          <w:spacing w:val="2"/>
        </w:rPr>
        <w:t>数字技术深度融合：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VR</w:t>
      </w:r>
      <w:r>
        <w:rPr>
          <w:rFonts w:ascii="Times New Roman" w:hAnsi="Times New Roman" w:eastAsia="Times New Roman" w:cs="Times New Roman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b/>
          <w:bCs/>
        </w:rPr>
        <w:t>AR</w:t>
      </w:r>
      <w:r>
        <w:rPr>
          <w:rFonts w:ascii="Times New Roman" w:hAnsi="Times New Roman" w:eastAsia="Times New Roman" w:cs="Times New Roman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b/>
          <w:bCs/>
        </w:rPr>
        <w:t>MR</w:t>
      </w:r>
      <w:r>
        <w:rPr>
          <w:rFonts w:ascii="Times New Roman" w:hAnsi="Times New Roman" w:eastAsia="Times New Roman" w:cs="Times New Roman"/>
          <w:b/>
          <w:bCs/>
          <w:spacing w:val="-19"/>
        </w:rPr>
        <w:t xml:space="preserve"> </w:t>
      </w:r>
      <w:r>
        <w:rPr>
          <w:b/>
          <w:bCs/>
          <w:spacing w:val="2"/>
        </w:rPr>
        <w:t>打造虚拟展览，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-19"/>
        </w:rPr>
        <w:t xml:space="preserve"> </w:t>
      </w:r>
      <w:r>
        <w:rPr>
          <w:b/>
          <w:bCs/>
          <w:spacing w:val="2"/>
        </w:rPr>
        <w:t>数字人提供智能讲解，预计2025年渗透</w:t>
      </w:r>
      <w:r>
        <w:rPr/>
        <w:t xml:space="preserve"> </w:t>
      </w:r>
      <w:r>
        <w:rPr>
          <w:spacing w:val="31"/>
        </w:rPr>
        <w:t>率超40%。</w:t>
      </w:r>
    </w:p>
    <w:p>
      <w:pPr>
        <w:pStyle w:val="BodyText"/>
        <w:ind w:left="511" w:right="272" w:hanging="142"/>
        <w:spacing w:before="246" w:line="315" w:lineRule="auto"/>
        <w:rPr>
          <w:sz w:val="18"/>
          <w:szCs w:val="18"/>
        </w:rPr>
      </w:pPr>
      <w:r>
        <w:rPr>
          <w:spacing w:val="5"/>
        </w:rPr>
        <w:t>·</w:t>
      </w:r>
      <w:r>
        <w:rPr>
          <w:b/>
          <w:bCs/>
          <w:spacing w:val="5"/>
        </w:rPr>
        <w:t>智慧博物馆建设：智能分析藏品数据、个性化推荐，基层博物馆通过共享网络</w:t>
      </w:r>
      <w:r>
        <w:rPr>
          <w:b/>
          <w:bCs/>
          <w:spacing w:val="4"/>
        </w:rPr>
        <w:t>提升活动质</w:t>
      </w:r>
      <w:r>
        <w:rPr/>
        <w:t xml:space="preserve"> </w:t>
      </w:r>
      <w:r>
        <w:rPr>
          <w:sz w:val="18"/>
          <w:szCs w:val="18"/>
          <w:b/>
          <w:bCs/>
          <w:spacing w:val="-6"/>
        </w:rPr>
        <w:t>量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b/>
          <w:bCs/>
          <w:spacing w:val="-6"/>
        </w:rPr>
        <w:t>。</w:t>
      </w:r>
    </w:p>
    <w:p>
      <w:pPr>
        <w:pStyle w:val="BodyText"/>
        <w:ind w:left="509" w:hanging="140"/>
        <w:spacing w:before="243" w:line="291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教育理念创新：强调青年参与、非遗传承和跨界合作，结合</w:t>
      </w:r>
      <w:r>
        <w:rPr>
          <w:spacing w:val="7"/>
        </w:rPr>
        <w:t>可持续发展目标，实现从静态展</w:t>
      </w:r>
      <w:r>
        <w:rPr/>
        <w:t xml:space="preserve"> </w:t>
      </w:r>
      <w:r>
        <w:rPr>
          <w:spacing w:val="6"/>
        </w:rPr>
        <w:t>示到动态学习的转变。</w:t>
      </w:r>
    </w:p>
    <w:p>
      <w:pPr>
        <w:pStyle w:val="BodyText"/>
        <w:ind w:left="509" w:right="17" w:hanging="140"/>
        <w:spacing w:before="244" w:line="291" w:lineRule="auto"/>
        <w:rPr/>
      </w:pPr>
      <w:r>
        <w:rPr>
          <w:spacing w:val="2"/>
        </w:rPr>
        <w:t>·挑战与机遇：需平衡技术成本与普惠，预计未来五年形成“数智博物馆”新阶段，助力文化自</w:t>
      </w:r>
      <w:r>
        <w:rPr/>
        <w:t xml:space="preserve"> </w:t>
      </w:r>
      <w:r>
        <w:rPr>
          <w:spacing w:val="6"/>
        </w:rPr>
        <w:t>信与全球交流。</w:t>
      </w:r>
    </w:p>
    <w:p>
      <w:pPr>
        <w:pStyle w:val="BodyText"/>
        <w:ind w:right="270"/>
        <w:spacing w:before="296" w:line="350" w:lineRule="auto"/>
        <w:rPr/>
      </w:pPr>
      <w:r>
        <w:rPr>
          <w:spacing w:val="11"/>
        </w:rPr>
        <w:t>这些趋势证据显示，博物馆正从传统机构演变为</w:t>
      </w:r>
      <w:r>
        <w:rPr>
          <w:spacing w:val="10"/>
        </w:rPr>
        <w:t>终身学习平台，中国将在数量与质量双重领先</w:t>
      </w:r>
      <w:r>
        <w:rPr/>
        <w:t xml:space="preserve"> </w:t>
      </w:r>
      <w:r>
        <w:rPr>
          <w:spacing w:val="4"/>
        </w:rPr>
        <w:t>下，贡献独特经验。</w:t>
      </w:r>
    </w:p>
    <w:p>
      <w:pPr>
        <w:spacing w:before="142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11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</w:t>
      </w:r>
    </w:p>
    <w:p>
      <w:pPr>
        <w:pStyle w:val="BodyText"/>
        <w:ind w:left="369"/>
        <w:spacing w:before="289" w:line="222" w:lineRule="auto"/>
        <w:rPr/>
      </w:pPr>
      <w:r>
        <w:rPr>
          <w:spacing w:val="7"/>
        </w:rPr>
        <w:t>·</w:t>
      </w:r>
      <w:r>
        <w:rPr>
          <w:spacing w:val="-59"/>
        </w:rPr>
        <w:t xml:space="preserve"> </w:t>
      </w:r>
      <w:r>
        <w:rPr>
          <w:spacing w:val="7"/>
        </w:rPr>
        <w:t>中国博物馆协会：2024国际博物馆日主题阐释</w:t>
      </w:r>
    </w:p>
    <w:p>
      <w:pPr>
        <w:pStyle w:val="BodyText"/>
        <w:ind w:left="369"/>
        <w:spacing w:before="251" w:line="221" w:lineRule="auto"/>
        <w:rPr/>
      </w:pPr>
      <w:r>
        <w:rPr>
          <w:spacing w:val="3"/>
        </w:rPr>
        <w:t>·</w:t>
      </w:r>
      <w:r>
        <w:rPr>
          <w:spacing w:val="-79"/>
        </w:rPr>
        <w:t xml:space="preserve"> </w:t>
      </w:r>
      <w:r>
        <w:rPr>
          <w:spacing w:val="3"/>
        </w:rPr>
        <w:t>人民日报：博物馆数字化发展的现状与提升</w:t>
      </w:r>
    </w:p>
    <w:p>
      <w:pPr>
        <w:pStyle w:val="BodyText"/>
        <w:ind w:left="369"/>
        <w:spacing w:before="275" w:line="222" w:lineRule="auto"/>
        <w:rPr/>
      </w:pPr>
      <w:r>
        <w:rPr>
          <w:spacing w:val="8"/>
        </w:rPr>
        <w:t>·</w:t>
      </w:r>
      <w:r>
        <w:rPr>
          <w:spacing w:val="-70"/>
        </w:rPr>
        <w:t xml:space="preserve"> </w:t>
      </w:r>
      <w:r>
        <w:rPr>
          <w:spacing w:val="8"/>
        </w:rPr>
        <w:t>国家文物局数据：全国博物馆7046家</w:t>
      </w:r>
    </w:p>
    <w:p>
      <w:pPr>
        <w:pStyle w:val="BodyText"/>
        <w:ind w:left="369"/>
        <w:spacing w:before="263" w:line="221" w:lineRule="auto"/>
        <w:rPr/>
      </w:pPr>
      <w:r>
        <w:rPr>
          <w:rFonts w:ascii="SimSun" w:hAnsi="SimSun" w:eastAsia="SimSun" w:cs="SimSun"/>
          <w:spacing w:val="1"/>
        </w:rPr>
        <w:t>·</w:t>
      </w:r>
      <w:r>
        <w:rPr>
          <w:rFonts w:ascii="SimSun" w:hAnsi="SimSun" w:eastAsia="SimSun" w:cs="SimSun"/>
          <w:spacing w:val="-90"/>
        </w:rPr>
        <w:t xml:space="preserve"> </w:t>
      </w:r>
      <w:r>
        <w:rPr>
          <w:rFonts w:ascii="SimSun" w:hAnsi="SimSun" w:eastAsia="SimSun" w:cs="SimSun"/>
        </w:rPr>
        <w:t>ICOM</w:t>
      </w:r>
      <w:r>
        <w:rPr>
          <w:rFonts w:ascii="SimSun" w:hAnsi="SimSun" w:eastAsia="SimSun" w:cs="SimSun"/>
          <w:spacing w:val="1"/>
        </w:rPr>
        <w:t xml:space="preserve">    </w:t>
      </w:r>
      <w:r>
        <w:rPr>
          <w:rFonts w:ascii="SimSun" w:hAnsi="SimSun" w:eastAsia="SimSun" w:cs="SimSun"/>
        </w:rPr>
        <w:t>CECA</w:t>
      </w:r>
      <w:r>
        <w:rPr>
          <w:spacing w:val="1"/>
        </w:rPr>
        <w:t>官网：博物馆教育专业发展</w:t>
      </w:r>
    </w:p>
    <w:p>
      <w:pPr>
        <w:pStyle w:val="BodyText"/>
        <w:ind w:left="369"/>
        <w:spacing w:before="255" w:line="221" w:lineRule="auto"/>
        <w:rPr/>
      </w:pPr>
      <w:r>
        <w:rPr>
          <w:spacing w:val="3"/>
        </w:rPr>
        <w:t>·</w:t>
      </w:r>
      <w:r>
        <w:rPr>
          <w:spacing w:val="-86"/>
        </w:rPr>
        <w:t xml:space="preserve"> </w:t>
      </w:r>
      <w:r>
        <w:rPr>
          <w:spacing w:val="3"/>
        </w:rPr>
        <w:t>美国博物馆联盟：博物馆与</w:t>
      </w:r>
      <w:r>
        <w:rPr>
          <w:rFonts w:ascii="SimSun" w:hAnsi="SimSun" w:eastAsia="SimSun" w:cs="SimSun"/>
          <w:spacing w:val="3"/>
        </w:rPr>
        <w:t>P-12</w:t>
      </w:r>
      <w:r>
        <w:rPr>
          <w:spacing w:val="3"/>
        </w:rPr>
        <w:t>教育</w:t>
      </w:r>
    </w:p>
    <w:p>
      <w:pPr>
        <w:pStyle w:val="BodyText"/>
        <w:ind w:left="369"/>
        <w:spacing w:before="265" w:line="221" w:lineRule="auto"/>
        <w:rPr/>
      </w:pPr>
      <w:r>
        <w:rPr>
          <w:spacing w:val="-3"/>
        </w:rPr>
        <w:t>·</w:t>
      </w:r>
      <w:r>
        <w:rPr>
          <w:spacing w:val="-72"/>
        </w:rPr>
        <w:t xml:space="preserve"> </w:t>
      </w:r>
      <w:r>
        <w:rPr>
          <w:spacing w:val="-3"/>
        </w:rPr>
        <w:t>英国</w:t>
      </w:r>
      <w:r>
        <w:rPr>
          <w:rFonts w:ascii="Arial" w:hAnsi="Arial" w:eastAsia="Arial" w:cs="Arial"/>
          <w:spacing w:val="-3"/>
        </w:rPr>
        <w:t>GEM:   </w:t>
      </w:r>
      <w:r>
        <w:rPr>
          <w:spacing w:val="-3"/>
        </w:rPr>
        <w:t>博物馆学习报告</w:t>
      </w:r>
    </w:p>
    <w:p>
      <w:pPr>
        <w:pStyle w:val="BodyText"/>
        <w:ind w:left="369"/>
        <w:spacing w:before="275" w:line="222" w:lineRule="auto"/>
        <w:rPr/>
      </w:pPr>
      <w:r>
        <w:rPr>
          <w:spacing w:val="-3"/>
        </w:rPr>
        <w:t>·</w:t>
      </w:r>
      <w:r>
        <w:rPr>
          <w:spacing w:val="-87"/>
        </w:rPr>
        <w:t xml:space="preserve"> </w:t>
      </w:r>
      <w:r>
        <w:rPr>
          <w:spacing w:val="-3"/>
        </w:rPr>
        <w:t>博物馆转型趋势分析</w:t>
      </w:r>
    </w:p>
    <w:sectPr>
      <w:pgSz w:w="12240" w:h="15840"/>
      <w:pgMar w:top="1177" w:right="112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2026-03-16T00:00:11</vt:filetime>
  </property>
  <property fmtid="{D5CDD505-2E9C-101B-9397-08002B2CF9AE}" pid="4" name="UsrData">
    <vt:lpwstr>69b6d7899aafeb0020194fc1wl</vt:lpwstr>
  </property>
</Properties>
</file>