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CCB14">
      <w:pPr>
        <w:spacing w:after="400" w:line="400" w:lineRule="atLeast"/>
      </w:pPr>
      <w:bookmarkStart w:id="0" w:name="_GoBack"/>
      <w:bookmarkEnd w:id="0"/>
      <w:r>
        <w:rPr>
          <w:b/>
          <w:sz w:val="30"/>
        </w:rPr>
        <w:t>《中外博物馆教育的现状与未来趋势》研究报告</w:t>
      </w:r>
    </w:p>
    <w:p w14:paraId="299EED2F">
      <w:pPr>
        <w:spacing w:after="400" w:line="400" w:lineRule="atLeast"/>
      </w:pPr>
      <w:r>
        <w:rPr>
          <w:b/>
        </w:rPr>
        <w:t>报告日期：</w:t>
      </w:r>
      <w:r>
        <w:t xml:space="preserve"> 2026年1月15日</w:t>
      </w:r>
    </w:p>
    <w:p w14:paraId="58958BBB">
      <w:pPr>
        <w:spacing w:after="400" w:line="400" w:lineRule="atLeast"/>
      </w:pPr>
      <w:r>
        <w:rPr>
          <w:b/>
        </w:rPr>
        <w:t>撰写人：</w:t>
      </w:r>
      <w:r>
        <w:t xml:space="preserve"> 专家级研究员</w:t>
      </w:r>
    </w:p>
    <w:p w14:paraId="2F6E1A4D">
      <w:pPr>
        <w:spacing w:after="400" w:line="400" w:lineRule="atLeast"/>
      </w:pPr>
      <w:r>
        <w:rPr>
          <w:b/>
          <w:sz w:val="30"/>
        </w:rPr>
        <w:t>摘要</w:t>
      </w:r>
    </w:p>
    <w:p w14:paraId="4B08BAD9">
      <w:pPr>
        <w:spacing w:after="400" w:line="400" w:lineRule="atLeast"/>
      </w:pPr>
      <w:r>
        <w:t>本报告旨在系统梳理与深入分析全球范围内，特别是中国与英美等发达国家博物馆教育的当前状况、核心模式与实践差异，并在此基础上，结合前沿数字技术与现代教育理念的演进，前瞻其未来发展趋势。报告发现，中国博物馆教育正处于由政策驱动、从“以物为本”向“以人为本”转型的关键时期，机遇与挑战并存。英美等国则已形成较为成熟、各具特色的教育体系，为我们提供了宝贵的参照。展望未来，数字技术（如VR/AR、AI）与“动手学习”、“终身学习”等教育理念的深度融合，将重塑博物馆的学习场景与价值。中国博物馆教育的未来发展，必须走上一条理论构建、技术赋能、人才培养与国际合作相结合的本土化创新之路，以期在全球博物馆事业的变革浪潮中，实现从追赶到引领的跨越。</w:t>
      </w:r>
    </w:p>
    <w:p w14:paraId="2B0E360E">
      <w:pPr>
        <w:spacing w:after="400" w:line="400" w:lineRule="atLeast"/>
      </w:pPr>
      <w:r>
        <w:rPr>
          <w:b/>
          <w:sz w:val="30"/>
        </w:rPr>
        <w:t>第一部分：现状概述：全球视野下的多维图景</w:t>
      </w:r>
    </w:p>
    <w:p w14:paraId="1335AB53">
      <w:pPr>
        <w:spacing w:after="400" w:line="400" w:lineRule="atLeast"/>
      </w:pPr>
      <w:r>
        <w:t>博物馆，作为承载人类文明记忆、促进文化交流的殿堂，其教育功能在全球范围内正被提升至前所未有的战略高度。然而，不同国家和地区的博物馆教育因其历史背景、文化传统、经济水平和政策导向的差异，呈现出多元化且不均衡的发展态势。本部分将聚焦中国，并以美国、英国为参照系，描绘当前全球博物馆教育的基本格局。</w:t>
      </w:r>
    </w:p>
    <w:p w14:paraId="450EA5E7">
      <w:pPr>
        <w:spacing w:after="400" w:line="400" w:lineRule="atLeast"/>
      </w:pPr>
      <w:r>
        <w:rPr>
          <w:b/>
          <w:sz w:val="26"/>
        </w:rPr>
        <w:t>第一章：中国博物馆教育：转型与探索中的现状</w:t>
      </w:r>
    </w:p>
    <w:p w14:paraId="491198F7">
      <w:pPr>
        <w:spacing w:after="400" w:line="400" w:lineRule="atLeast"/>
      </w:pPr>
      <w:r>
        <w:t>进入21世纪第三个十年，中国博物馆事业正经历着数量上的井喷式增长与功能上的深刻转型。教育，作为博物馆的核心使命之一，其发展现状呈现出政策驱动下的高速发展与深层结构性矛盾并存的复杂局面。</w:t>
      </w:r>
    </w:p>
    <w:p w14:paraId="35B6D16F">
      <w:pPr>
        <w:spacing w:after="400" w:line="400" w:lineRule="atLeast"/>
      </w:pPr>
      <w:r>
        <w:rPr>
          <w:b/>
        </w:rPr>
        <w:t>1.1 政策引领下的功能定位重塑</w:t>
      </w:r>
    </w:p>
    <w:p w14:paraId="4D2240E0">
      <w:pPr>
        <w:spacing w:after="400" w:line="400" w:lineRule="atLeast"/>
      </w:pPr>
      <w:r>
        <w:t>中国博物馆教育功能的觉醒与强化，在很大程度上源于国家顶层设计的推动。一个里程碑式的事件是2015年《博物馆条例》的颁布，该条例首次从国家法规层面将“教育”确立为博物馆的首要功能 [[1]][[2]]。这一规定颠覆了过去长期存在的“重收藏、重研究、轻教育”的传统观念，为博物馆教育的发展提供了强有力的法理依据和政策导向 [[3]]。自此，中国的博物馆开始系统性地从“文物的宝库”和“知识的殿堂”向“全民的学校”和“社会的客厅”转变。各级政府与文物主管部门也相继出台配套政策，鼓励博物馆开发教育资源、开展社会教育活动，特别是加强与学校教育体系的衔接 [[4]]。这种自上而下的推动力，是中国博物馆教育近年来蓬勃发展的最主要特征。</w:t>
      </w:r>
    </w:p>
    <w:p w14:paraId="45D4C25F">
      <w:pPr>
        <w:spacing w:after="400" w:line="400" w:lineRule="atLeast"/>
      </w:pPr>
      <w:r>
        <w:rPr>
          <w:b/>
        </w:rPr>
        <w:t>1.2 主流教育实践与活动形态</w:t>
      </w:r>
    </w:p>
    <w:p w14:paraId="04145B3F">
      <w:pPr>
        <w:spacing w:after="400" w:line="400" w:lineRule="atLeast"/>
      </w:pPr>
      <w:r>
        <w:t>在当前的实践中，中国博物馆教育活动已形成一套相对固定的模式，主要围绕以下几个方面展开：</w:t>
      </w:r>
    </w:p>
    <w:p w14:paraId="5ED2132C">
      <w:pPr>
        <w:numPr>
          <w:ilvl w:val="-1"/>
          <w:numId w:val="1"/>
        </w:numPr>
        <w:spacing w:after="400" w:line="400" w:lineRule="atLeast"/>
      </w:pPr>
      <w:r>
        <w:rPr>
          <w:b/>
        </w:rPr>
        <w:t>讲解服务为基础：</w:t>
      </w:r>
      <w:r>
        <w:t xml:space="preserve"> 讲解员导览依然是公众接触博物馆教育最主要、最普遍的方式。无论是针对普通观众的定时免费讲解，还是为团体提供的预约讲解，都构成了博物馆教育服务的基石 [[5]][[6]]。讲解内容通常聚焦于藏品的历史背景、艺术价值和文化内涵，是知识传递的核心环节。</w:t>
      </w:r>
    </w:p>
    <w:p w14:paraId="0A4AAEC7">
      <w:pPr>
        <w:numPr>
          <w:ilvl w:val="-1"/>
          <w:numId w:val="1"/>
        </w:numPr>
        <w:spacing w:after="400" w:line="400" w:lineRule="atLeast"/>
      </w:pPr>
      <w:r>
        <w:rPr>
          <w:b/>
        </w:rPr>
        <w:t>讲座与学术报告：</w:t>
      </w:r>
      <w:r>
        <w:t xml:space="preserve"> 各类博物馆，特别是大型综合性博物馆，会定期邀请专家学者、策展人或一线研究人员举办专题讲座。这类活动专业性较强，旨在深化公众对特定展览或文化领域的理解，满足深度学习者的需求 [[7]]。</w:t>
      </w:r>
    </w:p>
    <w:p w14:paraId="0CB299FA">
      <w:pPr>
        <w:numPr>
          <w:ilvl w:val="-1"/>
          <w:numId w:val="1"/>
        </w:numPr>
        <w:spacing w:after="400" w:line="400" w:lineRule="atLeast"/>
      </w:pPr>
      <w:r>
        <w:rPr>
          <w:b/>
        </w:rPr>
        <w:t>主题教育活动与工作坊：</w:t>
      </w:r>
      <w:r>
        <w:t xml:space="preserve"> 这是近年来发展最为迅速的领域。针对不同年龄段，尤其是青少年和儿童，博物馆会策划一系列主题鲜明、互动性强的教育活动。例如，结合展览内容开展的手工制作、角色扮演、模拟考古、非遗体验等。这些活动旨在将静态的陈列转化为动态的、可参与的体验，激发学习兴趣 [[8]]。</w:t>
      </w:r>
    </w:p>
    <w:p w14:paraId="25FABD01">
      <w:pPr>
        <w:numPr>
          <w:ilvl w:val="-1"/>
          <w:numId w:val="1"/>
        </w:numPr>
        <w:spacing w:after="400" w:line="400" w:lineRule="atLeast"/>
      </w:pPr>
      <w:r>
        <w:rPr>
          <w:b/>
        </w:rPr>
        <w:t>馆校合作项目：</w:t>
      </w:r>
      <w:r>
        <w:t xml:space="preserve"> 这是政策鼓励的重点方向 [[9]]。越来越多的博物馆开始与中小学建立合作关系，将博物馆资源引入课堂。例如，中国国家博物馆与学校合作开展的“双师制”教学，由博物馆教育员和学校教师共同设计和实施课程，甚至将部分博物馆课程纳入了如史家小学的必修课体系 [[10]][[11]]。这种合作模式试图打破学校教育与社会教育的壁垒，实现资源的有效对接。</w:t>
      </w:r>
    </w:p>
    <w:p w14:paraId="2BF924D3">
      <w:pPr>
        <w:numPr>
          <w:ilvl w:val="-1"/>
          <w:numId w:val="1"/>
        </w:numPr>
        <w:spacing w:after="400" w:line="400" w:lineRule="atLeast"/>
      </w:pPr>
      <w:r>
        <w:rPr>
          <w:b/>
        </w:rPr>
        <w:t>爱国主义教育基地功能：</w:t>
      </w:r>
      <w:r>
        <w:t xml:space="preserve"> 中国的许多博物馆，特别是历史类和革命纪念类博物馆，被赋予了“爱国主义教育基地”的重要角色 [[12]]。其教育活动往往与国家历史、民族精神和思想政治教育紧密结合，承载着特殊的社会与政治功能。</w:t>
      </w:r>
    </w:p>
    <w:p w14:paraId="16FB764B">
      <w:pPr>
        <w:spacing w:after="400" w:line="400" w:lineRule="atLeast"/>
      </w:pPr>
      <w:r>
        <w:rPr>
          <w:b/>
        </w:rPr>
        <w:t>1.3 深层挑战与结构性瓶颈</w:t>
      </w:r>
    </w:p>
    <w:p w14:paraId="31C2F9EA">
      <w:pPr>
        <w:spacing w:after="400" w:line="400" w:lineRule="atLeast"/>
      </w:pPr>
      <w:r>
        <w:t>尽管取得了长足进步，但与国际先进水平相比，中国博物馆教育在理念、理论与实践层面仍存在显著差距和亟待解决的深层问题 [[13]][[14]][[15]]。</w:t>
      </w:r>
    </w:p>
    <w:p w14:paraId="3D2AAC42">
      <w:pPr>
        <w:numPr>
          <w:ilvl w:val="-1"/>
          <w:numId w:val="1"/>
        </w:numPr>
        <w:spacing w:after="400" w:line="400" w:lineRule="atLeast"/>
      </w:pPr>
      <w:r>
        <w:rPr>
          <w:b/>
        </w:rPr>
        <w:t>理论体系的缺失与“拿来主义”：</w:t>
      </w:r>
      <w:r>
        <w:t xml:space="preserve"> 中国博物馆教育实践的快速发展并未伴随着相应理论体系的成熟。目前，我们很大程度上仍在借鉴甚至直接照搬西方的教育理念和活动模式，缺乏一套植根于中国文化语境、符合中国国民认知习惯的自主理论框架 [[16]]。这种“知其然不知其所以然”的学习，导致许多教育活动形式大于内容，难以触及深层次的学习目标。</w:t>
      </w:r>
    </w:p>
    <w:p w14:paraId="41207142">
      <w:pPr>
        <w:numPr>
          <w:ilvl w:val="-1"/>
          <w:numId w:val="1"/>
        </w:numPr>
        <w:spacing w:after="400" w:line="400" w:lineRule="atLeast"/>
      </w:pPr>
      <w:r>
        <w:rPr>
          <w:b/>
        </w:rPr>
        <w:t>专业人才的结构性短缺：</w:t>
      </w:r>
      <w:r>
        <w:t xml:space="preserve"> 这是制约发展的核心瓶颈。一方面，兼具文博专业知识、教育学理论和活动策划能力的复合型人才极度匮乏 [[17]][[18]]。另一方面，现有的讲解员队伍专业背景单一，培养体系不健全，其角色多被定位为“背诵讲解词的复读机”，而非启发思考的“学习引导者” [[19]]。</w:t>
      </w:r>
    </w:p>
    <w:p w14:paraId="1E0F33D1">
      <w:pPr>
        <w:numPr>
          <w:ilvl w:val="-1"/>
          <w:numId w:val="1"/>
        </w:numPr>
        <w:spacing w:after="400" w:line="400" w:lineRule="atLeast"/>
      </w:pPr>
      <w:r>
        <w:rPr>
          <w:b/>
        </w:rPr>
        <w:t>内容与方法的同质化与浅层化：</w:t>
      </w:r>
      <w:r>
        <w:t xml:space="preserve"> 当前的博物馆教育内容大多仍停留在对展品本身的解释层面，即“这是什么”、“它来自哪里”、“它有什么价值” [[20]][[21]]。教育方法上，依然以单向的知识灌输为主，缺乏引导观众进行探究式学习、批判性思考和情感联结的有效策略。许多博物馆举办的教育活动形式雷同，缺乏创意和深度，未能充分挖掘藏品背后的多元价值 [[22]]。</w:t>
      </w:r>
    </w:p>
    <w:p w14:paraId="0ECF5A15">
      <w:pPr>
        <w:numPr>
          <w:ilvl w:val="-1"/>
          <w:numId w:val="1"/>
        </w:numPr>
        <w:spacing w:after="400" w:line="400" w:lineRule="atLeast"/>
      </w:pPr>
      <w:r>
        <w:rPr>
          <w:b/>
        </w:rPr>
        <w:t>馆校合作的“貌合神离”：</w:t>
      </w:r>
      <w:r>
        <w:t xml:space="preserve"> 尽管馆校合作的呼声很高，但实际落地效果并不理想。一方面，学校在应试教育（K12教育体系）的压力下，难以将博物馆学习真正融入日常教学，参观活动往往流于形式 [[23]]。另一方面，博物馆提供的教育资源与学校课程标准的对接不够精准，缺乏系统性的课程设计，导致“两张皮”现象普遍存在 [[24]]。家长对博物馆教育的期望也常常偏离其本质，更多地将其视为应试教育的补充或“打卡”项目。</w:t>
      </w:r>
    </w:p>
    <w:p w14:paraId="4EB10928">
      <w:pPr>
        <w:spacing w:after="400" w:line="400" w:lineRule="atLeast"/>
      </w:pPr>
      <w:r>
        <w:t>综上所述，中国博物馆教育正处在一个充满活力但又亟待深化的十字路口。政策的东风为其发展提供了前所未有的机遇，但要实现从量变到质变的飞跃，必须正视并着手解决上述深层次的结构性问题。</w:t>
      </w:r>
    </w:p>
    <w:p w14:paraId="3CF30623">
      <w:pPr>
        <w:spacing w:after="400" w:line="400" w:lineRule="atLeast"/>
      </w:pPr>
      <w:r>
        <w:rPr>
          <w:b/>
          <w:sz w:val="26"/>
        </w:rPr>
        <w:t>第二章：国际视野：英美博物馆教育模式比较分析</w:t>
      </w:r>
    </w:p>
    <w:p w14:paraId="3852E71D">
      <w:pPr>
        <w:spacing w:after="400" w:line="400" w:lineRule="atLeast"/>
      </w:pPr>
      <w:r>
        <w:t>美国和英国作为全球博物馆事业的先行者，其博物馆教育经历了长期的发展和演变，形成了两种既有共性又各具特色的成熟模式。研究它们的特点，对于我们反思自身、探索未来具有重要的借鉴意义。</w:t>
      </w:r>
    </w:p>
    <w:p w14:paraId="0F4C9446">
      <w:pPr>
        <w:spacing w:after="400" w:line="400" w:lineRule="atLeast"/>
      </w:pPr>
      <w:r>
        <w:rPr>
          <w:b/>
        </w:rPr>
        <w:t>2.1 美国模式：以观众为中心的参与式教育典范</w:t>
      </w:r>
    </w:p>
    <w:p w14:paraId="0EE7FD64">
      <w:pPr>
        <w:spacing w:after="400" w:line="400" w:lineRule="atLeast"/>
      </w:pPr>
      <w:r>
        <w:t>美国的博物馆教育体系根植于其民主、实用和多元的文化土壤，其最核心的特征是将教育视为博物馆存在与发展的根本使命。</w:t>
      </w:r>
    </w:p>
    <w:p w14:paraId="194FE35C">
      <w:pPr>
        <w:numPr>
          <w:ilvl w:val="-1"/>
          <w:numId w:val="1"/>
        </w:numPr>
        <w:spacing w:after="400" w:line="400" w:lineRule="atLeast"/>
      </w:pPr>
      <w:r>
        <w:rPr>
          <w:b/>
        </w:rPr>
        <w:t>理念核心：教育至上：</w:t>
      </w:r>
      <w:r>
        <w:t xml:space="preserve"> 在绝大多数美国博物馆的章程和运营理念中，教育不仅是一项重要功能，更是其首要责任和核心价值 [[25]][[26]]。许多馆长甚至公开表示，教育的重要性超越了藏品管理和展览本身 [[27]]。这种理念确保了教育部门在博物馆内部拥有较高地位和充足资源。</w:t>
      </w:r>
    </w:p>
    <w:p w14:paraId="6AE058C9">
      <w:pPr>
        <w:numPr>
          <w:ilvl w:val="-1"/>
          <w:numId w:val="1"/>
        </w:numPr>
        <w:spacing w:after="400" w:line="400" w:lineRule="atLeast"/>
      </w:pPr>
      <w:r>
        <w:rPr>
          <w:b/>
        </w:rPr>
        <w:t>资源投入：高额保障：</w:t>
      </w:r>
      <w:r>
        <w:t xml:space="preserve"> 与理念相匹配的是巨大的资源投入。美国博物馆每年会在教育项目上投入巨额资金，并拥有规模庞大、专业化的教育部门 [[28]][[29]]。教育专员、课程设计师、社区联络员等职位分工明确，构成了专业的教育团队 [[30]]。</w:t>
      </w:r>
    </w:p>
    <w:p w14:paraId="5661F4EA">
      <w:pPr>
        <w:numPr>
          <w:ilvl w:val="-1"/>
          <w:numId w:val="1"/>
        </w:numPr>
        <w:spacing w:after="400" w:line="400" w:lineRule="atLeast"/>
      </w:pPr>
      <w:r>
        <w:rPr>
          <w:b/>
        </w:rPr>
        <w:t>方法论：互动与体验：</w:t>
      </w:r>
      <w:r>
        <w:t xml:space="preserve"> 美国博物馆教育极度强调学习者的主动参与和亲身体验 [[31]][[32]]。无论是展览设计还是教育活动，都充满了互动装置、动手环节和开放性问题，鼓励观众通过触摸、操作、实验、讨论来构建自己的知识。趣味性被视为激发学习动机的关键要素 [[33]]。</w:t>
      </w:r>
    </w:p>
    <w:p w14:paraId="7089265C">
      <w:pPr>
        <w:numPr>
          <w:ilvl w:val="-1"/>
          <w:numId w:val="1"/>
        </w:numPr>
        <w:spacing w:after="400" w:line="400" w:lineRule="atLeast"/>
      </w:pPr>
      <w:r>
        <w:rPr>
          <w:b/>
        </w:rPr>
        <w:t>实践范畴：深度融合社区与学校：</w:t>
      </w:r>
    </w:p>
    <w:p w14:paraId="1B91E656">
      <w:pPr>
        <w:numPr>
          <w:ilvl w:val="-1"/>
          <w:numId w:val="1"/>
        </w:numPr>
        <w:spacing w:after="400" w:line="400" w:lineRule="atLeast"/>
      </w:pPr>
      <w:r>
        <w:rPr>
          <w:b/>
        </w:rPr>
        <w:t>服务多元社群：</w:t>
      </w:r>
      <w:r>
        <w:t xml:space="preserve"> 美国博物馆致力于服务所有社会成员，包括不同族裔、年龄层（特别是儿童和老年人）以及特殊需求群体，体现了其强烈的社会包容性 [[34]]。</w:t>
      </w:r>
    </w:p>
    <w:p w14:paraId="22666257">
      <w:pPr>
        <w:numPr>
          <w:ilvl w:val="-1"/>
          <w:numId w:val="1"/>
        </w:numPr>
        <w:spacing w:after="400" w:line="400" w:lineRule="atLeast"/>
      </w:pPr>
      <w:r>
        <w:rPr>
          <w:b/>
        </w:rPr>
        <w:t>深度馆校合作：</w:t>
      </w:r>
      <w:r>
        <w:t xml:space="preserve"> 合作远不止于组织学生参观。博物馆为教师提供系统性的专业培训，开发与学校课程标准紧密结合的教学资源包，甚至提供“移动博物馆”服务，将展品和教育活动送到学校 [[35]][[36]]。</w:t>
      </w:r>
    </w:p>
    <w:p w14:paraId="149A0610">
      <w:pPr>
        <w:numPr>
          <w:ilvl w:val="-1"/>
          <w:numId w:val="1"/>
        </w:numPr>
        <w:spacing w:after="400" w:line="400" w:lineRule="atLeast"/>
      </w:pPr>
      <w:r>
        <w:rPr>
          <w:b/>
        </w:rPr>
        <w:t>知识传播中心：</w:t>
      </w:r>
      <w:r>
        <w:t xml:space="preserve"> 它们积极扮演社区文化中心的角色，通过外展活动、社区合作项目等方式，主动向公众传播知识，而非被动等待观众上门 [[37]]。</w:t>
      </w:r>
    </w:p>
    <w:p w14:paraId="398C4643">
      <w:pPr>
        <w:numPr>
          <w:ilvl w:val="-1"/>
          <w:numId w:val="1"/>
        </w:numPr>
        <w:spacing w:after="400" w:line="400" w:lineRule="atLeast"/>
      </w:pPr>
      <w:r>
        <w:rPr>
          <w:b/>
        </w:rPr>
        <w:t>学术支撑：</w:t>
      </w:r>
      <w:r>
        <w:t xml:space="preserve"> 美国的高等教育体系为博物馆教育提供了坚实的智力支持，众多大学开设了博物馆学硕士课程，其中博物馆教育是核心研究方向，培养了大量专业人才 [[38]]。</w:t>
      </w:r>
    </w:p>
    <w:p w14:paraId="771971B7">
      <w:pPr>
        <w:spacing w:after="400" w:line="400" w:lineRule="atLeast"/>
      </w:pPr>
      <w:r>
        <w:rPr>
          <w:b/>
        </w:rPr>
        <w:t>2.2 英国模式：学术传统与公共服务的融合</w:t>
      </w:r>
    </w:p>
    <w:p w14:paraId="12B91102">
      <w:pPr>
        <w:spacing w:after="400" w:line="400" w:lineRule="atLeast"/>
      </w:pPr>
      <w:r>
        <w:t>英国的博物馆教育发展路径与美国有所不同，其特点是深受欧洲大陆学术传统的影响，同时在近代以来不断强化其公共服务和社会责任。</w:t>
      </w:r>
    </w:p>
    <w:p w14:paraId="26F2FC34">
      <w:pPr>
        <w:numPr>
          <w:ilvl w:val="-1"/>
          <w:numId w:val="1"/>
        </w:numPr>
        <w:spacing w:after="400" w:line="400" w:lineRule="atLeast"/>
      </w:pPr>
      <w:r>
        <w:rPr>
          <w:b/>
        </w:rPr>
        <w:t>发展路径：从学术附庸到公共核心：</w:t>
      </w:r>
      <w:r>
        <w:t xml:space="preserve"> 历史上，英国博物馆（如大英博物馆）更侧重于收藏、研究和分类，教育功能在早期并未得到像美国那样的重视，甚至被视为正式教育体系的附属 [[39]][[40]]。然而，进入20世纪末，特别是新工党政府执政以来，政府通过政策和资金杠杆，强力推动博物馆向公众开放，强调其在社会包容、终身学习和文化平权方面的作用，极大地促进了其教育功能的发展 [[41]][[42]]。</w:t>
      </w:r>
    </w:p>
    <w:p w14:paraId="05F3C1D2">
      <w:pPr>
        <w:numPr>
          <w:ilvl w:val="-1"/>
          <w:numId w:val="1"/>
        </w:numPr>
        <w:spacing w:after="400" w:line="400" w:lineRule="atLeast"/>
      </w:pPr>
      <w:r>
        <w:rPr>
          <w:b/>
        </w:rPr>
        <w:t>方法论：学术性与多元文化并重：</w:t>
      </w:r>
      <w:r>
        <w:t xml:space="preserve"> 英国博物馆教育保留了较强的学术研究底蕴 [[43]]。其展览和教育活动在保证通俗易懂的同时，也非常注重知识的准确性和体系性。同时，作为一个多民族移民国家，英国博物馆在教育中高度重视多元文化主义，通过展览和活动探讨文化认同、殖民历史等复杂议题，促进跨文化理解 [[44]]。</w:t>
      </w:r>
    </w:p>
    <w:p w14:paraId="1068A51D">
      <w:pPr>
        <w:numPr>
          <w:ilvl w:val="-1"/>
          <w:numId w:val="1"/>
        </w:numPr>
        <w:spacing w:after="400" w:line="400" w:lineRule="atLeast"/>
      </w:pPr>
      <w:r>
        <w:rPr>
          <w:b/>
        </w:rPr>
        <w:t>资源投入：政府主导下的增长：</w:t>
      </w:r>
      <w:r>
        <w:t xml:space="preserve"> 与美国主要依靠私人捐赠和基金会支持不同，英国大型国家级博物馆的教育经费在很大程度上依赖政府拨款。虽然教育人员的比例和总支出相对低于美国 [[45]]，但在政府的持续推动下，其教育投入近年来也稳步增长。高等教育机构同样提供相关的专业培训课程 [[46]]。</w:t>
      </w:r>
    </w:p>
    <w:p w14:paraId="68F141BB">
      <w:pPr>
        <w:numPr>
          <w:ilvl w:val="-1"/>
          <w:numId w:val="1"/>
        </w:numPr>
        <w:spacing w:after="400" w:line="400" w:lineRule="atLeast"/>
      </w:pPr>
      <w:r>
        <w:rPr>
          <w:b/>
        </w:rPr>
        <w:t>实践特色：与正规教育体系紧密挂钩：</w:t>
      </w:r>
      <w:r>
        <w:t xml:space="preserve"> 参观博物馆被视为英国中小学教育不可或缺的一环 [[47]]。许多国家级博物馆对学生团体实行免费政策，并提供丰富的在线教育资源、教师手册和互动展览区域，以支持学校教学 [[48]]。</w:t>
      </w:r>
    </w:p>
    <w:p w14:paraId="13CE7483">
      <w:pPr>
        <w:spacing w:after="400" w:line="400" w:lineRule="atLeast"/>
      </w:pPr>
      <w:r>
        <w:rPr>
          <w:b/>
        </w:rPr>
        <w:t>2.3 对比与启示</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5FCC3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1EB34DF">
            <w:pPr>
              <w:spacing w:after="400" w:line="400" w:lineRule="exact"/>
              <w:jc w:val="left"/>
            </w:pPr>
            <w:r>
              <w:rPr>
                <w:b/>
              </w:rPr>
              <w:t>维度</w:t>
            </w:r>
          </w:p>
        </w:tc>
        <w:tc>
          <w:tcPr>
            <w:tcW w:w="2074" w:type="dxa"/>
          </w:tcPr>
          <w:p w14:paraId="656D6130">
            <w:pPr>
              <w:spacing w:after="400" w:line="400" w:lineRule="exact"/>
              <w:jc w:val="left"/>
            </w:pPr>
            <w:r>
              <w:rPr>
                <w:b/>
              </w:rPr>
              <w:t>美国模式</w:t>
            </w:r>
          </w:p>
        </w:tc>
        <w:tc>
          <w:tcPr>
            <w:tcW w:w="2074" w:type="dxa"/>
          </w:tcPr>
          <w:p w14:paraId="277413A9">
            <w:pPr>
              <w:spacing w:after="400" w:line="400" w:lineRule="exact"/>
              <w:jc w:val="left"/>
            </w:pPr>
            <w:r>
              <w:rPr>
                <w:b/>
              </w:rPr>
              <w:t>英国模式</w:t>
            </w:r>
          </w:p>
        </w:tc>
        <w:tc>
          <w:tcPr>
            <w:tcW w:w="2074" w:type="dxa"/>
          </w:tcPr>
          <w:p w14:paraId="7B0BFAB6">
            <w:pPr>
              <w:spacing w:after="400" w:line="400" w:lineRule="exact"/>
              <w:jc w:val="left"/>
            </w:pPr>
            <w:r>
              <w:rPr>
                <w:b/>
              </w:rPr>
              <w:t>对中国的启示</w:t>
            </w:r>
          </w:p>
        </w:tc>
      </w:tr>
      <w:tr w14:paraId="3C958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D79EFBE">
            <w:pPr>
              <w:spacing w:after="400" w:line="400" w:lineRule="exact"/>
              <w:jc w:val="left"/>
            </w:pPr>
            <w:r>
              <w:rPr>
                <w:b/>
              </w:rPr>
              <w:t>核心理念</w:t>
            </w:r>
          </w:p>
        </w:tc>
        <w:tc>
          <w:tcPr>
            <w:tcW w:w="2074" w:type="dxa"/>
          </w:tcPr>
          <w:p w14:paraId="3FA2EAC7">
            <w:pPr>
              <w:spacing w:after="400" w:line="400" w:lineRule="exact"/>
              <w:jc w:val="left"/>
            </w:pPr>
            <w:r>
              <w:t>教育是首要使命，观众体验至上</w:t>
            </w:r>
          </w:p>
        </w:tc>
        <w:tc>
          <w:tcPr>
            <w:tcW w:w="2074" w:type="dxa"/>
          </w:tcPr>
          <w:p w14:paraId="1A6BB02E">
            <w:pPr>
              <w:spacing w:after="400" w:line="400" w:lineRule="exact"/>
              <w:jc w:val="left"/>
            </w:pPr>
            <w:r>
              <w:t>学术研究与公共服务并重，受政府政策影响大</w:t>
            </w:r>
          </w:p>
        </w:tc>
        <w:tc>
          <w:tcPr>
            <w:tcW w:w="2074" w:type="dxa"/>
          </w:tcPr>
          <w:p w14:paraId="517BB3E1">
            <w:pPr>
              <w:spacing w:after="400" w:line="400" w:lineRule="exact"/>
              <w:jc w:val="left"/>
            </w:pPr>
            <w:r>
              <w:t>明确博物馆教育的核心地位，不能仅作为附属功能。</w:t>
            </w:r>
          </w:p>
        </w:tc>
      </w:tr>
      <w:tr w14:paraId="3863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7EFA8EA">
            <w:pPr>
              <w:spacing w:after="400" w:line="400" w:lineRule="exact"/>
              <w:jc w:val="left"/>
            </w:pPr>
            <w:r>
              <w:rPr>
                <w:b/>
              </w:rPr>
              <w:t>资源投入</w:t>
            </w:r>
          </w:p>
        </w:tc>
        <w:tc>
          <w:tcPr>
            <w:tcW w:w="2074" w:type="dxa"/>
          </w:tcPr>
          <w:p w14:paraId="44BF0C75">
            <w:pPr>
              <w:spacing w:after="400" w:line="400" w:lineRule="exact"/>
              <w:jc w:val="left"/>
            </w:pPr>
            <w:r>
              <w:t>以社会捐赠和基金会为主，投入巨大</w:t>
            </w:r>
          </w:p>
        </w:tc>
        <w:tc>
          <w:tcPr>
            <w:tcW w:w="2074" w:type="dxa"/>
          </w:tcPr>
          <w:p w14:paraId="0BD94221">
            <w:pPr>
              <w:spacing w:after="400" w:line="400" w:lineRule="exact"/>
              <w:jc w:val="left"/>
            </w:pPr>
            <w:r>
              <w:t>以政府拨款为主，投入相对较少但持续增长</w:t>
            </w:r>
          </w:p>
        </w:tc>
        <w:tc>
          <w:tcPr>
            <w:tcW w:w="2074" w:type="dxa"/>
          </w:tcPr>
          <w:p w14:paraId="6D944858">
            <w:pPr>
              <w:spacing w:after="400" w:line="400" w:lineRule="exact"/>
              <w:jc w:val="left"/>
            </w:pPr>
            <w:r>
              <w:t>建立多元化的投入机制，政府、社会、市场共同参与。</w:t>
            </w:r>
          </w:p>
        </w:tc>
      </w:tr>
      <w:tr w14:paraId="18FC8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4ADBF11">
            <w:pPr>
              <w:spacing w:after="400" w:line="400" w:lineRule="exact"/>
              <w:jc w:val="left"/>
            </w:pPr>
            <w:r>
              <w:rPr>
                <w:b/>
              </w:rPr>
              <w:t>教育方法</w:t>
            </w:r>
          </w:p>
        </w:tc>
        <w:tc>
          <w:tcPr>
            <w:tcW w:w="2074" w:type="dxa"/>
          </w:tcPr>
          <w:p w14:paraId="383A4ADF">
            <w:pPr>
              <w:spacing w:after="400" w:line="400" w:lineRule="exact"/>
              <w:jc w:val="left"/>
            </w:pPr>
            <w:r>
              <w:t>强调互动、体验、趣味、动手参与</w:t>
            </w:r>
          </w:p>
        </w:tc>
        <w:tc>
          <w:tcPr>
            <w:tcW w:w="2074" w:type="dxa"/>
          </w:tcPr>
          <w:p w14:paraId="42A37903">
            <w:pPr>
              <w:spacing w:after="400" w:line="400" w:lineRule="exact"/>
              <w:jc w:val="left"/>
            </w:pPr>
            <w:r>
              <w:t>注重学术严谨性、多元文化叙事、与课程结合</w:t>
            </w:r>
          </w:p>
        </w:tc>
        <w:tc>
          <w:tcPr>
            <w:tcW w:w="2074" w:type="dxa"/>
          </w:tcPr>
          <w:p w14:paraId="6F27BA0F">
            <w:pPr>
              <w:spacing w:after="400" w:line="400" w:lineRule="exact"/>
              <w:jc w:val="left"/>
            </w:pPr>
            <w:r>
              <w:t>必须从单向灌输转向双向互动，开发更多体验式项目。</w:t>
            </w:r>
          </w:p>
        </w:tc>
      </w:tr>
      <w:tr w14:paraId="79A7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B59A208">
            <w:pPr>
              <w:spacing w:after="400" w:line="400" w:lineRule="exact"/>
              <w:jc w:val="left"/>
            </w:pPr>
            <w:r>
              <w:rPr>
                <w:b/>
              </w:rPr>
              <w:t>服务对象</w:t>
            </w:r>
          </w:p>
        </w:tc>
        <w:tc>
          <w:tcPr>
            <w:tcW w:w="2074" w:type="dxa"/>
          </w:tcPr>
          <w:p w14:paraId="1B9154F6">
            <w:pPr>
              <w:spacing w:after="400" w:line="400" w:lineRule="exact"/>
              <w:jc w:val="left"/>
            </w:pPr>
            <w:r>
              <w:t>极度重视社区、多元族裔和终身学习</w:t>
            </w:r>
          </w:p>
        </w:tc>
        <w:tc>
          <w:tcPr>
            <w:tcW w:w="2074" w:type="dxa"/>
          </w:tcPr>
          <w:p w14:paraId="7BDA3E7A">
            <w:pPr>
              <w:spacing w:after="400" w:line="400" w:lineRule="exact"/>
              <w:jc w:val="left"/>
            </w:pPr>
            <w:r>
              <w:t>强调社会包容和与学校教育的系统性对接</w:t>
            </w:r>
          </w:p>
        </w:tc>
        <w:tc>
          <w:tcPr>
            <w:tcW w:w="2074" w:type="dxa"/>
          </w:tcPr>
          <w:p w14:paraId="042648CE">
            <w:pPr>
              <w:spacing w:after="400" w:line="400" w:lineRule="exact"/>
              <w:jc w:val="left"/>
            </w:pPr>
            <w:r>
              <w:t>深耕社区，精准服务不同人群，深化与K12体系的实质性融合。</w:t>
            </w:r>
          </w:p>
        </w:tc>
      </w:tr>
      <w:tr w14:paraId="168C8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37466DE">
            <w:pPr>
              <w:spacing w:after="400" w:line="400" w:lineRule="exact"/>
              <w:jc w:val="left"/>
            </w:pPr>
            <w:r>
              <w:rPr>
                <w:b/>
              </w:rPr>
              <w:t>发展动力</w:t>
            </w:r>
          </w:p>
        </w:tc>
        <w:tc>
          <w:tcPr>
            <w:tcW w:w="2074" w:type="dxa"/>
          </w:tcPr>
          <w:p w14:paraId="6D72686C">
            <w:pPr>
              <w:spacing w:after="400" w:line="400" w:lineRule="exact"/>
              <w:jc w:val="left"/>
            </w:pPr>
            <w:r>
              <w:t>内生性需求驱动（博物馆自身定位）</w:t>
            </w:r>
          </w:p>
        </w:tc>
        <w:tc>
          <w:tcPr>
            <w:tcW w:w="2074" w:type="dxa"/>
          </w:tcPr>
          <w:p w14:paraId="55F0A061">
            <w:pPr>
              <w:spacing w:after="400" w:line="400" w:lineRule="exact"/>
              <w:jc w:val="left"/>
            </w:pPr>
            <w:r>
              <w:t>外延性政策驱动（政府社会目标）</w:t>
            </w:r>
          </w:p>
        </w:tc>
        <w:tc>
          <w:tcPr>
            <w:tcW w:w="2074" w:type="dxa"/>
          </w:tcPr>
          <w:p w14:paraId="2D0F28A0">
            <w:pPr>
              <w:spacing w:after="400" w:line="400" w:lineRule="exact"/>
              <w:jc w:val="left"/>
            </w:pPr>
            <w:r>
              <w:t>强化顶层设计的同时，激发博物馆自身发展的内生动力。</w:t>
            </w:r>
          </w:p>
        </w:tc>
      </w:tr>
    </w:tbl>
    <w:p w14:paraId="387BDD5A">
      <w:pPr>
        <w:spacing w:before="400" w:after="400" w:line="400" w:lineRule="atLeast"/>
      </w:pPr>
      <w:r>
        <w:t>通过对比可以看出，中美英三国博物馆教育处于不同的发展阶段。中国目前的发展路径更接近于英国的“政府推动”模式，但在教育理念和实践方法上，美国“以学习者为中心”的模式无疑为我们提供了更具前瞻性的参考。如何在借鉴两者优长的基础上，探索出一条适合中国国情的融合发展之路，是中国博物馆教育面临的核心课题。</w:t>
      </w:r>
    </w:p>
    <w:p w14:paraId="6E0BC00A">
      <w:pPr>
        <w:spacing w:after="400" w:line="400" w:lineRule="atLeast"/>
      </w:pPr>
      <w:r>
        <w:rPr>
          <w:b/>
          <w:sz w:val="30"/>
        </w:rPr>
        <w:t>第二部分：博物馆分类及其教育实践差异</w:t>
      </w:r>
    </w:p>
    <w:p w14:paraId="5ECE852F">
      <w:pPr>
        <w:spacing w:after="400" w:line="400" w:lineRule="atLeast"/>
      </w:pPr>
      <w:r>
        <w:t>将博物馆视为一个同质化的整体进行讨论，会忽略其内部巨大的差异性。不同类型、不同规模的博物馆，其资源禀赋、目标受众、运营模式和教育使命各不相同，从而导致其教育实践呈现出显著的多样性。本部分将从所有制和规模两个主要维度对博物馆进行分类，并探讨这些差异如何体现在其教育策略中。</w:t>
      </w:r>
    </w:p>
    <w:p w14:paraId="3266422C">
      <w:pPr>
        <w:spacing w:after="400" w:line="400" w:lineRule="atLeast"/>
      </w:pPr>
      <w:r>
        <w:rPr>
          <w:b/>
          <w:sz w:val="26"/>
        </w:rPr>
        <w:t>第三章：按所有制划分：公立与私立博物馆的教育使命</w:t>
      </w:r>
    </w:p>
    <w:p w14:paraId="4883BBFA">
      <w:pPr>
        <w:spacing w:after="400" w:line="400" w:lineRule="atLeast"/>
      </w:pPr>
      <w:r>
        <w:t>根据资金来源和管理主体的不同，博物馆可主要分为公立博物馆和私立（非国有）博物馆。这两种所有制形式决定了它们在社会中的角色定位，也深刻影响了其教育活动的开展。</w:t>
      </w:r>
    </w:p>
    <w:p w14:paraId="7928A0C8">
      <w:pPr>
        <w:spacing w:after="400" w:line="400" w:lineRule="atLeast"/>
      </w:pPr>
      <w:r>
        <w:rPr>
          <w:b/>
        </w:rPr>
        <w:t>3.1 公立博物馆：国家叙事与普惠教育的承担者</w:t>
      </w:r>
    </w:p>
    <w:p w14:paraId="7500E815">
      <w:pPr>
        <w:spacing w:after="400" w:line="400" w:lineRule="atLeast"/>
      </w:pPr>
      <w:r>
        <w:t>公立博物馆，特别是国家级和省级大型博物馆，通常由政府出资建立和运营。它们是国家文化意志的体现，承担着构建国家记忆、传承主流文化、提升国民素质的重任。</w:t>
      </w:r>
    </w:p>
    <w:p w14:paraId="4166594F">
      <w:pPr>
        <w:numPr>
          <w:ilvl w:val="-1"/>
          <w:numId w:val="1"/>
        </w:numPr>
        <w:spacing w:after="400" w:line="400" w:lineRule="atLeast"/>
      </w:pPr>
      <w:r>
        <w:rPr>
          <w:b/>
        </w:rPr>
        <w:t>教育使命与内容：</w:t>
      </w:r>
      <w:r>
        <w:t xml:space="preserve"> 其教育内容往往与宏大叙事紧密相连，如中华文明的源远流长、国家发展的辉煌成就等。作为“爱国主义教育基地” [[49]]，它们在青少年思想政治教育中扮演着重要角色。其教育目标强调普惠性，致力于为最广泛的公众提供标准化的、高质量的文化教育服务。</w:t>
      </w:r>
    </w:p>
    <w:p w14:paraId="49650FAC">
      <w:pPr>
        <w:numPr>
          <w:ilvl w:val="-1"/>
          <w:numId w:val="1"/>
        </w:numPr>
        <w:spacing w:after="400" w:line="400" w:lineRule="atLeast"/>
      </w:pPr>
      <w:r>
        <w:rPr>
          <w:b/>
        </w:rPr>
        <w:t>资源优势与实践特点：</w:t>
      </w:r>
    </w:p>
    <w:p w14:paraId="562F1E35">
      <w:pPr>
        <w:numPr>
          <w:ilvl w:val="-1"/>
          <w:numId w:val="1"/>
        </w:numPr>
        <w:spacing w:after="400" w:line="400" w:lineRule="atLeast"/>
      </w:pPr>
      <w:r>
        <w:rPr>
          <w:b/>
        </w:rPr>
        <w:t>藏品宏富：</w:t>
      </w:r>
      <w:r>
        <w:t xml:space="preserve"> 拥有最珍贵、最系统、最具代表性的馆藏，为开展高水平的教育活动提供了无与伦比的物质基础。</w:t>
      </w:r>
    </w:p>
    <w:p w14:paraId="1BCEF239">
      <w:pPr>
        <w:numPr>
          <w:ilvl w:val="-1"/>
          <w:numId w:val="1"/>
        </w:numPr>
        <w:spacing w:after="400" w:line="400" w:lineRule="atLeast"/>
      </w:pPr>
      <w:r>
        <w:rPr>
          <w:b/>
        </w:rPr>
        <w:t>资金稳定：</w:t>
      </w:r>
      <w:r>
        <w:t xml:space="preserve"> 稳定的财政拨款保障了其可以开展大规模、长周期的教育项目，并能够投入资源进行数字化建设和学术研究。</w:t>
      </w:r>
    </w:p>
    <w:p w14:paraId="480A6036">
      <w:pPr>
        <w:numPr>
          <w:ilvl w:val="-1"/>
          <w:numId w:val="1"/>
        </w:numPr>
        <w:spacing w:after="400" w:line="400" w:lineRule="atLeast"/>
      </w:pPr>
      <w:r>
        <w:rPr>
          <w:b/>
        </w:rPr>
        <w:t>权威性强：</w:t>
      </w:r>
      <w:r>
        <w:t xml:space="preserve"> 其发布的知识和解读具有高度的权威性，是公众信赖的知识来源。</w:t>
      </w:r>
    </w:p>
    <w:p w14:paraId="690F4D7D">
      <w:pPr>
        <w:numPr>
          <w:ilvl w:val="-1"/>
          <w:numId w:val="1"/>
        </w:numPr>
        <w:spacing w:after="400" w:line="400" w:lineRule="atLeast"/>
      </w:pPr>
      <w:r>
        <w:rPr>
          <w:b/>
        </w:rPr>
        <w:t>规模化运作：</w:t>
      </w:r>
      <w:r>
        <w:t xml:space="preserve"> 能够接待大规模的学校团体，开发的教育项目（如中国国家博物馆的“双师制”课程）影响力广泛，具有示范效应 [[50]]。</w:t>
      </w:r>
    </w:p>
    <w:p w14:paraId="0BFBB6A4">
      <w:pPr>
        <w:numPr>
          <w:ilvl w:val="-1"/>
          <w:numId w:val="1"/>
        </w:numPr>
        <w:spacing w:after="400" w:line="400" w:lineRule="atLeast"/>
      </w:pPr>
      <w:r>
        <w:rPr>
          <w:b/>
        </w:rPr>
        <w:t>面临的挑战：</w:t>
      </w:r>
    </w:p>
    <w:p w14:paraId="32185B7A">
      <w:pPr>
        <w:numPr>
          <w:ilvl w:val="-1"/>
          <w:numId w:val="1"/>
        </w:numPr>
        <w:spacing w:after="400" w:line="400" w:lineRule="atLeast"/>
      </w:pPr>
      <w:r>
        <w:rPr>
          <w:b/>
        </w:rPr>
        <w:t>机制僵化：</w:t>
      </w:r>
      <w:r>
        <w:t xml:space="preserve"> 作为事业单位，其运营和决策流程可能较为复杂和缓慢，对新兴教育需求和社会热点的反应速度不及私立博物馆。</w:t>
      </w:r>
    </w:p>
    <w:p w14:paraId="7D7BD180">
      <w:pPr>
        <w:numPr>
          <w:ilvl w:val="-1"/>
          <w:numId w:val="1"/>
        </w:numPr>
        <w:spacing w:after="400" w:line="400" w:lineRule="atLeast"/>
      </w:pPr>
      <w:r>
        <w:rPr>
          <w:b/>
        </w:rPr>
        <w:t>内容标准化：</w:t>
      </w:r>
      <w:r>
        <w:t xml:space="preserve"> 为了满足普惠性要求，其教育内容有时会显得“千馆一面”，缺乏针对特定社群的个性化和灵活性。</w:t>
      </w:r>
    </w:p>
    <w:p w14:paraId="2362AEBD">
      <w:pPr>
        <w:numPr>
          <w:ilvl w:val="-1"/>
          <w:numId w:val="1"/>
        </w:numPr>
        <w:spacing w:after="400" w:line="400" w:lineRule="atLeast"/>
      </w:pPr>
      <w:r>
        <w:rPr>
          <w:b/>
        </w:rPr>
        <w:t>创新动力：</w:t>
      </w:r>
      <w:r>
        <w:t xml:space="preserve"> 在缺乏市场竞争压力的情况下，部分公立博物馆可能存在创新动力不足的问题，教育活动容易陷入程式化。</w:t>
      </w:r>
    </w:p>
    <w:p w14:paraId="2D299C72">
      <w:pPr>
        <w:spacing w:after="400" w:line="400" w:lineRule="atLeast"/>
      </w:pPr>
      <w:r>
        <w:rPr>
          <w:b/>
        </w:rPr>
        <w:t>3.2 私立（非国有）博物馆：特色收藏与个性化教育的探索者</w:t>
      </w:r>
    </w:p>
    <w:p w14:paraId="376BD7F0">
      <w:pPr>
        <w:spacing w:after="400" w:line="400" w:lineRule="atLeast"/>
      </w:pPr>
      <w:r>
        <w:t>私立博物馆（在中国常被称为非国有博物馆）是由个人、家族、企业或社会团体出资建立的 [[51]][[52]]。它们是中国博物馆体系中一支日益重要的新生力量，以其独特的收藏和灵活的运营机制，为博物馆教育生态注入了新的活力。</w:t>
      </w:r>
    </w:p>
    <w:p w14:paraId="10035E1A">
      <w:pPr>
        <w:numPr>
          <w:ilvl w:val="-1"/>
          <w:numId w:val="1"/>
        </w:numPr>
        <w:spacing w:after="400" w:line="400" w:lineRule="atLeast"/>
      </w:pPr>
      <w:r>
        <w:rPr>
          <w:b/>
        </w:rPr>
        <w:t>教育使命与内容：</w:t>
      </w:r>
      <w:r>
        <w:t xml:space="preserve"> 私立博物馆的教育内容高度依赖其创始人的收藏兴趣和价值追求 [[53]]。它们往往聚焦于某一特定领域，如古代家具、当代艺术、特定行业的历史等。其教育使命更加个性化和社群化，旨在围绕其特色收藏，培养和服务特定的兴趣社群，提供公立博物馆难以企及的深度和个性化体验。</w:t>
      </w:r>
    </w:p>
    <w:p w14:paraId="014314CB">
      <w:pPr>
        <w:numPr>
          <w:ilvl w:val="-1"/>
          <w:numId w:val="1"/>
        </w:numPr>
        <w:spacing w:after="400" w:line="400" w:lineRule="atLeast"/>
      </w:pPr>
      <w:r>
        <w:rPr>
          <w:b/>
        </w:rPr>
        <w:t>资源优势与实践特点：</w:t>
      </w:r>
    </w:p>
    <w:p w14:paraId="1057DEC2">
      <w:pPr>
        <w:numPr>
          <w:ilvl w:val="-1"/>
          <w:numId w:val="1"/>
        </w:numPr>
        <w:spacing w:after="400" w:line="400" w:lineRule="atLeast"/>
      </w:pPr>
      <w:r>
        <w:rPr>
          <w:b/>
        </w:rPr>
        <w:t>主题鲜明：</w:t>
      </w:r>
      <w:r>
        <w:t xml:space="preserve"> 收藏体系专精，能够为爱好者提供“小而美”的沉浸式学习体验。</w:t>
      </w:r>
    </w:p>
    <w:p w14:paraId="4BE071AE">
      <w:pPr>
        <w:numPr>
          <w:ilvl w:val="-1"/>
          <w:numId w:val="1"/>
        </w:numPr>
        <w:spacing w:after="400" w:line="400" w:lineRule="atLeast"/>
      </w:pPr>
      <w:r>
        <w:rPr>
          <w:b/>
        </w:rPr>
        <w:t>机制灵活：</w:t>
      </w:r>
      <w:r>
        <w:t xml:space="preserve"> 决策链条短，能够快速响应市场变化和观众需求，在课程设计、活动策划上更具实验性和创新性。例如，可以与艺术家、设计师、独立学者等进行跨界合作，推出前沿的教育项目。</w:t>
      </w:r>
    </w:p>
    <w:p w14:paraId="1122C4C9">
      <w:pPr>
        <w:numPr>
          <w:ilvl w:val="-1"/>
          <w:numId w:val="1"/>
        </w:numPr>
        <w:spacing w:after="400" w:line="400" w:lineRule="atLeast"/>
      </w:pPr>
      <w:r>
        <w:rPr>
          <w:b/>
        </w:rPr>
        <w:t>社群粘性强：</w:t>
      </w:r>
      <w:r>
        <w:t xml:space="preserve"> 易于围绕其核心藏品构建起忠实的粉丝社群，通过会员制、主题沙龙等形式，开展持续性的深度教育活动。</w:t>
      </w:r>
    </w:p>
    <w:p w14:paraId="48A4FA03">
      <w:pPr>
        <w:numPr>
          <w:ilvl w:val="-1"/>
          <w:numId w:val="1"/>
        </w:numPr>
        <w:spacing w:after="400" w:line="400" w:lineRule="atLeast"/>
      </w:pPr>
      <w:r>
        <w:rPr>
          <w:b/>
        </w:rPr>
        <w:t>面临的挑战：</w:t>
      </w:r>
    </w:p>
    <w:p w14:paraId="173B77B5">
      <w:pPr>
        <w:numPr>
          <w:ilvl w:val="-1"/>
          <w:numId w:val="1"/>
        </w:numPr>
        <w:spacing w:after="400" w:line="400" w:lineRule="atLeast"/>
      </w:pPr>
      <w:r>
        <w:rPr>
          <w:b/>
        </w:rPr>
        <w:t>资金来源不稳定：</w:t>
      </w:r>
      <w:r>
        <w:t xml:space="preserve"> 运营资金高度依赖创始人的投入或市场收入，抗风险能力弱，制约了教育活动的规模和可持续性。</w:t>
      </w:r>
    </w:p>
    <w:p w14:paraId="79487546">
      <w:pPr>
        <w:numPr>
          <w:ilvl w:val="-1"/>
          <w:numId w:val="1"/>
        </w:numPr>
        <w:spacing w:after="400" w:line="400" w:lineRule="atLeast"/>
      </w:pPr>
      <w:r>
        <w:rPr>
          <w:b/>
        </w:rPr>
        <w:t>专业人才匮乏：</w:t>
      </w:r>
      <w:r>
        <w:t xml:space="preserve"> 难以吸引和留住高水平的策展、教育和管理人才，许多私立博物馆的专业化程度有待提高 [[54]]。</w:t>
      </w:r>
    </w:p>
    <w:p w14:paraId="6A1CF4D4">
      <w:pPr>
        <w:numPr>
          <w:ilvl w:val="-1"/>
          <w:numId w:val="1"/>
        </w:numPr>
        <w:spacing w:after="400" w:line="400" w:lineRule="atLeast"/>
      </w:pPr>
      <w:r>
        <w:rPr>
          <w:b/>
        </w:rPr>
        <w:t>社会公信力：</w:t>
      </w:r>
      <w:r>
        <w:t xml:space="preserve"> 相较于公立博物馆，其在藏品真伪、学术研究和知识解读上的公信力需要一个长期的建设过程。</w:t>
      </w:r>
    </w:p>
    <w:p w14:paraId="7DEEC6F0">
      <w:pPr>
        <w:numPr>
          <w:ilvl w:val="-1"/>
          <w:numId w:val="1"/>
        </w:numPr>
        <w:spacing w:after="400" w:line="400" w:lineRule="atLeast"/>
      </w:pPr>
      <w:r>
        <w:rPr>
          <w:b/>
        </w:rPr>
        <w:t>发展不均衡：</w:t>
      </w:r>
      <w:r>
        <w:t xml:space="preserve"> 中国的私立博物馆发展水平参差不齐，许多仍处于生存线上，教育功能的发挥受到极大限制。政府的规范与扶持政策至关重要 [[55]]。</w:t>
      </w:r>
    </w:p>
    <w:p w14:paraId="5411921F">
      <w:pPr>
        <w:spacing w:after="400" w:line="400" w:lineRule="atLeast"/>
      </w:pPr>
      <w:r>
        <w:rPr>
          <w:b/>
          <w:sz w:val="26"/>
        </w:rPr>
        <w:t>第四章：按规模划分：不同体量博物馆的教育策略</w:t>
      </w:r>
    </w:p>
    <w:p w14:paraId="5844A8A0">
      <w:pPr>
        <w:spacing w:after="400" w:line="400" w:lineRule="atLeast"/>
      </w:pPr>
      <w:r>
        <w:t>博物馆的规模（通常依据场地面积、藏品数量、人员编制和年度预算等指标划分 [[56]]直接决定了其资源配置能力和在社会教育网络中的生态位，进而塑造了其教育策略。</w:t>
      </w:r>
    </w:p>
    <w:p w14:paraId="5D123EC8">
      <w:pPr>
        <w:spacing w:after="400" w:line="400" w:lineRule="atLeast"/>
      </w:pPr>
      <w:r>
        <w:rPr>
          <w:b/>
        </w:rPr>
        <w:t>4.1 大型博物馆：资源整合与引领创新的旗舰</w:t>
      </w:r>
    </w:p>
    <w:p w14:paraId="791B76A5">
      <w:pPr>
        <w:spacing w:after="400" w:line="400" w:lineRule="atLeast"/>
      </w:pPr>
      <w:r>
        <w:t>大型博物馆，如国家级、区域中心城市的综合性博物馆，是博物馆教育领域的“航空母舰”。</w:t>
      </w:r>
    </w:p>
    <w:p w14:paraId="667273BC">
      <w:pPr>
        <w:numPr>
          <w:ilvl w:val="-1"/>
          <w:numId w:val="1"/>
        </w:numPr>
        <w:spacing w:after="400" w:line="400" w:lineRule="atLeast"/>
      </w:pPr>
      <w:r>
        <w:rPr>
          <w:b/>
        </w:rPr>
        <w:t>教育角色定位：</w:t>
      </w:r>
      <w:r>
        <w:t xml:space="preserve"> 它们不仅是教育服务的提供者，更是行业标准的制定者、教育模式的研发者和创新趋势的引领者。它们有责任、也有能力进行前瞻性的教育探索，例如在数字化转型方面，大型博物馆往往走在最前列 [[57]]。</w:t>
      </w:r>
    </w:p>
    <w:p w14:paraId="72581B45">
      <w:pPr>
        <w:numPr>
          <w:ilvl w:val="-1"/>
          <w:numId w:val="1"/>
        </w:numPr>
        <w:spacing w:after="400" w:line="400" w:lineRule="atLeast"/>
      </w:pPr>
      <w:r>
        <w:rPr>
          <w:b/>
        </w:rPr>
        <w:t>教育策略：</w:t>
      </w:r>
    </w:p>
    <w:p w14:paraId="7126C1A3">
      <w:pPr>
        <w:numPr>
          <w:ilvl w:val="-1"/>
          <w:numId w:val="1"/>
        </w:numPr>
        <w:spacing w:after="400" w:line="400" w:lineRule="atLeast"/>
      </w:pPr>
      <w:r>
        <w:rPr>
          <w:b/>
        </w:rPr>
        <w:t>平台化：</w:t>
      </w:r>
      <w:r>
        <w:t xml:space="preserve"> 整合社会各界资源，搭建跨学科、跨领域的合作平台，如与顶尖大学、科技企业、艺术团体合作开发高端教育项目。</w:t>
      </w:r>
    </w:p>
    <w:p w14:paraId="20052C92">
      <w:pPr>
        <w:numPr>
          <w:ilvl w:val="-1"/>
          <w:numId w:val="1"/>
        </w:numPr>
        <w:spacing w:after="400" w:line="400" w:lineRule="atLeast"/>
      </w:pPr>
      <w:r>
        <w:rPr>
          <w:b/>
        </w:rPr>
        <w:t>体系化：</w:t>
      </w:r>
      <w:r>
        <w:t xml:space="preserve"> 构建从学龄前儿童到成年人的全年龄段、多层次的教育课程体系，满足不同学习者的系统性学习需求。</w:t>
      </w:r>
    </w:p>
    <w:p w14:paraId="41C5EA09">
      <w:pPr>
        <w:numPr>
          <w:ilvl w:val="-1"/>
          <w:numId w:val="1"/>
        </w:numPr>
        <w:spacing w:after="400" w:line="400" w:lineRule="atLeast"/>
      </w:pPr>
      <w:r>
        <w:rPr>
          <w:b/>
        </w:rPr>
        <w:t>品牌化：</w:t>
      </w:r>
      <w:r>
        <w:t xml:space="preserve"> 打造具有广泛社会影响力的品牌教育活动，形成规模效应，并向中小型博物馆输出模式和资源。</w:t>
      </w:r>
    </w:p>
    <w:p w14:paraId="7E647683">
      <w:pPr>
        <w:numPr>
          <w:ilvl w:val="-1"/>
          <w:numId w:val="1"/>
        </w:numPr>
        <w:spacing w:after="400" w:line="400" w:lineRule="atLeast"/>
      </w:pPr>
      <w:r>
        <w:rPr>
          <w:b/>
        </w:rPr>
        <w:t>数字化：</w:t>
      </w:r>
      <w:r>
        <w:t xml:space="preserve"> 大力投入建设数字博物馆、在线课程和虚拟展览，突破物理空间的限制，服务全球范围内的学习者。</w:t>
      </w:r>
    </w:p>
    <w:p w14:paraId="7FF61C49">
      <w:pPr>
        <w:spacing w:after="400" w:line="400" w:lineRule="atLeast"/>
      </w:pPr>
      <w:r>
        <w:rPr>
          <w:b/>
        </w:rPr>
        <w:t>4.2 中小型博物馆：深耕社区与灵活服务的基石</w:t>
      </w:r>
    </w:p>
    <w:p w14:paraId="53408E63">
      <w:pPr>
        <w:spacing w:after="400" w:line="400" w:lineRule="atLeast"/>
      </w:pPr>
      <w:r>
        <w:t>中小型博物馆构成了博物馆金字塔的塔基，它们数量众多，遍布各地，是连接博物馆与基层社区最直接的桥梁。</w:t>
      </w:r>
    </w:p>
    <w:p w14:paraId="505E575B">
      <w:pPr>
        <w:numPr>
          <w:ilvl w:val="-1"/>
          <w:numId w:val="1"/>
        </w:numPr>
        <w:spacing w:after="400" w:line="400" w:lineRule="atLeast"/>
      </w:pPr>
      <w:r>
        <w:rPr>
          <w:b/>
        </w:rPr>
        <w:t>教育角色定位：</w:t>
      </w:r>
      <w:r>
        <w:t xml:space="preserve"> 它们是社区的文化枢纽和居民的“终身学习伴侣”。其最大的优势在于“在地性”（locality），能够与本地历史、本地文化和本地居民建立深刻而持久的联系。</w:t>
      </w:r>
    </w:p>
    <w:p w14:paraId="49D1A8B7">
      <w:pPr>
        <w:numPr>
          <w:ilvl w:val="-1"/>
          <w:numId w:val="1"/>
        </w:numPr>
        <w:spacing w:after="400" w:line="400" w:lineRule="atLeast"/>
      </w:pPr>
      <w:r>
        <w:rPr>
          <w:b/>
        </w:rPr>
        <w:t>教育策略：</w:t>
      </w:r>
    </w:p>
    <w:p w14:paraId="1D36477A">
      <w:pPr>
        <w:numPr>
          <w:ilvl w:val="-1"/>
          <w:numId w:val="1"/>
        </w:numPr>
        <w:spacing w:after="400" w:line="400" w:lineRule="atLeast"/>
      </w:pPr>
      <w:r>
        <w:rPr>
          <w:b/>
        </w:rPr>
        <w:t>社区化：</w:t>
      </w:r>
      <w:r>
        <w:t xml:space="preserve"> 教育活动与社区居民的日常生活紧密结合，如与社区中心、养老院、本地学校合作，解决社区面临的实际问题（如代际沟通、文化传承等）。</w:t>
      </w:r>
    </w:p>
    <w:p w14:paraId="32AF4D44">
      <w:pPr>
        <w:numPr>
          <w:ilvl w:val="-1"/>
          <w:numId w:val="1"/>
        </w:numPr>
        <w:spacing w:after="400" w:line="400" w:lineRule="atLeast"/>
      </w:pPr>
      <w:r>
        <w:rPr>
          <w:b/>
        </w:rPr>
        <w:t>定制化：</w:t>
      </w:r>
      <w:r>
        <w:t xml:space="preserve"> 由于服务半径小，观众群体相对固定，它们可以提供高度定制化的教育服务，与常客建立长期关系，进行跟踪式、成长式的教育。</w:t>
      </w:r>
    </w:p>
    <w:p w14:paraId="04C52178">
      <w:pPr>
        <w:numPr>
          <w:ilvl w:val="-1"/>
          <w:numId w:val="1"/>
        </w:numPr>
        <w:spacing w:after="400" w:line="400" w:lineRule="atLeast"/>
      </w:pPr>
      <w:r>
        <w:rPr>
          <w:b/>
        </w:rPr>
        <w:t>轻量化与创意化：</w:t>
      </w:r>
      <w:r>
        <w:t xml:space="preserve"> 在资源有限的情况下（尤其是在数字化转型中面临资金和技术挑战 [[58]]，中小型博物馆需要以创意取胜。通过低成本、高参与度的活动（如口述史项目、社区策展、主题行走等），最大化其教育影响力。</w:t>
      </w:r>
    </w:p>
    <w:p w14:paraId="4CEAE6F8">
      <w:pPr>
        <w:numPr>
          <w:ilvl w:val="-1"/>
          <w:numId w:val="1"/>
        </w:numPr>
        <w:spacing w:after="400" w:line="400" w:lineRule="atLeast"/>
      </w:pPr>
      <w:r>
        <w:rPr>
          <w:b/>
        </w:rPr>
        <w:t>网络化：</w:t>
      </w:r>
      <w:r>
        <w:t xml:space="preserve"> 主动融入区域性的博物馆协作网络，通过资源共享、项目共建，弥补自身在藏品、人才、技术等方面的不足。</w:t>
      </w:r>
    </w:p>
    <w:p w14:paraId="5ACEF8FA">
      <w:pPr>
        <w:spacing w:after="400" w:line="400" w:lineRule="atLeast"/>
      </w:pPr>
      <w:r>
        <w:t>总而言之，一个健康、繁荣的博物馆教育生态，既需要大型博物馆这样的旗舰来引领航向、开拓前沿，也需要成千上万的中小型博物馆作为毛细血管，将文化的滋养输送到社会的每一个角落。公立与私立、大型与中小型博物馆应形成差异化发展、优势互补的良好格局。</w:t>
      </w:r>
    </w:p>
    <w:p w14:paraId="71B9A815">
      <w:pPr>
        <w:spacing w:after="400" w:line="400" w:lineRule="atLeast"/>
      </w:pPr>
      <w:r>
        <w:rPr>
          <w:b/>
          <w:sz w:val="30"/>
        </w:rPr>
        <w:t>第三部分：未来发展趋势展望</w:t>
      </w:r>
    </w:p>
    <w:p w14:paraId="71AAE7C8">
      <w:pPr>
        <w:spacing w:after="400" w:line="400" w:lineRule="atLeast"/>
      </w:pPr>
      <w:r>
        <w:t>站在2026年的时间节点上回望与前瞻，我们正处在一个由技术革命和理念变革共同定义的时代。博物馆教育的未来，将不再是现有模式的线性延伸，而是一场深刻的范式转移。本部分将探讨驱动这场变革的核心力量，并重点聚焦中国博物馆教育的未来发展路径。</w:t>
      </w:r>
    </w:p>
    <w:p w14:paraId="21DE84B8">
      <w:pPr>
        <w:spacing w:after="400" w:line="400" w:lineRule="atLeast"/>
      </w:pPr>
      <w:r>
        <w:rPr>
          <w:b/>
          <w:sz w:val="26"/>
        </w:rPr>
        <w:t>第五章：科技与理念双轮驱动：全球博物馆教育的未来图景</w:t>
      </w:r>
    </w:p>
    <w:p w14:paraId="3B8C0F64">
      <w:pPr>
        <w:spacing w:after="400" w:line="400" w:lineRule="atLeast"/>
      </w:pPr>
      <w:r>
        <w:t>数字技术和以学习者为中心的教育理念，如同一对强劲的引擎，正驱动着全球博物馆教育驶向一片全新的蓝海。</w:t>
      </w:r>
    </w:p>
    <w:p w14:paraId="1BB99CF9">
      <w:pPr>
        <w:spacing w:after="400" w:line="400" w:lineRule="atLeast"/>
      </w:pPr>
      <w:r>
        <w:rPr>
          <w:b/>
        </w:rPr>
        <w:t>5.1 数字技术的深度融合：从“数字化”到“数智化”</w:t>
      </w:r>
    </w:p>
    <w:p w14:paraId="5CBD5283">
      <w:pPr>
        <w:spacing w:after="400" w:line="400" w:lineRule="atLeast"/>
      </w:pPr>
      <w:r>
        <w:t>如果说过去二十年是博物馆的“数字化”（Digitization）时代，核心任务是将实体藏品和信息转化为数字格式；那么未来十年，我们将进入“数智化”（Digital Intelligence）时代，核心是利用智能技术激活数字资源，创造前所未有的个性化、沉浸式和互动性学习体验 [[59]][[60]][[61]]。</w:t>
      </w:r>
    </w:p>
    <w:p w14:paraId="3D6C4A96">
      <w:pPr>
        <w:numPr>
          <w:ilvl w:val="-1"/>
          <w:numId w:val="1"/>
        </w:numPr>
        <w:spacing w:after="400" w:line="400" w:lineRule="atLeast"/>
      </w:pPr>
      <w:r>
        <w:rPr>
          <w:b/>
        </w:rPr>
        <w:t>虚拟现实（VR）与增强现实（AR）重构时空体验：</w:t>
      </w:r>
      <w:r>
        <w:t xml:space="preserve"> VR技术能将观众“传送”到已经消失的历史场景，如古罗马的斗兽场、宋代的繁华街市，实现完全沉浸式的学习。AR技术则能在真实场景中叠加虚拟信息，当观众用设备对准一件青铜器时，屏幕上可以实时展示其铸造过程、铭文解读和使用场景的动画 [[62]]。这将彻底改变“隔着玻璃看文物”的传统参观模式，让历史“活”起来。</w:t>
      </w:r>
    </w:p>
    <w:p w14:paraId="307EC3A0">
      <w:pPr>
        <w:numPr>
          <w:ilvl w:val="-1"/>
          <w:numId w:val="1"/>
        </w:numPr>
        <w:spacing w:after="400" w:line="400" w:lineRule="atLeast"/>
      </w:pPr>
      <w:r>
        <w:rPr>
          <w:b/>
        </w:rPr>
        <w:t>人工智能（AI）赋能个性化学习：</w:t>
      </w:r>
      <w:r>
        <w:t xml:space="preserve"> AI将在博物馆教育中扮演“私人导学”的角色。通过分析观众的参观路径、停留时间和互动数据，AI可以实时为其推荐最感兴趣的展品和学习内容，生成个性化的参观路线和知识图谱 [[63]]。基于自然语言处理的AI虚拟人可以作为不知疲倦的讲解员，与观众进行深度对话，回答各种天马行空的问题。</w:t>
      </w:r>
    </w:p>
    <w:p w14:paraId="060421C5">
      <w:pPr>
        <w:numPr>
          <w:ilvl w:val="-1"/>
          <w:numId w:val="1"/>
        </w:numPr>
        <w:spacing w:after="400" w:line="400" w:lineRule="atLeast"/>
      </w:pPr>
      <w:r>
        <w:rPr>
          <w:b/>
        </w:rPr>
        <w:t>在线平台与数字藏品打破物理围墙：</w:t>
      </w:r>
      <w:r>
        <w:t xml:space="preserve"> 疫情加速了全球博物馆的线上化进程。未来，高精度的三维数字藏品将成为标配，任何人都可以通过网络，在家中无死角地“把玩”和研究卢浮宫的《蒙娜丽莎》或故宫的珍品。博物馆将转型为线上线下一体化的混合式学习机构，其在线课程、数字出版物和虚拟社区将使其教育服务覆盖到全球每一个角落，实现教育公平 [[64]]。</w:t>
      </w:r>
    </w:p>
    <w:p w14:paraId="7DF269C2">
      <w:pPr>
        <w:numPr>
          <w:ilvl w:val="-1"/>
          <w:numId w:val="1"/>
        </w:numPr>
        <w:spacing w:after="400" w:line="400" w:lineRule="atLeast"/>
      </w:pPr>
      <w:r>
        <w:rPr>
          <w:b/>
        </w:rPr>
        <w:t>公私合作（PPP）加速技术应用：</w:t>
      </w:r>
      <w:r>
        <w:t xml:space="preserve"> 博物馆自身的技术研发能力有限，未来将更普遍地与科技公司建立合作关系。私营企业在技术创新、用户体验设计和市场化运营方面的优势，将与博物馆的内容权威性形成互补，共同开发和推广新一代的博物馆教育产品与服务 [[65]]。</w:t>
      </w:r>
    </w:p>
    <w:p w14:paraId="72262427">
      <w:pPr>
        <w:spacing w:after="400" w:line="400" w:lineRule="atLeast"/>
      </w:pPr>
      <w:r>
        <w:rPr>
          <w:b/>
        </w:rPr>
        <w:t>5.2 教育理念的迭代升级：构建以学习者为中心的知识生态</w:t>
      </w:r>
    </w:p>
    <w:p w14:paraId="7C84DACC">
      <w:pPr>
        <w:spacing w:after="400" w:line="400" w:lineRule="atLeast"/>
      </w:pPr>
      <w:r>
        <w:t>技术是手段，教育理念是灵魂。未来博物馆教育的核心变革，在于从“知识的传递”转向“学习的发生”，真正将学习者置于中心位置 [[66]]。</w:t>
      </w:r>
    </w:p>
    <w:p w14:paraId="16A3E4A0">
      <w:pPr>
        <w:numPr>
          <w:ilvl w:val="-1"/>
          <w:numId w:val="1"/>
        </w:numPr>
        <w:spacing w:after="400" w:line="400" w:lineRule="atLeast"/>
      </w:pPr>
      <w:r>
        <w:rPr>
          <w:b/>
        </w:rPr>
        <w:t>从“告知”到“探究”：</w:t>
      </w:r>
      <w:r>
        <w:t xml:space="preserve"> 未来的博物馆将不再仅仅是陈列答案的地方，更是激发问题、鼓励探究的场所。教育活动将围绕“基于项目的学习”（PBL）、“探究式学习”等模式展开，鼓励观众像科学家一样观察、像历史学家一样思辨、像艺术家一样创造。博物馆将提供工具、材料和引导，让学习者在动手实践中构建自己的知识体系。</w:t>
      </w:r>
    </w:p>
    <w:p w14:paraId="12E96CA0">
      <w:pPr>
        <w:numPr>
          <w:ilvl w:val="-1"/>
          <w:numId w:val="1"/>
        </w:numPr>
        <w:spacing w:after="400" w:line="400" w:lineRule="atLeast"/>
      </w:pPr>
      <w:r>
        <w:rPr>
          <w:b/>
        </w:rPr>
        <w:t>STEAM教育的前沿阵地：</w:t>
      </w:r>
      <w:r>
        <w:t xml:space="preserve"> 博物馆是融合科学（Science）、技术（Technology）、工程（Engineering）、艺术（Arts）和数学（Mathematics）的天然场域。一件古代天文仪器，既是科学史的见证，又是精湛的工程杰作和艺术品。未来的博物馆将系统性地开发跨学科的STEAM课程，培养学习者的综合素养和创新能力。</w:t>
      </w:r>
    </w:p>
    <w:p w14:paraId="5C7D171F">
      <w:pPr>
        <w:numPr>
          <w:ilvl w:val="-1"/>
          <w:numId w:val="1"/>
        </w:numPr>
        <w:spacing w:after="400" w:line="400" w:lineRule="atLeast"/>
      </w:pPr>
      <w:r>
        <w:rPr>
          <w:b/>
        </w:rPr>
        <w:t>终身学习的社区枢纽：</w:t>
      </w:r>
      <w:r>
        <w:t xml:space="preserve"> 随着社会知识更新速度的加快，“终身学习”成为每个人的刚需。博物馆以其非正式、轻松、包容的学习环境，将成为社区居民最重要的“第三空间” [[67]]。它不仅服务于儿童，也将为成年人提供职业技能更新、兴趣爱好培养、退休生活规划等多元化的学习项目，成为一个贯穿人一生的学习中心。</w:t>
      </w:r>
    </w:p>
    <w:p w14:paraId="4AC6A972">
      <w:pPr>
        <w:numPr>
          <w:ilvl w:val="-1"/>
          <w:numId w:val="1"/>
        </w:numPr>
        <w:spacing w:after="400" w:line="400" w:lineRule="atLeast"/>
      </w:pPr>
      <w:r>
        <w:rPr>
          <w:b/>
        </w:rPr>
        <w:t>价值与情感的联结点：</w:t>
      </w:r>
      <w:r>
        <w:t xml:space="preserve"> 在信息爆炸的时代，博物馆教育的独特价值将更多地体现在情感体验和价值引领上。通过讲述文物背后的“人”的故事，引发观众的情感共鸣；通过探讨气候变化、文化冲突等全球性议题，激发观众的社会责任感。未来的博物馆教育，将更加注重培养具有同理心、批判性思维和全球视野的现代公民。</w:t>
      </w:r>
    </w:p>
    <w:p w14:paraId="5795D0C1">
      <w:pPr>
        <w:spacing w:after="400" w:line="400" w:lineRule="atLeast"/>
      </w:pPr>
      <w:r>
        <w:rPr>
          <w:b/>
          <w:sz w:val="26"/>
        </w:rPr>
        <w:t>第六章：中国博物馆教育的未来之路：挑战、机遇与本土化创新</w:t>
      </w:r>
    </w:p>
    <w:p w14:paraId="183B1023">
      <w:pPr>
        <w:spacing w:after="400" w:line="400" w:lineRule="atLeast"/>
      </w:pPr>
      <w:r>
        <w:t>面对全球性的变革浪潮，中国博物馆教育既面临着追赶的压力，也拥有着后发优势和独特的文化机遇。中国的公众对高质量文化产品的需求日益增长 [[68]]，国家对文化事业的支持力度空前 [[69]]，这为未来的发展奠定了坚实的基础。中国博物馆教育的未来，应在以下几个方面重点突破：</w:t>
      </w:r>
    </w:p>
    <w:p w14:paraId="7EE08D57">
      <w:pPr>
        <w:spacing w:after="400" w:line="400" w:lineRule="atLeast"/>
      </w:pPr>
      <w:r>
        <w:rPr>
          <w:b/>
        </w:rPr>
        <w:t>6.1 顶层设计与政策引导：构建中国特色的理论体系</w:t>
      </w:r>
    </w:p>
    <w:p w14:paraId="06804351">
      <w:pPr>
        <w:spacing w:after="400" w:line="400" w:lineRule="atLeast"/>
      </w:pPr>
      <w:r>
        <w:t>当务之急是摆脱对西方模式的简单模仿，构建一套扎根于中国文化土壤、服务于中国式现代化建设的博物馆教育理论体系 [[70]][[71]]。这套理论体系应回答：在新的时代背景下，中国博物馆教育的核心价值是什么？它如何与中国的基础教育改革、国民素质提升和文化自信建设等国家战略相协同？政府应组织跨学科的专家团队，开展重大课题研究，并出台纲领性文件，为全国博物馆教育的创新发展提供清晰的理论指导和行动指南。</w:t>
      </w:r>
    </w:p>
    <w:p w14:paraId="4298CAD0">
      <w:pPr>
        <w:spacing w:after="400" w:line="400" w:lineRule="atLeast"/>
      </w:pPr>
      <w:r>
        <w:rPr>
          <w:b/>
        </w:rPr>
        <w:t>6.2 “数智化”转型：跨越数字鸿沟的战略机遇</w:t>
      </w:r>
    </w:p>
    <w:p w14:paraId="012829BF">
      <w:pPr>
        <w:spacing w:after="400" w:line="400" w:lineRule="atLeast"/>
      </w:pPr>
      <w:r>
        <w:t>中国在5G、AI、大数据等领域拥有世界领先的技术能力，这为博物馆教育的跨越式发展提供了“技术红利”。</w:t>
      </w:r>
    </w:p>
    <w:p w14:paraId="61540815">
      <w:pPr>
        <w:numPr>
          <w:ilvl w:val="-1"/>
          <w:numId w:val="1"/>
        </w:numPr>
        <w:spacing w:after="400" w:line="400" w:lineRule="atLeast"/>
      </w:pPr>
      <w:r>
        <w:rPr>
          <w:b/>
        </w:rPr>
        <w:t>国家级数字平台建设：</w:t>
      </w:r>
      <w:r>
        <w:t xml:space="preserve"> 应由国家牵头，整合全国博物馆的数字资源，打造一个统一的、开放的“国家智慧博物馆云平台”。该平台不仅是数字藏品的数据库，更是一个集虚拟展览、在线课程、互动社区、数据分析于一体的智能教育生态系统。</w:t>
      </w:r>
    </w:p>
    <w:p w14:paraId="05B64FAA">
      <w:pPr>
        <w:numPr>
          <w:ilvl w:val="-1"/>
          <w:numId w:val="1"/>
        </w:numPr>
        <w:spacing w:after="400" w:line="400" w:lineRule="atLeast"/>
      </w:pPr>
      <w:r>
        <w:rPr>
          <w:b/>
        </w:rPr>
        <w:t>关注中小型博物馆的数字化赋能：</w:t>
      </w:r>
      <w:r>
        <w:t xml:space="preserve"> 为解决中小型博物馆在数字化转型中面临的资金和技术瓶颈 [[72]]，政府应设立专项扶持基金，并通过云平台提供标准化的技术工具和内容模板，帮助它们低成本、高效率地实现数字化升级，避免数字鸿沟的扩大。</w:t>
      </w:r>
    </w:p>
    <w:p w14:paraId="5C611535">
      <w:pPr>
        <w:numPr>
          <w:ilvl w:val="-1"/>
          <w:numId w:val="1"/>
        </w:numPr>
        <w:spacing w:after="400" w:line="400" w:lineRule="atLeast"/>
      </w:pPr>
      <w:r>
        <w:rPr>
          <w:b/>
        </w:rPr>
        <w:t>探索可持续的商业模式：</w:t>
      </w:r>
      <w:r>
        <w:t xml:space="preserve"> 鼓励博物馆与科技企业合作，探索线上付费课程、数字文创产品、IP授权等市场化运营模式，为“数智化”发展提供可持续的资金来源。</w:t>
      </w:r>
    </w:p>
    <w:p w14:paraId="4AE0AF70">
      <w:pPr>
        <w:spacing w:after="400" w:line="400" w:lineRule="atLeast"/>
      </w:pPr>
      <w:r>
        <w:rPr>
          <w:b/>
        </w:rPr>
        <w:t>6.3 人才培养体系的重塑：专业化与复合型人才的摇篮</w:t>
      </w:r>
    </w:p>
    <w:p w14:paraId="7EEAF509">
      <w:pPr>
        <w:spacing w:after="400" w:line="400" w:lineRule="atLeast"/>
      </w:pPr>
      <w:r>
        <w:t>人才是实现一切蓝图的根本。必须彻底改变当前人才短缺和结构失衡的局面 [[73]][[74]][[75]]。</w:t>
      </w:r>
    </w:p>
    <w:p w14:paraId="1D9F3EB6">
      <w:pPr>
        <w:numPr>
          <w:ilvl w:val="-1"/>
          <w:numId w:val="1"/>
        </w:numPr>
        <w:spacing w:after="400" w:line="400" w:lineRule="atLeast"/>
      </w:pPr>
      <w:r>
        <w:rPr>
          <w:b/>
        </w:rPr>
        <w:t>强化高校专业建设：</w:t>
      </w:r>
      <w:r>
        <w:t xml:space="preserve"> 推动有条件的高校设立“智慧博物馆”或“博物馆教育”等交叉学科学院或专业，培养既懂文物、又懂技术、还懂教育的复合型人才。课程设置应与业界需求紧密对接，强化实践教学。</w:t>
      </w:r>
    </w:p>
    <w:p w14:paraId="48EF6331">
      <w:pPr>
        <w:numPr>
          <w:ilvl w:val="-1"/>
          <w:numId w:val="1"/>
        </w:numPr>
        <w:spacing w:after="400" w:line="400" w:lineRule="atLeast"/>
      </w:pPr>
      <w:r>
        <w:rPr>
          <w:b/>
        </w:rPr>
        <w:t>建立职业资格认证与培训体系：</w:t>
      </w:r>
      <w:r>
        <w:t xml:space="preserve"> 推出全国统一的博物馆教育从业人员职业资格认证标准，建立分级分类的在职培训体系。改变目前讲解员“有口才无思想”的现状，将其培养成能够引导探究、激发思考的“学习策展人”。</w:t>
      </w:r>
    </w:p>
    <w:p w14:paraId="7683A46E">
      <w:pPr>
        <w:numPr>
          <w:ilvl w:val="-1"/>
          <w:numId w:val="1"/>
        </w:numPr>
        <w:spacing w:after="400" w:line="400" w:lineRule="atLeast"/>
      </w:pPr>
      <w:r>
        <w:rPr>
          <w:b/>
        </w:rPr>
        <w:t>引入外部智力资源：</w:t>
      </w:r>
      <w:r>
        <w:t xml:space="preserve"> 打破体制壁垒，以项目制、客座研究员等灵活方式，吸引教育家、艺术家、科学家、工程师等外部专业人士参与到博物馆教育产品的研发中，提升教育活动的专业水准和创新活力。</w:t>
      </w:r>
    </w:p>
    <w:p w14:paraId="4F87E603">
      <w:pPr>
        <w:spacing w:after="400" w:line="400" w:lineRule="atLeast"/>
      </w:pPr>
      <w:r>
        <w:rPr>
          <w:b/>
        </w:rPr>
        <w:t>6.4 “馆校合作”的深化：从“补充”到“融合”</w:t>
      </w:r>
    </w:p>
    <w:p w14:paraId="517C2437">
      <w:pPr>
        <w:spacing w:after="400" w:line="400" w:lineRule="atLeast"/>
      </w:pPr>
      <w:r>
        <w:t>必须推动馆校合作进入3.0时代，即从目前松散的“活动补充”模式，升级为深度的“课程融合”模式。</w:t>
      </w:r>
    </w:p>
    <w:p w14:paraId="1ED1CE6A">
      <w:pPr>
        <w:numPr>
          <w:ilvl w:val="-1"/>
          <w:numId w:val="1"/>
        </w:numPr>
        <w:spacing w:after="400" w:line="400" w:lineRule="atLeast"/>
      </w:pPr>
      <w:r>
        <w:rPr>
          <w:b/>
        </w:rPr>
        <w:t>制定国家级指导纲要：</w:t>
      </w:r>
      <w:r>
        <w:t xml:space="preserve"> 教育部与国家文物局应联合出台《中小学利用博物馆资源开展教学的指导纲要》，明确博物馆学习在各学科课程标准中的地位和要求，将其纳入学校的常规教学计划和评价体系，从根本上解决“应试教育”与博物馆学习的冲突 [[76]][[77]]。</w:t>
      </w:r>
    </w:p>
    <w:p w14:paraId="27B69219">
      <w:pPr>
        <w:numPr>
          <w:ilvl w:val="-1"/>
          <w:numId w:val="1"/>
        </w:numPr>
        <w:spacing w:after="400" w:line="400" w:lineRule="atLeast"/>
      </w:pPr>
      <w:r>
        <w:rPr>
          <w:b/>
        </w:rPr>
        <w:t>共建课程与师资培训：</w:t>
      </w:r>
      <w:r>
        <w:t xml:space="preserve"> 鼓励博物馆与学校成立“课程研发共同体”，共同开发可量化、可评估、可复制的系列课程。同时，将博物馆教师纳入教师培训体系，让一线教师系统学习如何利用博物馆资源进行教学，也让博物馆教育员更懂学校的需求。</w:t>
      </w:r>
    </w:p>
    <w:p w14:paraId="3FD5ABBA">
      <w:pPr>
        <w:numPr>
          <w:ilvl w:val="-1"/>
          <w:numId w:val="1"/>
        </w:numPr>
        <w:spacing w:after="400" w:line="400" w:lineRule="atLeast"/>
      </w:pPr>
      <w:r>
        <w:rPr>
          <w:b/>
        </w:rPr>
        <w:t>建立区域性协作平台：</w:t>
      </w:r>
      <w:r>
        <w:t xml:space="preserve"> 在城市或区域层面建立“馆校合作服务平台”，统一协调区域内的博物馆资源与学校需求，提供信息发布、课程预约、交通组织、安全保障等一站式服务，降低合作成本，提高合作效率。</w:t>
      </w:r>
    </w:p>
    <w:p w14:paraId="28C6B223">
      <w:pPr>
        <w:spacing w:after="400" w:line="400" w:lineRule="atLeast"/>
      </w:pPr>
      <w:r>
        <w:rPr>
          <w:b/>
        </w:rPr>
        <w:t>6.5 文化自信与国际对话：讲述中国故事的创新路径</w:t>
      </w:r>
    </w:p>
    <w:p w14:paraId="16E7DAED">
      <w:pPr>
        <w:spacing w:after="400" w:line="400" w:lineRule="atLeast"/>
      </w:pPr>
      <w:r>
        <w:t>中国拥有世界上最悠久、最丰富的连续文明之一，这是中国博物馆教育最宝贵的财富。未来的博物馆教育，应立足于这份深厚的文化自信，用世界听得懂、跟得上时代的语言，讲好中国故事。</w:t>
      </w:r>
    </w:p>
    <w:p w14:paraId="07872A41">
      <w:pPr>
        <w:numPr>
          <w:ilvl w:val="-1"/>
          <w:numId w:val="1"/>
        </w:numPr>
        <w:spacing w:after="400" w:line="400" w:lineRule="atLeast"/>
      </w:pPr>
      <w:r>
        <w:rPr>
          <w:b/>
        </w:rPr>
        <w:t>传统文化的现代表达：</w:t>
      </w:r>
      <w:r>
        <w:t xml:space="preserve"> 运用VR/AR、互动影像、游戏化设计等最新科技手段，对传统文化进行创造性转化和创新性发展。让青少年在沉浸式的趣味体验中，理解和热爱中华优秀传统文化，而非被动接受说教。</w:t>
      </w:r>
    </w:p>
    <w:p w14:paraId="1ED8B761">
      <w:pPr>
        <w:numPr>
          <w:ilvl w:val="-1"/>
          <w:numId w:val="1"/>
        </w:numPr>
        <w:spacing w:after="400" w:line="400" w:lineRule="atLeast"/>
      </w:pPr>
      <w:r>
        <w:rPr>
          <w:b/>
        </w:rPr>
        <w:t>构建全球性议题的中国视角：</w:t>
      </w:r>
      <w:r>
        <w:t xml:space="preserve"> 围绕人类命运共同体、可持续发展、文化多样性等全球性议题，策划具有国际影响力的展览和教育项目。依托中国丰富的历史文化资源，为这些全球性议题提供独特的东方智慧和中国方案，在国际博物馆界的对话中发出更强的中国声音。</w:t>
      </w:r>
    </w:p>
    <w:p w14:paraId="475B1DE6">
      <w:pPr>
        <w:spacing w:after="400" w:line="400" w:lineRule="atLeast"/>
      </w:pPr>
      <w:r>
        <w:rPr>
          <w:b/>
          <w:sz w:val="30"/>
        </w:rPr>
        <w:t>结论</w:t>
      </w:r>
    </w:p>
    <w:p w14:paraId="0F288402">
      <w:pPr>
        <w:spacing w:after="400" w:line="400" w:lineRule="atLeast"/>
      </w:pPr>
      <w:r>
        <w:t>综上所述，全球博物馆教育正站在一个历史性的变革关口。以美国和英国为代表的西方博物馆教育体系，虽已高度成熟，但也面临着技术迭代和理念更新的挑战。而中国的博物馆教育，则是在追赶中迎来了前所未有的发展机遇。其现状是机遇与挑战并存，优势与短板同在。</w:t>
      </w:r>
    </w:p>
    <w:p w14:paraId="1F7C60B4">
      <w:pPr>
        <w:spacing w:after="400" w:line="400" w:lineRule="atLeast"/>
      </w:pPr>
      <w:r>
        <w:t>展望未来，由数字技术与先进教育理念共同驱动的范式转型已不可逆转。博物馆将演变为无边界的、智能化的、终身学习的知识中心。对于中国而言，未来的道路并非简单地复制他人，而是在深刻理解自身国情与文化特质的基础上，进行一场全面的、系统的本土化创新。这需要顶层设计的智慧、技术赋能的勇气、人才培养的耐心以及开放合作的胸怀。</w:t>
      </w:r>
    </w:p>
    <w:p w14:paraId="17F0874F">
      <w:pPr>
        <w:spacing w:after="400" w:line="400" w:lineRule="atLeast"/>
      </w:pPr>
      <w:r>
        <w:t>如果能够抓住这一历史机遇，有效应对挑战，中国的博物馆教育不仅能够满足人民日益增长的美好生活需要，更有可能在不远的将来，为世界博物馆事业的发展贡献蕴含东方智慧的“中国模式”。这场深刻的变革已经拉开序幕，值得我们每一位从业者和研究者满怀期待，并为之不懈努力。</w:t>
      </w:r>
    </w:p>
    <w:p w14:paraId="47B4FAC5">
      <w:pPr>
        <w:pStyle w:val="3"/>
        <w:spacing w:after="400" w:line="400" w:lineRule="atLeast"/>
      </w:pPr>
      <w:r>
        <w:t>文献来源</w:t>
      </w:r>
    </w:p>
    <w:p w14:paraId="1917B442">
      <w:pPr>
        <w:spacing w:after="200" w:line="400" w:lineRule="atLeast"/>
      </w:pPr>
      <w:r>
        <w:fldChar w:fldCharType="begin"/>
      </w:r>
      <w:r>
        <w:instrText xml:space="preserve"> HYPERLINK "https://www.semanticscholar.org/search?q=Hands-On%20Exhibitions%3A%20Managing%20Interactive%20Museums%20and%20Science%20Centres&amp;sort=relevance" \h </w:instrText>
      </w:r>
      <w:r>
        <w:fldChar w:fldCharType="separate"/>
      </w:r>
      <w:r>
        <w:rPr>
          <w:rStyle w:val="13"/>
          <w:color w:val="0563C1"/>
        </w:rPr>
        <w:t>[32,34,35,37,45,47,49,52,58,64,66,118,119,125,130,136]. Hands-On Exhibitions: Managing Interactive Museums and Science Centres</w:t>
      </w:r>
      <w:r>
        <w:rPr>
          <w:rStyle w:val="13"/>
          <w:color w:val="0563C1"/>
        </w:rPr>
        <w:fldChar w:fldCharType="end"/>
      </w:r>
    </w:p>
    <w:p w14:paraId="3CB80A47">
      <w:pPr>
        <w:spacing w:after="200" w:line="400" w:lineRule="atLeast"/>
      </w:pPr>
      <w:r>
        <w:fldChar w:fldCharType="begin"/>
      </w:r>
      <w:r>
        <w:instrText xml:space="preserve"> HYPERLINK "https://doi.org/10.4324/9780203937525" \h </w:instrText>
      </w:r>
      <w:r>
        <w:fldChar w:fldCharType="separate"/>
      </w:r>
      <w:r>
        <w:rPr>
          <w:rStyle w:val="13"/>
          <w:color w:val="0563C1"/>
        </w:rPr>
        <w:t>[48,51,57,68,131,133]. Museums and Education: Purpose, Pedagogy, Performance</w:t>
      </w:r>
      <w:r>
        <w:rPr>
          <w:rStyle w:val="13"/>
          <w:color w:val="0563C1"/>
        </w:rPr>
        <w:fldChar w:fldCharType="end"/>
      </w:r>
    </w:p>
    <w:p w14:paraId="5A1E7A56">
      <w:pPr>
        <w:spacing w:after="200" w:line="400" w:lineRule="atLeast"/>
      </w:pPr>
      <w:r>
        <w:fldChar w:fldCharType="begin"/>
      </w:r>
      <w:r>
        <w:instrText xml:space="preserve"> HYPERLINK "https://doi.org/10.23977/jsoce.2024.060316" \h </w:instrText>
      </w:r>
      <w:r>
        <w:fldChar w:fldCharType="separate"/>
      </w:r>
      <w:r>
        <w:rPr>
          <w:rStyle w:val="13"/>
          <w:color w:val="0563C1"/>
        </w:rPr>
        <w:t>[88,160]. The Current Situation and Prospect of the Digital Technological Application in Museum Social Education</w:t>
      </w:r>
      <w:r>
        <w:rPr>
          <w:rStyle w:val="13"/>
          <w:color w:val="0563C1"/>
        </w:rPr>
        <w:fldChar w:fldCharType="end"/>
      </w:r>
    </w:p>
    <w:p w14:paraId="68A46E1D">
      <w:pPr>
        <w:spacing w:after="400" w:line="400" w:lineRule="atLeast"/>
      </w:pPr>
      <w:r>
        <w:rPr>
          <w:i/>
        </w:rPr>
        <w:t>以下来源未被直接引用</w:t>
      </w:r>
    </w:p>
    <w:p w14:paraId="2BDF8500">
      <w:pPr>
        <w:spacing w:after="200" w:line="400" w:lineRule="atLeast"/>
      </w:pPr>
      <w:r>
        <w:fldChar w:fldCharType="begin"/>
      </w:r>
      <w:r>
        <w:instrText xml:space="preserve"> HYPERLINK "https://doi.org/10.1038/144089a0" \h </w:instrText>
      </w:r>
      <w:r>
        <w:fldChar w:fldCharType="separate"/>
      </w:r>
      <w:r>
        <w:rPr>
          <w:rStyle w:val="13"/>
          <w:color w:val="0563C1"/>
        </w:rPr>
        <w:t>The Museum and the School</w:t>
      </w:r>
      <w:r>
        <w:rPr>
          <w:rStyle w:val="13"/>
          <w:color w:val="0563C1"/>
        </w:rPr>
        <w:fldChar w:fldCharType="end"/>
      </w:r>
    </w:p>
    <w:p w14:paraId="13DB7A2E">
      <w:pPr>
        <w:spacing w:after="200" w:line="400" w:lineRule="atLeast"/>
      </w:pPr>
      <w:r>
        <w:fldChar w:fldCharType="begin"/>
      </w:r>
      <w:r>
        <w:instrText xml:space="preserve"> HYPERLINK "https://doi.org/10.3991/IJET.V14I02.7897" \h </w:instrText>
      </w:r>
      <w:r>
        <w:fldChar w:fldCharType="separate"/>
      </w:r>
      <w:r>
        <w:rPr>
          <w:rStyle w:val="13"/>
          <w:color w:val="0563C1"/>
        </w:rPr>
        <w:t>The Development and Performance Evaluation of Digital Museums Toward Second Classroom of Primary and Secondary School - Taking Zhejiang Education Technology Digital Museum as An Example</w:t>
      </w:r>
      <w:r>
        <w:rPr>
          <w:rStyle w:val="13"/>
          <w:color w:val="0563C1"/>
        </w:rPr>
        <w:fldChar w:fldCharType="end"/>
      </w:r>
    </w:p>
    <w:p w14:paraId="33F43B48">
      <w:pPr>
        <w:spacing w:after="200" w:line="400" w:lineRule="atLeast"/>
      </w:pPr>
      <w:r>
        <w:fldChar w:fldCharType="begin"/>
      </w:r>
      <w:r>
        <w:instrText xml:space="preserve"> HYPERLINK "https://doi.org/10.1016/J.CULHER.2018.11.016" \h </w:instrText>
      </w:r>
      <w:r>
        <w:fldChar w:fldCharType="separate"/>
      </w:r>
      <w:r>
        <w:rPr>
          <w:rStyle w:val="13"/>
          <w:color w:val="0563C1"/>
        </w:rPr>
        <w:t>Adoption and use of emerging cultural technologies in China's museums</w:t>
      </w:r>
      <w:r>
        <w:rPr>
          <w:rStyle w:val="13"/>
          <w:color w:val="0563C1"/>
        </w:rPr>
        <w:fldChar w:fldCharType="end"/>
      </w:r>
    </w:p>
    <w:p w14:paraId="000FC466">
      <w:pPr>
        <w:pStyle w:val="3"/>
        <w:spacing w:after="400" w:line="400" w:lineRule="atLeast"/>
      </w:pPr>
      <w:r>
        <w:t>其他来源</w:t>
      </w:r>
    </w:p>
    <w:p w14:paraId="5DA72DFC">
      <w:pPr>
        <w:spacing w:after="200" w:line="400" w:lineRule="atLeast"/>
      </w:pPr>
      <w:r>
        <w:fldChar w:fldCharType="begin"/>
      </w:r>
      <w:r>
        <w:instrText xml:space="preserve"> HYPERLINK "http://www.edu.cn/museum_12538/20131010/t20131010_1026399.shtml" \h </w:instrText>
      </w:r>
      <w:r>
        <w:fldChar w:fldCharType="separate"/>
      </w:r>
      <w:r>
        <w:rPr>
          <w:rStyle w:val="13"/>
          <w:color w:val="0563C1"/>
        </w:rPr>
        <w:t>[1,27,92]. 我国博物馆教育现状如何？对于“中国博物馆教育功能薄弱”的观点你怎么看？</w:t>
      </w:r>
      <w:r>
        <w:rPr>
          <w:rStyle w:val="13"/>
          <w:color w:val="0563C1"/>
        </w:rPr>
        <w:fldChar w:fldCharType="end"/>
      </w:r>
    </w:p>
    <w:p w14:paraId="564F0611">
      <w:pPr>
        <w:spacing w:after="200" w:line="400" w:lineRule="atLeast"/>
      </w:pPr>
      <w:r>
        <w:fldChar w:fldCharType="begin"/>
      </w:r>
      <w:r>
        <w:instrText xml:space="preserve"> HYPERLINK "https://www.iyiou.com/p/61781" \h </w:instrText>
      </w:r>
      <w:r>
        <w:fldChar w:fldCharType="separate"/>
      </w:r>
      <w:r>
        <w:rPr>
          <w:rStyle w:val="13"/>
          <w:color w:val="0563C1"/>
        </w:rPr>
        <w:t>[2,93]. 我国博物馆教育的现状与发展趋势</w:t>
      </w:r>
      <w:r>
        <w:rPr>
          <w:rStyle w:val="13"/>
          <w:color w:val="0563C1"/>
        </w:rPr>
        <w:fldChar w:fldCharType="end"/>
      </w:r>
    </w:p>
    <w:p w14:paraId="2E28440B">
      <w:pPr>
        <w:spacing w:after="200" w:line="400" w:lineRule="atLeast"/>
      </w:pPr>
      <w:r>
        <w:fldChar w:fldCharType="begin"/>
      </w:r>
      <w:r>
        <w:instrText xml:space="preserve"> HYPERLINK "https://www.sciengine.com/doi/pdfView/3FAFDF86B5E94B9A89757DC7361A8A42" \h </w:instrText>
      </w:r>
      <w:r>
        <w:fldChar w:fldCharType="separate"/>
      </w:r>
      <w:r>
        <w:rPr>
          <w:rStyle w:val="13"/>
          <w:color w:val="0563C1"/>
        </w:rPr>
        <w:t>[3,17,22,94,104,161]. 博物馆教育和研究的实践探索 Practical Explorations in Museums Education and Research</w:t>
      </w:r>
      <w:r>
        <w:rPr>
          <w:rStyle w:val="13"/>
          <w:color w:val="0563C1"/>
        </w:rPr>
        <w:fldChar w:fldCharType="end"/>
      </w:r>
    </w:p>
    <w:p w14:paraId="3C9A5E14">
      <w:pPr>
        <w:spacing w:after="200" w:line="400" w:lineRule="atLeast"/>
      </w:pPr>
      <w:r>
        <w:fldChar w:fldCharType="begin"/>
      </w:r>
      <w:r>
        <w:instrText xml:space="preserve"> HYPERLINK "https://mp.weixin.qq.com/s?__biz=MzA5MzM2ODgzOA==&amp;mid=2650255138&amp;idx=1&amp;sn=4a9e9d2294f06a7596bef80fd53fc617&amp;chksm=885de84bbf2a615d6c9dbf38f9de210e6c4d001b2c07f7434f02330b48302cf87933ad4a6143&amp;scene=27" \h </w:instrText>
      </w:r>
      <w:r>
        <w:fldChar w:fldCharType="separate"/>
      </w:r>
      <w:r>
        <w:rPr>
          <w:rStyle w:val="13"/>
          <w:color w:val="0563C1"/>
        </w:rPr>
        <w:t>[4,23,25,26,96,98,99,102]. 作为公共文化服务的场所与载体，博物馆应该如何开展青少年教育，打造德育、智育、美育的又一课堂？</w:t>
      </w:r>
      <w:r>
        <w:rPr>
          <w:rStyle w:val="13"/>
          <w:color w:val="0563C1"/>
        </w:rPr>
        <w:fldChar w:fldCharType="end"/>
      </w:r>
    </w:p>
    <w:p w14:paraId="14CB1A4F">
      <w:pPr>
        <w:spacing w:after="200" w:line="400" w:lineRule="atLeast"/>
      </w:pPr>
      <w:r>
        <w:fldChar w:fldCharType="begin"/>
      </w:r>
      <w:r>
        <w:instrText xml:space="preserve"> HYPERLINK "https://www.bilibili.com/read/cv27691431/" \h </w:instrText>
      </w:r>
      <w:r>
        <w:fldChar w:fldCharType="separate"/>
      </w:r>
      <w:r>
        <w:rPr>
          <w:rStyle w:val="13"/>
          <w:color w:val="0563C1"/>
        </w:rPr>
        <w:t>[5,8,95,100]. 博物馆教育的四种模式</w:t>
      </w:r>
      <w:r>
        <w:rPr>
          <w:rStyle w:val="13"/>
          <w:color w:val="0563C1"/>
        </w:rPr>
        <w:fldChar w:fldCharType="end"/>
      </w:r>
    </w:p>
    <w:p w14:paraId="162D23A2">
      <w:pPr>
        <w:spacing w:after="200" w:line="400" w:lineRule="atLeast"/>
      </w:pPr>
      <w:r>
        <w:fldChar w:fldCharType="begin"/>
      </w:r>
      <w:r>
        <w:instrText xml:space="preserve"> HYPERLINK "http://www.hylae.com/index.php?ac=article&amp;at=read&amp;did=538" \h </w:instrText>
      </w:r>
      <w:r>
        <w:fldChar w:fldCharType="separate"/>
      </w:r>
      <w:r>
        <w:rPr>
          <w:rStyle w:val="13"/>
          <w:color w:val="0563C1"/>
        </w:rPr>
        <w:t>[6,97]. 中国博物馆教育的发展历程与未来展望</w:t>
      </w:r>
      <w:r>
        <w:rPr>
          <w:rStyle w:val="13"/>
          <w:color w:val="0563C1"/>
        </w:rPr>
        <w:fldChar w:fldCharType="end"/>
      </w:r>
    </w:p>
    <w:p w14:paraId="4DE42532">
      <w:pPr>
        <w:spacing w:after="200" w:line="400" w:lineRule="atLeast"/>
      </w:pPr>
      <w:r>
        <w:fldChar w:fldCharType="begin"/>
      </w:r>
      <w:r>
        <w:instrText xml:space="preserve"> HYPERLINK "http://cpc.people.com.cn/n1/2024/0525/c64387-40243187.html" \h </w:instrText>
      </w:r>
      <w:r>
        <w:fldChar w:fldCharType="separate"/>
      </w:r>
      <w:r>
        <w:rPr>
          <w:rStyle w:val="13"/>
          <w:color w:val="0563C1"/>
        </w:rPr>
        <w:t>[7,24,101,141]. 博物馆教育与研究的现状与发展趋势</w:t>
      </w:r>
      <w:r>
        <w:rPr>
          <w:rStyle w:val="13"/>
          <w:color w:val="0563C1"/>
        </w:rPr>
        <w:fldChar w:fldCharType="end"/>
      </w:r>
    </w:p>
    <w:p w14:paraId="43B9D60A">
      <w:pPr>
        <w:spacing w:after="200" w:line="400" w:lineRule="atLeast"/>
      </w:pPr>
      <w:r>
        <w:fldChar w:fldCharType="begin"/>
      </w:r>
      <w:r>
        <w:instrText xml:space="preserve"> HYPERLINK "http://www.expo-museum.org/sbbwg/n137/n138/n157/n158/u1ai17009.html" \h </w:instrText>
      </w:r>
      <w:r>
        <w:fldChar w:fldCharType="separate"/>
      </w:r>
      <w:r>
        <w:rPr>
          <w:rStyle w:val="13"/>
          <w:color w:val="0563C1"/>
        </w:rPr>
        <w:t>[9,11,107,109,162,165]. 谈小小讲解员活动与博物馆教育现状</w:t>
      </w:r>
      <w:r>
        <w:rPr>
          <w:rStyle w:val="13"/>
          <w:color w:val="0563C1"/>
        </w:rPr>
        <w:fldChar w:fldCharType="end"/>
      </w:r>
    </w:p>
    <w:p w14:paraId="191918D9">
      <w:pPr>
        <w:spacing w:after="200" w:line="400" w:lineRule="atLeast"/>
      </w:pPr>
      <w:r>
        <w:fldChar w:fldCharType="begin"/>
      </w:r>
      <w:r>
        <w:instrText xml:space="preserve"> HYPERLINK "http://m.zhishishu.top/Article/index/d0d00866-aefb-4a03-ab3d-bc7509a68c63" \h </w:instrText>
      </w:r>
      <w:r>
        <w:fldChar w:fldCharType="separate"/>
      </w:r>
      <w:r>
        <w:rPr>
          <w:rStyle w:val="13"/>
          <w:color w:val="0563C1"/>
        </w:rPr>
        <w:t>[10,108,164]. 博物馆艺术教育的现状与发展趋势</w:t>
      </w:r>
      <w:r>
        <w:rPr>
          <w:rStyle w:val="13"/>
          <w:color w:val="0563C1"/>
        </w:rPr>
        <w:fldChar w:fldCharType="end"/>
      </w:r>
    </w:p>
    <w:p w14:paraId="061AD1E1">
      <w:pPr>
        <w:spacing w:after="200" w:line="400" w:lineRule="atLeast"/>
      </w:pPr>
      <w:r>
        <w:fldChar w:fldCharType="begin"/>
      </w:r>
      <w:r>
        <w:instrText xml:space="preserve"> HYPERLINK "https://open.library.ubc.ca/media/download/pdf/24/1.0166744/4" \h </w:instrText>
      </w:r>
      <w:r>
        <w:fldChar w:fldCharType="separate"/>
      </w:r>
      <w:r>
        <w:rPr>
          <w:rStyle w:val="13"/>
          <w:color w:val="0563C1"/>
        </w:rPr>
        <w:t>[12,18,19,105,106,110,166]. UNDERSTANDING SCIENCE MUSEUM EDUCATORS IN CHINA AND THEIR SELF-CONCEPT AS EDUCATION PROFESSIONALS</w:t>
      </w:r>
      <w:r>
        <w:rPr>
          <w:rStyle w:val="13"/>
          <w:color w:val="0563C1"/>
        </w:rPr>
        <w:fldChar w:fldCharType="end"/>
      </w:r>
    </w:p>
    <w:p w14:paraId="1DD95169">
      <w:pPr>
        <w:spacing w:after="200" w:line="400" w:lineRule="atLeast"/>
      </w:pPr>
      <w:r>
        <w:fldChar w:fldCharType="begin"/>
      </w:r>
      <w:r>
        <w:instrText xml:space="preserve"> HYPERLINK "https://research.nottingham.edu.cn/files/953850005/Lucy_YU-zx15239-thesis_Final.pdf" \h </w:instrText>
      </w:r>
      <w:r>
        <w:fldChar w:fldCharType="separate"/>
      </w:r>
      <w:r>
        <w:rPr>
          <w:rStyle w:val="13"/>
          <w:color w:val="0563C1"/>
        </w:rPr>
        <w:t>[13,14,21,28,29,30,103,111,112,115,140,168]. An exploratory study on developing an effective collaboration between museums and senior high schools in Ningbo, China to improve students’ learning</w:t>
      </w:r>
      <w:r>
        <w:rPr>
          <w:rStyle w:val="13"/>
          <w:color w:val="0563C1"/>
        </w:rPr>
        <w:fldChar w:fldCharType="end"/>
      </w:r>
    </w:p>
    <w:p w14:paraId="375769FB">
      <w:pPr>
        <w:spacing w:after="200" w:line="400" w:lineRule="atLeast"/>
      </w:pPr>
      <w:r>
        <w:fldChar w:fldCharType="begin"/>
      </w:r>
      <w:r>
        <w:instrText xml:space="preserve"> HYPERLINK "https://www.sohu.com/a/202750641_488370" \h </w:instrText>
      </w:r>
      <w:r>
        <w:fldChar w:fldCharType="separate"/>
      </w:r>
      <w:r>
        <w:rPr>
          <w:rStyle w:val="13"/>
          <w:color w:val="0563C1"/>
        </w:rPr>
        <w:t>[15,16,113]. 博物馆教育的发展与演变</w:t>
      </w:r>
      <w:r>
        <w:rPr>
          <w:rStyle w:val="13"/>
          <w:color w:val="0563C1"/>
        </w:rPr>
        <w:fldChar w:fldCharType="end"/>
      </w:r>
    </w:p>
    <w:p w14:paraId="49757A68">
      <w:pPr>
        <w:spacing w:after="200" w:line="400" w:lineRule="atLeast"/>
      </w:pPr>
      <w:r>
        <w:fldChar w:fldCharType="begin"/>
      </w:r>
      <w:r>
        <w:instrText xml:space="preserve"> HYPERLINK "https://webofproceedings.org/proceedings_series/ART2L/AISALLC%202019/AISALLC19090.pdf" \h </w:instrText>
      </w:r>
      <w:r>
        <w:fldChar w:fldCharType="separate"/>
      </w:r>
      <w:r>
        <w:rPr>
          <w:rStyle w:val="13"/>
          <w:color w:val="0563C1"/>
        </w:rPr>
        <w:t>[20,114,167]. A Comparison of Children’s Museums in Pittsburgh, Florence and Hangzhou</w:t>
      </w:r>
      <w:r>
        <w:rPr>
          <w:rStyle w:val="13"/>
          <w:color w:val="0563C1"/>
        </w:rPr>
        <w:fldChar w:fldCharType="end"/>
      </w:r>
    </w:p>
    <w:p w14:paraId="1EC9287C">
      <w:pPr>
        <w:spacing w:after="200" w:line="400" w:lineRule="atLeast"/>
      </w:pPr>
      <w:r>
        <w:fldChar w:fldCharType="begin"/>
      </w:r>
      <w:r>
        <w:instrText xml:space="preserve"> HYPERLINK "https://www.cafa.com.cn/cn/education/details/658811" \h </w:instrText>
      </w:r>
      <w:r>
        <w:fldChar w:fldCharType="separate"/>
      </w:r>
      <w:r>
        <w:rPr>
          <w:rStyle w:val="13"/>
          <w:color w:val="0563C1"/>
        </w:rPr>
        <w:t>[31,61,116]. 一、教育是博物馆的首要责任</w:t>
      </w:r>
      <w:r>
        <w:rPr>
          <w:rStyle w:val="13"/>
          <w:color w:val="0563C1"/>
        </w:rPr>
        <w:fldChar w:fldCharType="end"/>
      </w:r>
    </w:p>
    <w:p w14:paraId="64F93D71">
      <w:pPr>
        <w:spacing w:after="200" w:line="400" w:lineRule="atLeast"/>
      </w:pPr>
      <w:r>
        <w:fldChar w:fldCharType="begin"/>
      </w:r>
      <w:r>
        <w:instrText xml:space="preserve"> HYPERLINK "https://mp.weixin.qq.com/s?__biz=MzA5ODM2OTM5MQ==&amp;mid=2653279994&amp;idx=3&amp;sn=9ebb7dfbe1a71abd7d98f39e9a5b4253&amp;chksm=8b43dcfabc3455ec7a09384c518c93625c78be7a448813ee1824c821eee3fe39a88fbb00f525&amp;scene=27" \h </w:instrText>
      </w:r>
      <w:r>
        <w:fldChar w:fldCharType="separate"/>
      </w:r>
      <w:r>
        <w:rPr>
          <w:rStyle w:val="13"/>
          <w:color w:val="0563C1"/>
        </w:rPr>
        <w:t>[33,38,42,65,117,121,126]. 美国博物馆的教育实践</w:t>
      </w:r>
      <w:r>
        <w:rPr>
          <w:rStyle w:val="13"/>
          <w:color w:val="0563C1"/>
        </w:rPr>
        <w:fldChar w:fldCharType="end"/>
      </w:r>
    </w:p>
    <w:p w14:paraId="46784BDF">
      <w:pPr>
        <w:spacing w:after="200" w:line="400" w:lineRule="atLeast"/>
      </w:pPr>
      <w:r>
        <w:fldChar w:fldCharType="begin"/>
      </w:r>
      <w:r>
        <w:instrText xml:space="preserve"> HYPERLINK "http://www.expo-museum.org/sbbwg/n137/n138/n157/n158/u1ai16929.html" \h </w:instrText>
      </w:r>
      <w:r>
        <w:fldChar w:fldCharType="separate"/>
      </w:r>
      <w:r>
        <w:rPr>
          <w:rStyle w:val="13"/>
          <w:color w:val="0563C1"/>
        </w:rPr>
        <w:t>[36,43,120,127]. 博物馆与学校教育的结合：现状、实践与未来</w:t>
      </w:r>
      <w:r>
        <w:rPr>
          <w:rStyle w:val="13"/>
          <w:color w:val="0563C1"/>
        </w:rPr>
        <w:fldChar w:fldCharType="end"/>
      </w:r>
    </w:p>
    <w:p w14:paraId="4475A8D0">
      <w:pPr>
        <w:spacing w:after="200" w:line="400" w:lineRule="atLeast"/>
      </w:pPr>
      <w:r>
        <w:fldChar w:fldCharType="begin"/>
      </w:r>
      <w:r>
        <w:instrText xml:space="preserve"> HYPERLINK "https://files.eric.ed.gov/fulltext/ED046233.pdf" \h </w:instrText>
      </w:r>
      <w:r>
        <w:fldChar w:fldCharType="separate"/>
      </w:r>
      <w:r>
        <w:rPr>
          <w:rStyle w:val="13"/>
          <w:color w:val="0563C1"/>
        </w:rPr>
        <w:t>[39,63,122]. Museums and Young People. Three Reports</w:t>
      </w:r>
      <w:r>
        <w:rPr>
          <w:rStyle w:val="13"/>
          <w:color w:val="0563C1"/>
        </w:rPr>
        <w:fldChar w:fldCharType="end"/>
      </w:r>
    </w:p>
    <w:p w14:paraId="68C88643">
      <w:pPr>
        <w:spacing w:after="200" w:line="400" w:lineRule="atLeast"/>
      </w:pPr>
      <w:r>
        <w:fldChar w:fldCharType="begin"/>
      </w:r>
      <w:r>
        <w:instrText xml:space="preserve"> HYPERLINK "https://blog.sina.com.cn/s/blog_56ff266b0102y9ng.html" \h </w:instrText>
      </w:r>
      <w:r>
        <w:fldChar w:fldCharType="separate"/>
      </w:r>
      <w:r>
        <w:rPr>
          <w:rStyle w:val="13"/>
          <w:color w:val="0563C1"/>
        </w:rPr>
        <w:t>[40,123]. 美国人全家组团去博物馆</w:t>
      </w:r>
      <w:r>
        <w:rPr>
          <w:rStyle w:val="13"/>
          <w:color w:val="0563C1"/>
        </w:rPr>
        <w:fldChar w:fldCharType="end"/>
      </w:r>
    </w:p>
    <w:p w14:paraId="1D5A4B37">
      <w:pPr>
        <w:spacing w:after="200" w:line="400" w:lineRule="atLeast"/>
      </w:pPr>
      <w:r>
        <w:fldChar w:fldCharType="begin"/>
      </w:r>
      <w:r>
        <w:instrText xml:space="preserve"> HYPERLINK "http://www.mshuhua.com/news/view?id=250" \h </w:instrText>
      </w:r>
      <w:r>
        <w:fldChar w:fldCharType="separate"/>
      </w:r>
      <w:r>
        <w:rPr>
          <w:rStyle w:val="13"/>
          <w:color w:val="0563C1"/>
        </w:rPr>
        <w:t>[41,55,124,135]. 艺术博物馆教育的发展与美国艺术博物馆教育经验的启示</w:t>
      </w:r>
      <w:r>
        <w:rPr>
          <w:rStyle w:val="13"/>
          <w:color w:val="0563C1"/>
        </w:rPr>
        <w:fldChar w:fldCharType="end"/>
      </w:r>
    </w:p>
    <w:p w14:paraId="1FDF21FF">
      <w:pPr>
        <w:spacing w:after="200" w:line="400" w:lineRule="atLeast"/>
      </w:pPr>
      <w:r>
        <w:fldChar w:fldCharType="begin"/>
      </w:r>
      <w:r>
        <w:instrText xml:space="preserve"> HYPERLINK "http://www.bowuguan360.com.cn/article-30314.html" \h </w:instrText>
      </w:r>
      <w:r>
        <w:fldChar w:fldCharType="separate"/>
      </w:r>
      <w:r>
        <w:rPr>
          <w:rStyle w:val="13"/>
          <w:color w:val="0563C1"/>
        </w:rPr>
        <w:t>[44,54,67,128,134]. 博物馆管理系统的国际比较与借鉴</w:t>
      </w:r>
      <w:r>
        <w:rPr>
          <w:rStyle w:val="13"/>
          <w:color w:val="0563C1"/>
        </w:rPr>
        <w:fldChar w:fldCharType="end"/>
      </w:r>
    </w:p>
    <w:p w14:paraId="36F2B6E9">
      <w:pPr>
        <w:spacing w:after="200" w:line="400" w:lineRule="atLeast"/>
      </w:pPr>
      <w:r>
        <w:fldChar w:fldCharType="begin"/>
      </w:r>
      <w:r>
        <w:instrText xml:space="preserve"> HYPERLINK "https://misc.bibl.u-szeged.hu/45507/1/iskolakultura_konyvek_041.pdf" \h </w:instrText>
      </w:r>
      <w:r>
        <w:fldChar w:fldCharType="separate"/>
      </w:r>
      <w:r>
        <w:rPr>
          <w:rStyle w:val="13"/>
          <w:color w:val="0563C1"/>
        </w:rPr>
        <w:t>[46,53,129,137]. A MÚZEUMI KULTÚRAKÖZVETÍTÉS VÁLTOZÓ VILÁGA A múzeumi kultúraközvetítés pedagógiai és andragógiai szempontú vizsgálata</w:t>
      </w:r>
      <w:r>
        <w:rPr>
          <w:rStyle w:val="13"/>
          <w:color w:val="0563C1"/>
        </w:rPr>
        <w:fldChar w:fldCharType="end"/>
      </w:r>
    </w:p>
    <w:p w14:paraId="5C1FFAB1">
      <w:pPr>
        <w:spacing w:after="200" w:line="400" w:lineRule="atLeast"/>
      </w:pPr>
      <w:r>
        <w:fldChar w:fldCharType="begin"/>
      </w:r>
      <w:r>
        <w:instrText xml:space="preserve"> HYPERLINK "https://tomskmuseum.ru/content/editor/Metod%20otdel/Kulturno%20obrazovatelnay%20rabota/Urok-v-muzee-Proekt-edinogo-obrazovatelnogo-prostranstva-muzeya-i-shkoly.pdf" \h </w:instrText>
      </w:r>
      <w:r>
        <w:fldChar w:fldCharType="separate"/>
      </w:r>
      <w:r>
        <w:rPr>
          <w:rStyle w:val="13"/>
          <w:color w:val="0563C1"/>
        </w:rPr>
        <w:t>[50,56,62,132,139]. «УРОК В МУЗЕЕ»: ПРОЕКТ ЕДИНОГО ОБРАЗОВАТЕЛЬНОГО ПРОСТРАНСТВА МУЗЕЯ И ШКОЛЫ</w:t>
      </w:r>
      <w:r>
        <w:rPr>
          <w:rStyle w:val="13"/>
          <w:color w:val="0563C1"/>
        </w:rPr>
        <w:fldChar w:fldCharType="end"/>
      </w:r>
    </w:p>
    <w:p w14:paraId="18CB7A61">
      <w:pPr>
        <w:spacing w:after="200" w:line="400" w:lineRule="atLeast"/>
      </w:pPr>
      <w:r>
        <w:fldChar w:fldCharType="begin"/>
      </w:r>
      <w:r>
        <w:instrText xml:space="preserve"> HYPERLINK "https://new.qq.com/omn/20190506/20190506A01KKD.html" \h </w:instrText>
      </w:r>
      <w:r>
        <w:fldChar w:fldCharType="separate"/>
      </w:r>
      <w:r>
        <w:rPr>
          <w:rStyle w:val="13"/>
          <w:color w:val="0563C1"/>
        </w:rPr>
        <w:t>[59,138]. 博物馆式教育与美育的实践与思考</w:t>
      </w:r>
      <w:r>
        <w:rPr>
          <w:rStyle w:val="13"/>
          <w:color w:val="0563C1"/>
        </w:rPr>
        <w:fldChar w:fldCharType="end"/>
      </w:r>
    </w:p>
    <w:p w14:paraId="12A7D532">
      <w:pPr>
        <w:spacing w:after="200" w:line="400" w:lineRule="atLeast"/>
      </w:pPr>
      <w:r>
        <w:fldChar w:fldCharType="begin"/>
      </w:r>
      <w:r>
        <w:instrText xml:space="preserve"> HYPERLINK "http://xinhuanet.com/politics/2016-04/17/c_128902032.htm" \h </w:instrText>
      </w:r>
      <w:r>
        <w:fldChar w:fldCharType="separate"/>
      </w:r>
      <w:r>
        <w:rPr>
          <w:rStyle w:val="13"/>
          <w:color w:val="0563C1"/>
        </w:rPr>
        <w:t>[60]. 美育的土壤（五洲茶亭）</w:t>
      </w:r>
      <w:r>
        <w:rPr>
          <w:rStyle w:val="13"/>
          <w:color w:val="0563C1"/>
        </w:rPr>
        <w:fldChar w:fldCharType="end"/>
      </w:r>
    </w:p>
    <w:p w14:paraId="314A1B20">
      <w:pPr>
        <w:spacing w:after="200" w:line="400" w:lineRule="atLeast"/>
      </w:pPr>
      <w:r>
        <w:fldChar w:fldCharType="begin"/>
      </w:r>
      <w:r>
        <w:instrText xml:space="preserve"> HYPERLINK "https://m.douban.com/group/topic/18893620/" \h </w:instrText>
      </w:r>
      <w:r>
        <w:fldChar w:fldCharType="separate"/>
      </w:r>
      <w:r>
        <w:rPr>
          <w:rStyle w:val="13"/>
          <w:color w:val="0563C1"/>
        </w:rPr>
        <w:t>[69,71,75,142,147]. 博物馆学基础</w:t>
      </w:r>
      <w:r>
        <w:rPr>
          <w:rStyle w:val="13"/>
          <w:color w:val="0563C1"/>
        </w:rPr>
        <w:fldChar w:fldCharType="end"/>
      </w:r>
    </w:p>
    <w:p w14:paraId="0982C12F">
      <w:pPr>
        <w:spacing w:after="200" w:line="400" w:lineRule="atLeast"/>
      </w:pPr>
      <w:r>
        <w:fldChar w:fldCharType="begin"/>
      </w:r>
      <w:r>
        <w:instrText xml:space="preserve"> HYPERLINK "https://new.qq.com/rain/a/20230518A07Y1C00" \h </w:instrText>
      </w:r>
      <w:r>
        <w:fldChar w:fldCharType="separate"/>
      </w:r>
      <w:r>
        <w:rPr>
          <w:rStyle w:val="13"/>
          <w:color w:val="0563C1"/>
        </w:rPr>
        <w:t>[70,82,90,148,149,163]. 繁星计划</w:t>
      </w:r>
      <w:r>
        <w:rPr>
          <w:rStyle w:val="13"/>
          <w:color w:val="0563C1"/>
        </w:rPr>
        <w:fldChar w:fldCharType="end"/>
      </w:r>
    </w:p>
    <w:p w14:paraId="0B971CDB">
      <w:pPr>
        <w:spacing w:after="200" w:line="400" w:lineRule="atLeast"/>
      </w:pPr>
      <w:r>
        <w:fldChar w:fldCharType="begin"/>
      </w:r>
      <w:r>
        <w:instrText xml:space="preserve"> HYPERLINK "https://www.sohu.com/a/468963623_121107011" \h </w:instrText>
      </w:r>
      <w:r>
        <w:fldChar w:fldCharType="separate"/>
      </w:r>
      <w:r>
        <w:rPr>
          <w:rStyle w:val="13"/>
          <w:color w:val="0563C1"/>
        </w:rPr>
        <w:t>[72,89,143,145,146]. 定了！未来中国的博物馆要这样发展！</w:t>
      </w:r>
      <w:r>
        <w:rPr>
          <w:rStyle w:val="13"/>
          <w:color w:val="0563C1"/>
        </w:rPr>
        <w:fldChar w:fldCharType="end"/>
      </w:r>
    </w:p>
    <w:p w14:paraId="58A89C8C">
      <w:pPr>
        <w:spacing w:after="200" w:line="400" w:lineRule="atLeast"/>
      </w:pPr>
      <w:r>
        <w:fldChar w:fldCharType="begin"/>
      </w:r>
      <w:r>
        <w:instrText xml:space="preserve"> HYPERLINK "https://pdf.dfcfw.com/pdf/H3_AP202008241401073696_1.pdf" \h </w:instrText>
      </w:r>
      <w:r>
        <w:fldChar w:fldCharType="separate"/>
      </w:r>
      <w:r>
        <w:rPr>
          <w:rStyle w:val="13"/>
          <w:color w:val="0563C1"/>
        </w:rPr>
        <w:t>[73,144]. 2019年中国私立博物馆行业市场研究</w:t>
      </w:r>
      <w:r>
        <w:rPr>
          <w:rStyle w:val="13"/>
          <w:color w:val="0563C1"/>
        </w:rPr>
        <w:fldChar w:fldCharType="end"/>
      </w:r>
    </w:p>
    <w:p w14:paraId="3DD75D9D">
      <w:pPr>
        <w:spacing w:after="200" w:line="400" w:lineRule="atLeast"/>
      </w:pPr>
      <w:r>
        <w:fldChar w:fldCharType="begin"/>
      </w:r>
      <w:r>
        <w:instrText xml:space="preserve"> HYPERLINK "https://catalog.lib.kyushu-u.ac.jp/opac_download_md/1500739/design0178.pdf" \h </w:instrText>
      </w:r>
      <w:r>
        <w:fldChar w:fldCharType="separate"/>
      </w:r>
      <w:r>
        <w:rPr>
          <w:rStyle w:val="13"/>
          <w:color w:val="0563C1"/>
        </w:rPr>
        <w:t>[74]. Layout Design Study for the Medium-sized Historic Museum in China : Exhibition Space Layout Research of Museum Design</w:t>
      </w:r>
      <w:r>
        <w:rPr>
          <w:rStyle w:val="13"/>
          <w:color w:val="0563C1"/>
        </w:rPr>
        <w:fldChar w:fldCharType="end"/>
      </w:r>
    </w:p>
    <w:p w14:paraId="181ACF6A">
      <w:pPr>
        <w:spacing w:after="200" w:line="400" w:lineRule="atLeast"/>
      </w:pPr>
      <w:r>
        <w:fldChar w:fldCharType="begin"/>
      </w:r>
      <w:r>
        <w:instrText xml:space="preserve"> HYPERLINK "http://www.jyb.cn/rmtzgjyb/201905/t20190517_234544.html" \h </w:instrText>
      </w:r>
      <w:r>
        <w:fldChar w:fldCharType="separate"/>
      </w:r>
      <w:r>
        <w:rPr>
          <w:rStyle w:val="13"/>
          <w:color w:val="0563C1"/>
        </w:rPr>
        <w:t>[76]. 博物馆：作为文化中枢的未来</w:t>
      </w:r>
      <w:r>
        <w:rPr>
          <w:rStyle w:val="13"/>
          <w:color w:val="0563C1"/>
        </w:rPr>
        <w:fldChar w:fldCharType="end"/>
      </w:r>
    </w:p>
    <w:p w14:paraId="795304F2">
      <w:pPr>
        <w:spacing w:after="200" w:line="400" w:lineRule="atLeast"/>
      </w:pPr>
      <w:r>
        <w:fldChar w:fldCharType="begin"/>
      </w:r>
      <w:r>
        <w:instrText xml:space="preserve"> HYPERLINK "https://www.sohu.com/a/159741050_657211" \h </w:instrText>
      </w:r>
      <w:r>
        <w:fldChar w:fldCharType="separate"/>
      </w:r>
      <w:r>
        <w:rPr>
          <w:rStyle w:val="13"/>
          <w:color w:val="0563C1"/>
        </w:rPr>
        <w:t>[77]. 博物馆分类多棱镜</w:t>
      </w:r>
      <w:r>
        <w:rPr>
          <w:rStyle w:val="13"/>
          <w:color w:val="0563C1"/>
        </w:rPr>
        <w:fldChar w:fldCharType="end"/>
      </w:r>
    </w:p>
    <w:p w14:paraId="0995AC4C">
      <w:pPr>
        <w:spacing w:after="200" w:line="400" w:lineRule="atLeast"/>
      </w:pPr>
      <w:r>
        <w:fldChar w:fldCharType="begin"/>
      </w:r>
      <w:r>
        <w:instrText xml:space="preserve"> HYPERLINK "https://en.front-sci.com/index.php/rerr/article/view/2410/2630" \h </w:instrText>
      </w:r>
      <w:r>
        <w:fldChar w:fldCharType="separate"/>
      </w:r>
      <w:r>
        <w:rPr>
          <w:rStyle w:val="13"/>
          <w:color w:val="0563C1"/>
        </w:rPr>
        <w:t>[78,150,153]. The application and impact of digital technology in museum education--taking Shenzhen Museum's special exhibition "The Assemblage of Civilizations - Pingcheng and Yungang Grottoes in the Northern Wei Dynasty" as an example</w:t>
      </w:r>
      <w:r>
        <w:rPr>
          <w:rStyle w:val="13"/>
          <w:color w:val="0563C1"/>
        </w:rPr>
        <w:fldChar w:fldCharType="end"/>
      </w:r>
    </w:p>
    <w:p w14:paraId="02FACB2E">
      <w:pPr>
        <w:spacing w:after="200" w:line="400" w:lineRule="atLeast"/>
      </w:pPr>
      <w:r>
        <w:fldChar w:fldCharType="begin"/>
      </w:r>
      <w:r>
        <w:instrText xml:space="preserve"> HYPERLINK "https://dialnet.unirioja.es/descarga/articulo/9443285.pdf" \h </w:instrText>
      </w:r>
      <w:r>
        <w:fldChar w:fldCharType="separate"/>
      </w:r>
      <w:r>
        <w:rPr>
          <w:rStyle w:val="13"/>
          <w:color w:val="0563C1"/>
        </w:rPr>
        <w:t>[79,151]. Digital Pathways for Sustainable Development of Museum Pedagogy as Visual Cultural Practices</w:t>
      </w:r>
      <w:r>
        <w:rPr>
          <w:rStyle w:val="13"/>
          <w:color w:val="0563C1"/>
        </w:rPr>
        <w:fldChar w:fldCharType="end"/>
      </w:r>
    </w:p>
    <w:p w14:paraId="25CA26FF">
      <w:pPr>
        <w:spacing w:after="200" w:line="400" w:lineRule="atLeast"/>
      </w:pPr>
      <w:r>
        <w:fldChar w:fldCharType="begin"/>
      </w:r>
      <w:r>
        <w:instrText xml:space="preserve"> HYPERLINK "https://museum.shu.edu.cn/uploadfile/DOC/shu/xkj_15_003.pdf" \h </w:instrText>
      </w:r>
      <w:r>
        <w:fldChar w:fldCharType="separate"/>
      </w:r>
      <w:r>
        <w:rPr>
          <w:rStyle w:val="13"/>
          <w:color w:val="0563C1"/>
        </w:rPr>
        <w:t>[80,83,155,156]. 博物馆·新科技 Museums and New Tech</w:t>
      </w:r>
      <w:r>
        <w:rPr>
          <w:rStyle w:val="13"/>
          <w:color w:val="0563C1"/>
        </w:rPr>
        <w:fldChar w:fldCharType="end"/>
      </w:r>
    </w:p>
    <w:p w14:paraId="39A5E930">
      <w:pPr>
        <w:spacing w:after="200" w:line="400" w:lineRule="atLeast"/>
      </w:pPr>
      <w:r>
        <w:fldChar w:fldCharType="begin"/>
      </w:r>
      <w:r>
        <w:instrText xml:space="preserve"> HYPERLINK "https://www.numberanalytics.com/blog/future-museum-learning" \h </w:instrText>
      </w:r>
      <w:r>
        <w:fldChar w:fldCharType="separate"/>
      </w:r>
      <w:r>
        <w:rPr>
          <w:rStyle w:val="13"/>
          <w:color w:val="0563C1"/>
        </w:rPr>
        <w:t>[81,152,154]. Future of Museum Learning</w:t>
      </w:r>
      <w:r>
        <w:rPr>
          <w:rStyle w:val="13"/>
          <w:color w:val="0563C1"/>
        </w:rPr>
        <w:fldChar w:fldCharType="end"/>
      </w:r>
    </w:p>
    <w:p w14:paraId="6DBB7E4C">
      <w:pPr>
        <w:spacing w:after="200" w:line="400" w:lineRule="atLeast"/>
      </w:pPr>
      <w:r>
        <w:fldChar w:fldCharType="begin"/>
      </w:r>
      <w:r>
        <w:instrText xml:space="preserve"> HYPERLINK "https://ec.europa.eu/futurium/en/system/files/ged/rch_thinkpapers_06.pdf" \h </w:instrText>
      </w:r>
      <w:r>
        <w:fldChar w:fldCharType="separate"/>
      </w:r>
      <w:r>
        <w:rPr>
          <w:rStyle w:val="13"/>
          <w:color w:val="0563C1"/>
        </w:rPr>
        <w:t>[84,157,158]. Museum education with digital technologies: participation and lifelong learning</w:t>
      </w:r>
      <w:r>
        <w:rPr>
          <w:rStyle w:val="13"/>
          <w:color w:val="0563C1"/>
        </w:rPr>
        <w:fldChar w:fldCharType="end"/>
      </w:r>
    </w:p>
    <w:p w14:paraId="071B4183">
      <w:pPr>
        <w:spacing w:after="200" w:line="400" w:lineRule="atLeast"/>
      </w:pPr>
      <w:r>
        <w:fldChar w:fldCharType="begin"/>
      </w:r>
      <w:r>
        <w:instrText xml:space="preserve"> HYPERLINK "https://www.clausiuspress.com/assets/default/article/2025/04/16/article_1744814995.pdf" \h </w:instrText>
      </w:r>
      <w:r>
        <w:fldChar w:fldCharType="separate"/>
      </w:r>
      <w:r>
        <w:rPr>
          <w:rStyle w:val="13"/>
          <w:color w:val="0563C1"/>
        </w:rPr>
        <w:t>[85]. The Era Value and Inheritance Innovation of Museum Culture—Taking the Grand Canal Museum of China as an Example</w:t>
      </w:r>
      <w:r>
        <w:rPr>
          <w:rStyle w:val="13"/>
          <w:color w:val="0563C1"/>
        </w:rPr>
        <w:fldChar w:fldCharType="end"/>
      </w:r>
    </w:p>
    <w:p w14:paraId="0CAB7C0F">
      <w:pPr>
        <w:spacing w:after="200" w:line="400" w:lineRule="atLeast"/>
      </w:pPr>
      <w:r>
        <w:fldChar w:fldCharType="begin"/>
      </w:r>
      <w:r>
        <w:instrText xml:space="preserve"> HYPERLINK "https://museum.shu.edu.cn/uploadfile/DOC/shu/xkj_14_003.pdf" \h </w:instrText>
      </w:r>
      <w:r>
        <w:fldChar w:fldCharType="separate"/>
      </w:r>
      <w:r>
        <w:rPr>
          <w:rStyle w:val="13"/>
          <w:color w:val="0563C1"/>
        </w:rPr>
        <w:t>[86]. 博物馆·新科技 Museum and New Tech</w:t>
      </w:r>
      <w:r>
        <w:rPr>
          <w:rStyle w:val="13"/>
          <w:color w:val="0563C1"/>
        </w:rPr>
        <w:fldChar w:fldCharType="end"/>
      </w:r>
    </w:p>
    <w:p w14:paraId="7B07EE43">
      <w:pPr>
        <w:spacing w:after="200" w:line="400" w:lineRule="atLeast"/>
      </w:pPr>
      <w:r>
        <w:fldChar w:fldCharType="begin"/>
      </w:r>
      <w:r>
        <w:instrText xml:space="preserve"> HYPERLINK "https://www.worldscientific.com/doi/pdf/10.1142/S0129156425406242?download=true&amp;srsltid=AfmBOoqybPamVEWB3-7RyGvsc1lu7VY1ENdz_Xu0ZiwevGbG-1ZQQVb8" \h </w:instrText>
      </w:r>
      <w:r>
        <w:fldChar w:fldCharType="separate"/>
      </w:r>
      <w:r>
        <w:rPr>
          <w:rStyle w:val="13"/>
          <w:color w:val="0563C1"/>
        </w:rPr>
        <w:t>[87,159]. The Influence of Digital Technology and the Transmission Capacity of Cultural Connotations on the Digital Innovativeness of Cultural Industry</w:t>
      </w:r>
      <w:r>
        <w:rPr>
          <w:rStyle w:val="13"/>
          <w:color w:val="0563C1"/>
        </w:rPr>
        <w:fldChar w:fldCharType="end"/>
      </w:r>
    </w:p>
    <w:p w14:paraId="19589E4C">
      <w:pPr>
        <w:spacing w:after="200" w:line="400" w:lineRule="atLeast"/>
      </w:pPr>
      <w:r>
        <w:fldChar w:fldCharType="begin"/>
      </w:r>
      <w:r>
        <w:instrText xml:space="preserve"> HYPERLINK "https://finance.sina.cn/tech/2025-05-21/detail-inexhnhp3095342.d.html" \h </w:instrText>
      </w:r>
      <w:r>
        <w:fldChar w:fldCharType="separate"/>
      </w:r>
      <w:r>
        <w:rPr>
          <w:rStyle w:val="13"/>
          <w:color w:val="0563C1"/>
        </w:rPr>
        <w:t>[91]. 数字时代下的博物馆将何去何从</w:t>
      </w:r>
      <w:r>
        <w:rPr>
          <w:rStyle w:val="13"/>
          <w:color w:val="0563C1"/>
        </w:rPr>
        <w:fldChar w:fldCharType="end"/>
      </w:r>
    </w:p>
    <w:p w14:paraId="55E759B8">
      <w:pPr>
        <w:spacing w:after="400" w:line="400" w:lineRule="atLeast"/>
      </w:pPr>
      <w:r>
        <w:rPr>
          <w:i/>
        </w:rPr>
        <w:t>以下来源未被直接引用</w:t>
      </w:r>
    </w:p>
    <w:p w14:paraId="131CD4D1">
      <w:pPr>
        <w:spacing w:after="200" w:line="400" w:lineRule="atLeast"/>
      </w:pPr>
      <w:r>
        <w:fldChar w:fldCharType="begin"/>
      </w:r>
      <w:r>
        <w:instrText xml:space="preserve"> HYPERLINK "https://www.atlantis-press.com/article/126009766.pdf" \h </w:instrText>
      </w:r>
      <w:r>
        <w:fldChar w:fldCharType="separate"/>
      </w:r>
      <w:r>
        <w:rPr>
          <w:rStyle w:val="13"/>
          <w:color w:val="0563C1"/>
        </w:rPr>
        <w:t>Museum Education Based on Audience Segmentation</w:t>
      </w:r>
      <w:r>
        <w:rPr>
          <w:rStyle w:val="13"/>
          <w:color w:val="0563C1"/>
        </w:rPr>
        <w:fldChar w:fldCharType="end"/>
      </w:r>
    </w:p>
    <w:p w14:paraId="2BF45F9D">
      <w:pPr>
        <w:spacing w:after="200" w:line="400" w:lineRule="atLeast"/>
      </w:pPr>
      <w:r>
        <w:fldChar w:fldCharType="begin"/>
      </w:r>
      <w:r>
        <w:instrText xml:space="preserve"> HYPERLINK "https://www.aam-us.org/wp-content/uploads/2018/01/2018-Mar_Apr-Education-for-Everyone.pdf" \h </w:instrText>
      </w:r>
      <w:r>
        <w:fldChar w:fldCharType="separate"/>
      </w:r>
      <w:r>
        <w:rPr>
          <w:rStyle w:val="13"/>
          <w:color w:val="0563C1"/>
        </w:rPr>
        <w:t>Museum</w:t>
      </w:r>
      <w:r>
        <w:rPr>
          <w:rStyle w:val="13"/>
          <w:color w:val="0563C1"/>
        </w:rPr>
        <w:fldChar w:fldCharType="end"/>
      </w:r>
    </w:p>
    <w:p w14:paraId="5FE3F794">
      <w:pPr>
        <w:spacing w:after="200" w:line="400" w:lineRule="atLeast"/>
      </w:pPr>
      <w:r>
        <w:fldChar w:fldCharType="begin"/>
      </w:r>
      <w:r>
        <w:instrText xml:space="preserve"> HYPERLINK "https://scholarshare.temple.edu/server/api/core/bitstreams/5ff8512e-6c98-4c59-9119-09471c079baf/content" \h </w:instrText>
      </w:r>
      <w:r>
        <w:fldChar w:fldCharType="separate"/>
      </w:r>
      <w:r>
        <w:rPr>
          <w:rStyle w:val="13"/>
          <w:color w:val="0563C1"/>
        </w:rPr>
        <w:t>THE MODALITY OF COOPERATION BETWEEN ART AND FINANCIAL INSTITUTIONS IN CHINA</w:t>
      </w:r>
      <w:r>
        <w:rPr>
          <w:rStyle w:val="13"/>
          <w:color w:val="0563C1"/>
        </w:rPr>
        <w:fldChar w:fldCharType="end"/>
      </w:r>
    </w:p>
    <w:p w14:paraId="31A24B16">
      <w:pPr>
        <w:spacing w:after="200" w:line="400" w:lineRule="atLeast"/>
      </w:pPr>
      <w:r>
        <w:fldChar w:fldCharType="begin"/>
      </w:r>
      <w:r>
        <w:instrText xml:space="preserve"> HYPERLINK "https://www.insea.org/wp-content/uploads/2021/08/namoc-case-study-yang-yingshi.pdf" \h </w:instrText>
      </w:r>
      <w:r>
        <w:fldChar w:fldCharType="separate"/>
      </w:r>
      <w:r>
        <w:rPr>
          <w:rStyle w:val="13"/>
          <w:color w:val="0563C1"/>
        </w:rPr>
        <w:t>Art Museum Education in China: The NAMOC Case Study</w:t>
      </w:r>
      <w:r>
        <w:rPr>
          <w:rStyle w:val="13"/>
          <w:color w:val="0563C1"/>
        </w:rPr>
        <w:fldChar w:fldCharType="end"/>
      </w:r>
    </w:p>
    <w:p w14:paraId="2C5BB3FC">
      <w:pPr>
        <w:spacing w:after="200" w:line="400" w:lineRule="atLeast"/>
      </w:pPr>
      <w:r>
        <w:fldChar w:fldCharType="begin"/>
      </w:r>
      <w:r>
        <w:instrText xml:space="preserve"> HYPERLINK "http://dianda.cqvip.com/Qikan/Article/Detail?id=668732566&amp;from=Qikan_Article_Detail" \h </w:instrText>
      </w:r>
      <w:r>
        <w:fldChar w:fldCharType="separate"/>
      </w:r>
      <w:r>
        <w:rPr>
          <w:rStyle w:val="13"/>
          <w:color w:val="0563C1"/>
        </w:rPr>
        <w:t>中国博物馆教育的发展现状与问题</w:t>
      </w:r>
      <w:r>
        <w:rPr>
          <w:rStyle w:val="13"/>
          <w:color w:val="0563C1"/>
        </w:rPr>
        <w:fldChar w:fldCharType="end"/>
      </w:r>
    </w:p>
    <w:p w14:paraId="4BC67D84">
      <w:pPr>
        <w:spacing w:after="200" w:line="400" w:lineRule="atLeast"/>
      </w:pPr>
      <w:r>
        <w:fldChar w:fldCharType="begin"/>
      </w:r>
      <w:r>
        <w:instrText xml:space="preserve"> HYPERLINK "https://www.douban.com/note/747241416/" \h </w:instrText>
      </w:r>
      <w:r>
        <w:fldChar w:fldCharType="separate"/>
      </w:r>
      <w:r>
        <w:rPr>
          <w:rStyle w:val="13"/>
          <w:color w:val="0563C1"/>
        </w:rPr>
        <w:t>大四上·第十八周</w:t>
      </w:r>
      <w:r>
        <w:rPr>
          <w:rStyle w:val="13"/>
          <w:color w:val="0563C1"/>
        </w:rPr>
        <w:fldChar w:fldCharType="end"/>
      </w:r>
    </w:p>
    <w:p w14:paraId="33C476B2">
      <w:pPr>
        <w:spacing w:after="200" w:line="400" w:lineRule="atLeast"/>
      </w:pPr>
      <w:r>
        <w:fldChar w:fldCharType="begin"/>
      </w:r>
      <w:r>
        <w:instrText xml:space="preserve"> HYPERLINK "https://www.jusonbo.co.jp/_files/_file_upload/9784883673889.pdf" \h </w:instrText>
      </w:r>
      <w:r>
        <w:fldChar w:fldCharType="separate"/>
      </w:r>
      <w:r>
        <w:rPr>
          <w:rStyle w:val="13"/>
          <w:color w:val="0563C1"/>
        </w:rPr>
        <w:t>公立美術館における学芸員の専門性 人から考える博物館教育</w:t>
      </w:r>
      <w:r>
        <w:rPr>
          <w:rStyle w:val="13"/>
          <w:color w:val="0563C1"/>
        </w:rPr>
        <w:fldChar w:fldCharType="end"/>
      </w:r>
    </w:p>
    <w:p w14:paraId="2BFFF579">
      <w:pPr>
        <w:spacing w:after="200" w:line="400" w:lineRule="atLeast"/>
      </w:pPr>
      <w:r>
        <w:fldChar w:fldCharType="begin"/>
      </w:r>
      <w:r>
        <w:instrText xml:space="preserve"> HYPERLINK "https://museum-ed.org/the-american-museum-in-britain/" \h </w:instrText>
      </w:r>
      <w:r>
        <w:fldChar w:fldCharType="separate"/>
      </w:r>
      <w:r>
        <w:rPr>
          <w:rStyle w:val="13"/>
          <w:color w:val="0563C1"/>
        </w:rPr>
        <w:t>The American Museum in Britain</w:t>
      </w:r>
      <w:r>
        <w:rPr>
          <w:rStyle w:val="13"/>
          <w:color w:val="0563C1"/>
        </w:rPr>
        <w:fldChar w:fldCharType="end"/>
      </w:r>
    </w:p>
    <w:p w14:paraId="3EE0E638">
      <w:pPr>
        <w:spacing w:after="200" w:line="400" w:lineRule="atLeast"/>
      </w:pPr>
      <w:r>
        <w:fldChar w:fldCharType="begin"/>
      </w:r>
      <w:r>
        <w:instrText xml:space="preserve"> HYPERLINK "http://sanyamuseum.com/a/chenliexuanjiao/2025/0207/9108.html" \h </w:instrText>
      </w:r>
      <w:r>
        <w:fldChar w:fldCharType="separate"/>
      </w:r>
      <w:r>
        <w:rPr>
          <w:rStyle w:val="13"/>
          <w:color w:val="0563C1"/>
        </w:rPr>
        <w:t>英国博物馆学的两大特点及其成因与影响</w:t>
      </w:r>
      <w:r>
        <w:rPr>
          <w:rStyle w:val="13"/>
          <w:color w:val="0563C1"/>
        </w:rPr>
        <w:fldChar w:fldCharType="end"/>
      </w:r>
    </w:p>
    <w:p w14:paraId="13E23A04">
      <w:pPr>
        <w:spacing w:after="200" w:line="400" w:lineRule="atLeast"/>
      </w:pPr>
      <w:r>
        <w:fldChar w:fldCharType="begin"/>
      </w:r>
      <w:r>
        <w:instrText xml:space="preserve"> HYPERLINK "https://mp.weixin.qq.com/s?__biz=MjM5OTI2NzQ3NA==&amp;mid=2650622551&amp;idx=2&amp;sn=390ed992cc4580b9addf5f952bc403e4&amp;chksm=bf37f7aa88407ebca63e4daf80cf9a0ab273bcc0c2ef2cb858a7ecf56a56b9d247965d308112&amp;scene=27" \h </w:instrText>
      </w:r>
      <w:r>
        <w:fldChar w:fldCharType="separate"/>
      </w:r>
      <w:r>
        <w:rPr>
          <w:rStyle w:val="13"/>
          <w:color w:val="0563C1"/>
        </w:rPr>
        <w:t>英国与美国的艺术教育体系及创造力培养</w:t>
      </w:r>
      <w:r>
        <w:rPr>
          <w:rStyle w:val="13"/>
          <w:color w:val="0563C1"/>
        </w:rPr>
        <w:fldChar w:fldCharType="end"/>
      </w:r>
    </w:p>
    <w:p w14:paraId="049DD7E7">
      <w:pPr>
        <w:spacing w:after="200" w:line="400" w:lineRule="atLeast"/>
      </w:pPr>
      <w:r>
        <w:fldChar w:fldCharType="begin"/>
      </w:r>
      <w:r>
        <w:instrText xml:space="preserve"> HYPERLINK "https://webupload.gazi.edu.tr/upload/1102/2023/12/22/d980ddea-5e74-4b02-ad34-659c689ede16-4-ulusal-sanat-egitimi-sempozyumu-ozet-bildiri-kitabi.pdf" \h </w:instrText>
      </w:r>
      <w:r>
        <w:fldChar w:fldCharType="separate"/>
      </w:r>
      <w:r>
        <w:rPr>
          <w:rStyle w:val="13"/>
          <w:color w:val="0563C1"/>
        </w:rPr>
        <w:t>4. Ulusal Sanat Eğitimi Sempozyumu</w:t>
      </w:r>
      <w:r>
        <w:rPr>
          <w:rStyle w:val="13"/>
          <w:color w:val="0563C1"/>
        </w:rPr>
        <w:fldChar w:fldCharType="end"/>
      </w:r>
    </w:p>
    <w:p w14:paraId="25EF78B4">
      <w:pPr>
        <w:spacing w:after="200" w:line="400" w:lineRule="atLeast"/>
      </w:pPr>
      <w:r>
        <w:fldChar w:fldCharType="begin"/>
      </w:r>
      <w:r>
        <w:instrText xml:space="preserve"> HYPERLINK "https://www.thatsmags.com/uploads/pdf/1807bj.pdf" \h </w:instrText>
      </w:r>
      <w:r>
        <w:fldChar w:fldCharType="separate"/>
      </w:r>
      <w:r>
        <w:rPr>
          <w:rStyle w:val="13"/>
          <w:color w:val="0563C1"/>
        </w:rPr>
        <w:t>BEIJING that's PEACE, LOVE AND HIP-HOP</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9254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71EE31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11367</Words>
  <Characters>14154</Characters>
  <TotalTime>0</TotalTime>
  <ScaleCrop>false</ScaleCrop>
  <LinksUpToDate>false</LinksUpToDate>
  <CharactersWithSpaces>14624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2026-01-17T15:54:35Z</dcterms:created>
  <dc:creator>86188</dc:creator>
  <cp:lastModifiedBy>dyx</cp:lastModifiedBy>
  <dcterms:modified xsi:type="dcterms:W3CDTF">2026-01-17T15:54:46Z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aed28658db11d8a2aa992b39b53b7494","ProduceID":"Metasota_docx_6933e6dabe072a1f63bd1a1f_1_7ee5b524-16f4-47df-ab32-0b8d3594ed17","ReservedCode2":"aed28658db11d8a2aa992b39b53b7494","PropagateID":"Metasota_docx_6933e6dabe072a1f63bd1a1f_1_7ee5b524-16f4-47df-ab32-0b8d3594ed17","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67E5548A633940EC9C9BD9B2E174D71A_12</vt:lpwstr>
  </property>
</Properties>
</file>