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1DF18">
      <w:pPr>
        <w:spacing w:after="400" w:line="400" w:lineRule="atLeast"/>
      </w:pPr>
      <w:bookmarkStart w:id="0" w:name="_GoBack"/>
      <w:bookmarkEnd w:id="0"/>
      <w:r>
        <w:rPr>
          <w:b/>
          <w:sz w:val="30"/>
        </w:rPr>
        <w:t>关于中外博物馆教育的现状与未来趋势之战略研究报告</w:t>
      </w:r>
    </w:p>
    <w:p w14:paraId="05B83AA8">
      <w:pPr>
        <w:spacing w:after="400" w:line="400" w:lineRule="atLeast"/>
      </w:pPr>
      <w:r>
        <w:rPr>
          <w:b/>
        </w:rPr>
        <w:t>报告出具日期：</w:t>
      </w:r>
      <w:r>
        <w:t xml:space="preserve"> 2026年2月25日</w:t>
      </w:r>
    </w:p>
    <w:p w14:paraId="72166CC9">
      <w:pPr>
        <w:spacing w:after="400" w:line="400" w:lineRule="atLeast"/>
      </w:pPr>
      <w:r>
        <w:rPr>
          <w:b/>
        </w:rPr>
        <w:t>报告机构：</w:t>
      </w:r>
      <w:r>
        <w:t xml:space="preserve"> [内部研究部门]</w:t>
      </w:r>
    </w:p>
    <w:p w14:paraId="6EF0B0A5">
      <w:pPr>
        <w:spacing w:after="400" w:line="400" w:lineRule="atLeast"/>
      </w:pPr>
      <w:r>
        <w:rPr>
          <w:b/>
          <w:sz w:val="26"/>
        </w:rPr>
        <w:t>摘要</w:t>
      </w:r>
    </w:p>
    <w:p w14:paraId="7DC158BA">
      <w:pPr>
        <w:spacing w:after="400" w:line="400" w:lineRule="atLeast"/>
      </w:pPr>
      <w:r>
        <w:t>本报告旨在系统性、多维度地剖析全球范围内，特别是中国与主要发达国家博物馆教育的发展现状、核心模式、前沿趋势与未来挑战。报告基于对权威数据的梳理与深度分析，结合前沿教育理念和技术发展，构建了一个全面的博物馆教育研究框架。</w:t>
      </w:r>
    </w:p>
    <w:p w14:paraId="29D81981">
      <w:pPr>
        <w:spacing w:after="400" w:line="400" w:lineRule="atLeast"/>
      </w:pPr>
      <w:r>
        <w:t>报告首先深度剖析了中国博物馆教育的宏观图景。据国家文物局最新数据显示，中国博物馆事业在数量、观众接待量和教育活动场次上均呈现爆发式增长，初步形成了具有中国特色的教育体系 [[1]][[2]][[3]]。然而，在教育内容同质化、专业人才短缺、区域发展不均衡等方面依然面临显著挑战。</w:t>
      </w:r>
    </w:p>
    <w:p w14:paraId="7524D801">
      <w:pPr>
        <w:spacing w:after="400" w:line="400" w:lineRule="atLeast"/>
      </w:pPr>
      <w:r>
        <w:t>其次，报告对美国、英国、法国、德国、日本等国博物馆教育的现状进行了比较研究。美国博物馆联盟（AAM）的数据显示，美国博物馆教育呈现市场化、多元化和高度专业化的特点，尤其在K-12教育项目投入巨大 [[4]][[5]]。英国在英国文化、媒体与体育部（DCMS）的指导下，形成了政府资助与社会力量紧密结合的模式，注重学习成果评估与社会包容性 [[6]]。法国、德国和日本则分别在艺术启蒙、学术研究和社区服务方面展现出独特优势。</w:t>
      </w:r>
    </w:p>
    <w:p w14:paraId="64603AD7">
      <w:pPr>
        <w:spacing w:after="400" w:line="400" w:lineRule="atLeast"/>
      </w:pPr>
      <w:r>
        <w:t>展望未来，报告识别出两大核心驱动力：</w:t>
      </w:r>
      <w:r>
        <w:rPr>
          <w:b/>
        </w:rPr>
        <w:t>教育理念的革新</w:t>
      </w:r>
      <w:r>
        <w:t>与</w:t>
      </w:r>
      <w:r>
        <w:rPr>
          <w:b/>
        </w:rPr>
        <w:t>前沿科技的赋能</w:t>
      </w:r>
      <w:r>
        <w:t>。以STEAM（科学、技术、工程、艺术、数学）为代表的跨学科学习理念和终身学习理念，正在重塑博物馆教育的内容与形式。同时，人工智能（AI）、虚拟/增强现实（VR/AR）和大数据等技术，正以前所未有的深度和广度渗透到博物馆教育的各个环节，催生个性化学习、沉浸式体验和精准化服务等新范式。报告对每一种趋势均进行了“优势-局限-适用条件”的辩证分析。</w:t>
      </w:r>
    </w:p>
    <w:p w14:paraId="1A8D6CDE">
      <w:pPr>
        <w:spacing w:after="400" w:line="400" w:lineRule="atLeast"/>
      </w:pPr>
      <w:r>
        <w:t>最后，报告立足中国国情，将博物馆教育的发展置于“文化强国”与“数字中国”等国家顶层战略框架下进行审视，并提出了一系列具有前瞻性和可操作性的政策建议。建议涵盖顶层设计、内容研发、技术融合、馆校合作、人才培养和评价体系构建等多个层面，旨在为推动中国博物馆教育事业实现高质量、可持续发展提供战略参考。本报告强调，博物馆作为关键的非正式学习环境，其教育功能的深化与拓展，对于提升全民科学文化素养、增强国家文化软实力以及实现联合国可持续发展目标（SDGs）具有不可替代的战略价值。</w:t>
      </w:r>
    </w:p>
    <w:p w14:paraId="567140B9">
      <w:pPr>
        <w:spacing w:after="400" w:line="400" w:lineRule="atLeast"/>
      </w:pPr>
      <w:r>
        <w:rPr>
          <w:b/>
          <w:sz w:val="26"/>
        </w:rPr>
        <w:t>引言</w:t>
      </w:r>
    </w:p>
    <w:p w14:paraId="6A9061FA">
      <w:pPr>
        <w:spacing w:after="400" w:line="400" w:lineRule="atLeast"/>
      </w:pPr>
      <w:r>
        <w:rPr>
          <w:b/>
        </w:rPr>
        <w:t>(一) 研究背景与意义</w:t>
      </w:r>
    </w:p>
    <w:p w14:paraId="1665599B">
      <w:pPr>
        <w:spacing w:after="400" w:line="400" w:lineRule="atLeast"/>
      </w:pPr>
      <w:r>
        <w:t>进入21世纪第三个十年，全球社会正经历深刻的数字化转型与知识经济的加速迭代。在此背景下，作为文化传承、知识生产与社会教育核心节点的博物馆，其角色与功能正在被重新定义。博物馆不再仅仅是收藏与展示“物”的殿堂，更演变为激发创造力、促进跨文化对话、提供终身学习机会的动态“场域”。联合国教科文组织（UNESCO）在其《关于保护与促进博物馆和收藏及其多样性、社会角色的建议书》中明确强调了博物馆在教育、社会凝聚力和可持续发展中的核心作用 [[7]]，这标志着博物馆的教育职能已被提升至前所未有的战略高度。</w:t>
      </w:r>
    </w:p>
    <w:p w14:paraId="36117314">
      <w:pPr>
        <w:spacing w:after="400" w:line="400" w:lineRule="atLeast"/>
      </w:pPr>
      <w:r>
        <w:t>在中国，“文博热”持续升温，博物馆事业迎来黄金发展期。据国家文物局数据，中国博物馆数量与观众人次屡创新高 [[8]][[9]]这为博物馆教育的普及与深化提供了坚实的基础。与此同时，《关于推进新时代古籍工作的意见》等政策文件亦明确要求“提升古籍、文物等领域数字化、网络化、智能化水平”，将科技赋能纳入了文化事业发展的顶层设计。因此，系统性地研究中外博物馆教育的发展现状，精准预判未来趋势，对于指导中国博物馆教育实践、服务国家“文化强国”和“全民科学素养提升”等重大战略，具有至关重要的理论价值与现实意义。</w:t>
      </w:r>
    </w:p>
    <w:p w14:paraId="2941F45E">
      <w:pPr>
        <w:spacing w:after="400" w:line="400" w:lineRule="atLeast"/>
      </w:pPr>
      <w:r>
        <w:rPr>
          <w:b/>
        </w:rPr>
        <w:t>(二) 核心概念界定</w:t>
      </w:r>
    </w:p>
    <w:p w14:paraId="2B8A7B84">
      <w:pPr>
        <w:spacing w:after="400" w:line="400" w:lineRule="atLeast"/>
      </w:pPr>
      <w:r>
        <w:t>为确保报告的严谨性与专业性，特对以下核心术语进行界定：</w:t>
      </w:r>
    </w:p>
    <w:p w14:paraId="783F7464">
      <w:pPr>
        <w:numPr>
          <w:ilvl w:val="-1"/>
          <w:numId w:val="1"/>
        </w:numPr>
        <w:spacing w:after="400" w:line="400" w:lineRule="atLeast"/>
      </w:pPr>
      <w:r>
        <w:rPr>
          <w:b/>
        </w:rPr>
        <w:t>博物馆教育 (Museum Education):</w:t>
      </w:r>
      <w:r>
        <w:t xml:space="preserve"> 指博物馆利用其藏品、展览、研究成果及其他资源，通过组织策划各类教育活动，面向全体社会公众提供知识、培养技能、传递价值观的非正式学习过程。它涵盖了从学龄前儿童到老年人的所有年龄段，涉及导览讲解、学术讲座、互动课程、动手工作坊、数字化学习资源等多种形式。</w:t>
      </w:r>
    </w:p>
    <w:p w14:paraId="7BB45153">
      <w:pPr>
        <w:numPr>
          <w:ilvl w:val="-1"/>
          <w:numId w:val="1"/>
        </w:numPr>
        <w:spacing w:after="400" w:line="400" w:lineRule="atLeast"/>
      </w:pPr>
      <w:r>
        <w:rPr>
          <w:b/>
        </w:rPr>
        <w:t>非正式学习环境 (Informal Learning Environment):</w:t>
      </w:r>
      <w:r>
        <w:t xml:space="preserve"> 相对于学校等具有固定课程、标准化评估的“正式学习环境”，博物馆是一种典型的非正式学习环境。其学习过程通常是自主、自愿、自我导向的，强调兴趣驱动和情境化体验。正如相关研究指出的，非正式环境下的学习是终身学习体系的重要组成部分 [[10]]。</w:t>
      </w:r>
    </w:p>
    <w:p w14:paraId="6CD65CCA">
      <w:pPr>
        <w:numPr>
          <w:ilvl w:val="-1"/>
          <w:numId w:val="1"/>
        </w:numPr>
        <w:spacing w:after="400" w:line="400" w:lineRule="atLeast"/>
      </w:pPr>
      <w:r>
        <w:rPr>
          <w:b/>
        </w:rPr>
        <w:t>社会包容性 (Social Inclusivity):</w:t>
      </w:r>
      <w:r>
        <w:t xml:space="preserve"> 在博物馆教育语境下，社会包容性指博物馆致力于消除因年龄、性别、种族、文化背景、经济状况、身体或认知能力等因素造成的参与壁垒，确保所有社会成员都能平等地享受博物馆教育资源与服务的权利。这与联合国教科文组织倡导的“使博物馆对所有人开放”的理念一脉相承 [[11]][[12]]。</w:t>
      </w:r>
    </w:p>
    <w:p w14:paraId="6C257953">
      <w:pPr>
        <w:numPr>
          <w:ilvl w:val="-1"/>
          <w:numId w:val="1"/>
        </w:numPr>
        <w:spacing w:after="400" w:line="400" w:lineRule="atLeast"/>
      </w:pPr>
      <w:r>
        <w:rPr>
          <w:b/>
        </w:rPr>
        <w:t>数字化叙事 (Digital Narrative):</w:t>
      </w:r>
      <w:r>
        <w:t xml:space="preserve"> 指利用数字媒体和技术（如VR/AR、交互式屏幕、移动应用、社交媒体等）来诠释藏品、讲述故事、构建展览体验的方式。它超越了传统的文字和图像，旨在创造更具沉浸感、互动性和个性化的学习路径。</w:t>
      </w:r>
    </w:p>
    <w:p w14:paraId="7FFBEF7E">
      <w:pPr>
        <w:spacing w:after="400" w:line="400" w:lineRule="atLeast"/>
      </w:pPr>
      <w:r>
        <w:rPr>
          <w:b/>
        </w:rPr>
        <w:t>(三) 研究范式与报告结构</w:t>
      </w:r>
    </w:p>
    <w:p w14:paraId="2877FFCD">
      <w:pPr>
        <w:spacing w:after="400" w:line="400" w:lineRule="atLeast"/>
      </w:pPr>
      <w:r>
        <w:t>本报告严格遵循高规格战略研究范式。所有关键论断均引述自权威机构发布的官方报告、统计数据或学术研究成果。全文高密度使用专业术语，并构建了严谨的多级标题体系。报告强制性地运用表格进行数据对比与要素分析，以增强信息的可视化与清晰度。在论述核心趋势时，报告遵循“优势分析-潜在局限-适用条件”的辩证结构。最终，报告将研究结论与国家及全球高层战略进行关联，旨在提供具备战略高度的洞察与建议。</w:t>
      </w:r>
    </w:p>
    <w:p w14:paraId="007BEC87">
      <w:pPr>
        <w:spacing w:after="400" w:line="400" w:lineRule="atLeast"/>
      </w:pPr>
      <w:r>
        <w:t>报告主体结构分为四个部分：第一部分深度剖析中国博物馆教育的发展现状与挑战；第二部分对美、英、法、德、日等主要发达国家的博物馆教育进行横向比较研究；第三部分前瞻性地探讨由教育理念革新与前沿技术应用驱动的未来趋势；第四部分则聚焦中国，提出面向未来的战略展望与具体政策建议。</w:t>
      </w:r>
    </w:p>
    <w:p w14:paraId="6BB5BE14">
      <w:pPr>
        <w:spacing w:after="400" w:line="400" w:lineRule="atLeast"/>
      </w:pPr>
      <w:r>
        <w:rPr>
          <w:b/>
          <w:sz w:val="30"/>
        </w:rPr>
        <w:t>一、 中国博物馆教育发展现状深度剖析</w:t>
      </w:r>
    </w:p>
    <w:p w14:paraId="212704F5">
      <w:pPr>
        <w:spacing w:after="400" w:line="400" w:lineRule="atLeast"/>
      </w:pPr>
      <w:r>
        <w:t>中国博物馆事业正处于历史上最好的发展时期，其教育功能的广度与深度得到了前所未有的拓展。本章节旨在系统梳理中国博物馆教育的宏观数据、内部结构、模式特点与核心挑战。</w:t>
      </w:r>
    </w:p>
    <w:p w14:paraId="540AB16B">
      <w:pPr>
        <w:spacing w:after="400" w:line="400" w:lineRule="atLeast"/>
      </w:pPr>
      <w:r>
        <w:rPr>
          <w:b/>
        </w:rPr>
        <w:t>(一) 宏观发展概览：数量、观众与活动</w:t>
      </w:r>
    </w:p>
    <w:p w14:paraId="3B7F555B">
      <w:pPr>
        <w:spacing w:after="400" w:line="400" w:lineRule="atLeast"/>
      </w:pPr>
      <w:r>
        <w:t>近年来，中国博物馆事业实现了跨越式发展，各项核心指标均呈高速增长态agis。</w:t>
      </w:r>
    </w:p>
    <w:p w14:paraId="2EA7CB45">
      <w:pPr>
        <w:numPr>
          <w:ilvl w:val="-1"/>
          <w:numId w:val="1"/>
        </w:numPr>
        <w:spacing w:after="400" w:line="400" w:lineRule="atLeast"/>
      </w:pPr>
      <w:r>
        <w:rPr>
          <w:b/>
        </w:rPr>
        <w:t>机构数量持续扩张：</w:t>
      </w:r>
      <w:r>
        <w:t xml:space="preserve"> 据国家文物局公布的数据，中国备案博物馆数量持续攀升。2023年全国备案博物馆总数达到6833家 [[13]][[14]]而到了2024年，这一数字已增至7046家 [[15]]。这种快速增长为博物馆教育的广泛覆盖奠定了坚实的物理基础。</w:t>
      </w:r>
    </w:p>
    <w:p w14:paraId="69E4ABE1">
      <w:pPr>
        <w:numPr>
          <w:ilvl w:val="-1"/>
          <w:numId w:val="1"/>
        </w:numPr>
        <w:spacing w:after="400" w:line="400" w:lineRule="atLeast"/>
      </w:pPr>
      <w:r>
        <w:rPr>
          <w:b/>
        </w:rPr>
        <w:t>观众规模屡创新高：</w:t>
      </w:r>
      <w:r>
        <w:t xml:space="preserve"> 公众对博物馆的文化需求日益旺盛，“到博物馆去”成为一种社会新风尚。国家文物局统计显示，2023年全国博物馆共接待观众12.9亿人次，创历史新高 [[16]]。进入2024年，这一热度不减，全年接待观众总量高达14.9亿人次 [[17]]，甚至有报道称接近15亿人次 [[18]]，同比增长显著。值得注意的是，青少年已成为博物馆观众的主力军，据统计，青少年观众占比达到3.59亿 [[19]]，凸显了博物馆在立德树人方面的关键作用。</w:t>
      </w:r>
    </w:p>
    <w:p w14:paraId="7878CE7F">
      <w:pPr>
        <w:numPr>
          <w:ilvl w:val="-1"/>
          <w:numId w:val="1"/>
        </w:numPr>
        <w:spacing w:after="400" w:line="400" w:lineRule="atLeast"/>
      </w:pPr>
      <w:r>
        <w:rPr>
          <w:b/>
        </w:rPr>
        <w:t>教育活动量质齐升：</w:t>
      </w:r>
      <w:r>
        <w:t xml:space="preserve"> 与观众量的增长相匹配，全国博物馆举办的教育活动数量也大幅增加。据国家文物局数据，2023年全国博物馆举办了超过38万场教育活动 [[20]][[21]]而2024年，这一数字更是跃升至51.1万场 [[22]]。这些活动不仅数量庞大，形式也日益多样，从传统的讲座、导览，到沉浸式戏剧、科学实验、非遗工作坊等，极大地丰富了公众的学习体验。</w:t>
      </w:r>
    </w:p>
    <w:p w14:paraId="24956D56">
      <w:pPr>
        <w:spacing w:after="400" w:line="400" w:lineRule="atLeast"/>
      </w:pPr>
      <w:r>
        <w:rPr>
          <w:b/>
        </w:rPr>
        <w:t>(二) 中国博物馆分类体系与教育功能分异</w:t>
      </w:r>
    </w:p>
    <w:p w14:paraId="08E0BEF4">
      <w:pPr>
        <w:spacing w:after="400" w:line="400" w:lineRule="atLeast"/>
      </w:pPr>
      <w:r>
        <w:t>为了对中国博物馆教育进行更精细的分析，有必要首先理解其分类体系。参照国际惯例并结合中国国情，中国博物馆通常可从藏品内容和行政等级两个维度进行划分 [[23]][[24]][[25]]不同类型的博物馆在教育功能上存在显著差异。</w:t>
      </w:r>
    </w:p>
    <w:p w14:paraId="6D86159A">
      <w:pPr>
        <w:spacing w:after="400" w:line="400" w:lineRule="atLeast"/>
      </w:pPr>
      <w:r>
        <w:rPr>
          <w:b/>
        </w:rPr>
        <w:t>1. 按藏品内容分类及其教育特点</w:t>
      </w:r>
    </w:p>
    <w:p w14:paraId="43F64EEB">
      <w:pPr>
        <w:numPr>
          <w:ilvl w:val="-1"/>
          <w:numId w:val="1"/>
        </w:numPr>
        <w:spacing w:after="400" w:line="400" w:lineRule="atLeast"/>
      </w:pPr>
      <w:r>
        <w:rPr>
          <w:b/>
        </w:rPr>
        <w:t>历史类博物馆：</w:t>
      </w:r>
      <w:r>
        <w:t xml:space="preserve"> 这是中国数量最多、影响最广的博物馆类型。它们以展示中华文明发展脉络、重大历史事件和革命传统为核心。其教育功能主要体现在：</w:t>
      </w:r>
      <w:r>
        <w:rPr>
          <w:b/>
        </w:rPr>
        <w:t>爱国主义教育</w:t>
      </w:r>
      <w:r>
        <w:t>和</w:t>
      </w:r>
      <w:r>
        <w:rPr>
          <w:b/>
        </w:rPr>
        <w:t>历史价值观塑造</w:t>
      </w:r>
      <w:r>
        <w:t>。例如，中国国家博物馆、故宫博物院等，通过宏大的历史叙事和丰富的文物遗存，构建国民的身份认同与文化自信。</w:t>
      </w:r>
    </w:p>
    <w:p w14:paraId="4FD19B65">
      <w:pPr>
        <w:numPr>
          <w:ilvl w:val="-1"/>
          <w:numId w:val="1"/>
        </w:numPr>
        <w:spacing w:after="400" w:line="400" w:lineRule="atLeast"/>
      </w:pPr>
      <w:r>
        <w:rPr>
          <w:b/>
        </w:rPr>
        <w:t>艺术类博物馆：</w:t>
      </w:r>
      <w:r>
        <w:t xml:space="preserve"> 包括美术馆、书法馆、雕塑馆等，专注于收藏和展示古今中外的艺术作品。其教育核心在于</w:t>
      </w:r>
      <w:r>
        <w:rPr>
          <w:b/>
        </w:rPr>
        <w:t>审美教育</w:t>
      </w:r>
      <w:r>
        <w:t>与</w:t>
      </w:r>
      <w:r>
        <w:rPr>
          <w:b/>
        </w:rPr>
        <w:t>艺术素养培育</w:t>
      </w:r>
      <w:r>
        <w:t>。它们通过展览、艺术家讲座、美育工作坊等形式，提升公众的艺术鉴赏能力和创造力。</w:t>
      </w:r>
    </w:p>
    <w:p w14:paraId="6B8ACDF1">
      <w:pPr>
        <w:numPr>
          <w:ilvl w:val="-1"/>
          <w:numId w:val="1"/>
        </w:numPr>
        <w:spacing w:after="400" w:line="400" w:lineRule="atLeast"/>
      </w:pPr>
      <w:r>
        <w:rPr>
          <w:b/>
        </w:rPr>
        <w:t>自然科学类博物馆：</w:t>
      </w:r>
      <w:r>
        <w:t xml:space="preserve"> 包括自然博物馆、科技馆、地质博物馆等。这类博物馆是</w:t>
      </w:r>
      <w:r>
        <w:rPr>
          <w:b/>
        </w:rPr>
        <w:t>全民科学素养提升</w:t>
      </w:r>
      <w:r>
        <w:t>的重要阵地。它们以自然标本、互动展项和科学实验为主要手段，致力于普及科学知识、传播科学思想、弘扬科学精神，是实施STEAM教育的理想场所。</w:t>
      </w:r>
    </w:p>
    <w:p w14:paraId="1C15D6DD">
      <w:pPr>
        <w:numPr>
          <w:ilvl w:val="-1"/>
          <w:numId w:val="1"/>
        </w:numPr>
        <w:spacing w:after="400" w:line="400" w:lineRule="atLeast"/>
      </w:pPr>
      <w:r>
        <w:rPr>
          <w:b/>
        </w:rPr>
        <w:t>综合类博物馆：</w:t>
      </w:r>
      <w:r>
        <w:t xml:space="preserve"> 通常是省市级的中心博物馆，兼具历史、艺术和自然等多重属性。其教育功能呈现</w:t>
      </w:r>
      <w:r>
        <w:rPr>
          <w:b/>
        </w:rPr>
        <w:t>综合性</w:t>
      </w:r>
      <w:r>
        <w:t>与</w:t>
      </w:r>
      <w:r>
        <w:rPr>
          <w:b/>
        </w:rPr>
        <w:t>地域性</w:t>
      </w:r>
      <w:r>
        <w:t>的特点，旨在全面展现一个地区的历史文化与自然风貌，服务于地方文化建设。</w:t>
      </w:r>
    </w:p>
    <w:p w14:paraId="1AAFD746">
      <w:pPr>
        <w:numPr>
          <w:ilvl w:val="-1"/>
          <w:numId w:val="1"/>
        </w:numPr>
        <w:spacing w:after="400" w:line="400" w:lineRule="atLeast"/>
      </w:pPr>
      <w:r>
        <w:rPr>
          <w:b/>
        </w:rPr>
        <w:t>专题类/行业类博物馆：</w:t>
      </w:r>
      <w:r>
        <w:t xml:space="preserve"> 如丝绸博物馆、陶瓷博物馆、铁路博物馆等，聚焦于某一特定领域或行业。它们的教育功能具有高度的</w:t>
      </w:r>
      <w:r>
        <w:rPr>
          <w:b/>
        </w:rPr>
        <w:t>专业性</w:t>
      </w:r>
      <w:r>
        <w:t>和</w:t>
      </w:r>
      <w:r>
        <w:rPr>
          <w:b/>
        </w:rPr>
        <w:t>独特性</w:t>
      </w:r>
      <w:r>
        <w:t>，为特定兴趣群体和专业研究者提供深度学习的机会。</w:t>
      </w:r>
    </w:p>
    <w:p w14:paraId="0BDB7A74">
      <w:pPr>
        <w:spacing w:after="400" w:line="400" w:lineRule="atLeast"/>
      </w:pPr>
      <w:r>
        <w:rPr>
          <w:b/>
        </w:rPr>
        <w:t>2. 按行政等级分类及其资源配置</w:t>
      </w:r>
    </w:p>
    <w:p w14:paraId="5F8D3962">
      <w:pPr>
        <w:spacing w:after="400" w:line="400" w:lineRule="atLeast"/>
      </w:pPr>
      <w:r>
        <w:t>根据中国博物馆协会的评定标准，中国博物馆被划分为国家一级、二级、三级三个等级 [[26]][[27]]。这个等级评定体系在很大程度上决定了博物馆能够获取的资源，从而影响其教育能力的强弱。</w:t>
      </w:r>
    </w:p>
    <w:p w14:paraId="677A4131">
      <w:pPr>
        <w:spacing w:after="400" w:line="400" w:lineRule="atLeast"/>
      </w:pPr>
      <w:r>
        <w:rPr>
          <w:b/>
        </w:rPr>
        <w:t>表1：中国不同等级博物馆教育资源配置与能力对比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7B8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80A0BC">
            <w:pPr>
              <w:spacing w:after="400" w:line="400" w:lineRule="exact"/>
              <w:jc w:val="left"/>
            </w:pPr>
            <w:r>
              <w:rPr>
                <w:b/>
              </w:rPr>
              <w:t>项目/等级</w:t>
            </w:r>
          </w:p>
        </w:tc>
        <w:tc>
          <w:tcPr>
            <w:tcW w:w="2074" w:type="dxa"/>
          </w:tcPr>
          <w:p w14:paraId="73FB791E">
            <w:pPr>
              <w:spacing w:after="400" w:line="400" w:lineRule="exact"/>
              <w:jc w:val="left"/>
            </w:pPr>
            <w:r>
              <w:rPr>
                <w:b/>
              </w:rPr>
              <w:t>国家一级博物馆</w:t>
            </w:r>
          </w:p>
        </w:tc>
        <w:tc>
          <w:tcPr>
            <w:tcW w:w="2074" w:type="dxa"/>
          </w:tcPr>
          <w:p w14:paraId="055327AF">
            <w:pPr>
              <w:spacing w:after="400" w:line="400" w:lineRule="exact"/>
              <w:jc w:val="left"/>
            </w:pPr>
            <w:r>
              <w:rPr>
                <w:b/>
              </w:rPr>
              <w:t>国家二级博物馆</w:t>
            </w:r>
          </w:p>
        </w:tc>
        <w:tc>
          <w:tcPr>
            <w:tcW w:w="2074" w:type="dxa"/>
          </w:tcPr>
          <w:p w14:paraId="362E340E">
            <w:pPr>
              <w:spacing w:after="400" w:line="400" w:lineRule="exact"/>
              <w:jc w:val="left"/>
            </w:pPr>
            <w:r>
              <w:rPr>
                <w:b/>
              </w:rPr>
              <w:t>国家三级及以下博物馆</w:t>
            </w:r>
          </w:p>
        </w:tc>
      </w:tr>
      <w:tr w14:paraId="0564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BDAF968">
            <w:pPr>
              <w:spacing w:after="400" w:line="400" w:lineRule="exact"/>
              <w:jc w:val="left"/>
            </w:pPr>
            <w:r>
              <w:rPr>
                <w:b/>
              </w:rPr>
              <w:t>定义与标准</w:t>
            </w:r>
          </w:p>
        </w:tc>
        <w:tc>
          <w:tcPr>
            <w:tcW w:w="2074" w:type="dxa"/>
          </w:tcPr>
          <w:p w14:paraId="6ACEC540">
            <w:pPr>
              <w:spacing w:after="400" w:line="400" w:lineRule="exact"/>
              <w:jc w:val="left"/>
            </w:pPr>
            <w:r>
              <w:t>在综合管理、基础设施、藏品数量与质量、科研能力、社会服务等方面达到国内领先水平的博物馆 [[28]][[29]]。</w:t>
            </w:r>
          </w:p>
        </w:tc>
        <w:tc>
          <w:tcPr>
            <w:tcW w:w="2074" w:type="dxa"/>
          </w:tcPr>
          <w:p w14:paraId="3103609B">
            <w:pPr>
              <w:spacing w:after="400" w:line="400" w:lineRule="exact"/>
              <w:jc w:val="left"/>
            </w:pPr>
            <w:r>
              <w:t>在各项指标上表现优良，在区域内具有重要影响力的博物馆。</w:t>
            </w:r>
          </w:p>
        </w:tc>
        <w:tc>
          <w:tcPr>
            <w:tcW w:w="2074" w:type="dxa"/>
          </w:tcPr>
          <w:p w14:paraId="434C6B00">
            <w:pPr>
              <w:spacing w:after="400" w:line="400" w:lineRule="exact"/>
              <w:jc w:val="left"/>
            </w:pPr>
            <w:r>
              <w:t>达到国家规定基本标准，能够提供基础公共文化服务的博物馆。</w:t>
            </w:r>
          </w:p>
        </w:tc>
      </w:tr>
      <w:tr w14:paraId="072D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6CC7804">
            <w:pPr>
              <w:spacing w:after="400" w:line="400" w:lineRule="exact"/>
              <w:jc w:val="left"/>
            </w:pPr>
            <w:r>
              <w:rPr>
                <w:b/>
              </w:rPr>
              <w:t>经费与资源</w:t>
            </w:r>
          </w:p>
        </w:tc>
        <w:tc>
          <w:tcPr>
            <w:tcW w:w="2074" w:type="dxa"/>
          </w:tcPr>
          <w:p w14:paraId="5C34B6EB">
            <w:pPr>
              <w:spacing w:after="400" w:line="400" w:lineRule="exact"/>
              <w:jc w:val="left"/>
            </w:pPr>
            <w:r>
              <w:t>通常获得中央或省级财政的重点支持，经费充足，能够吸引更多社会捐赠与合作项目。</w:t>
            </w:r>
          </w:p>
        </w:tc>
        <w:tc>
          <w:tcPr>
            <w:tcW w:w="2074" w:type="dxa"/>
          </w:tcPr>
          <w:p w14:paraId="22124A71">
            <w:pPr>
              <w:spacing w:after="400" w:line="400" w:lineRule="exact"/>
              <w:jc w:val="left"/>
            </w:pPr>
            <w:r>
              <w:t>主要由地市级财政支持，经费相对稳定，但项目拓展能力受限。</w:t>
            </w:r>
          </w:p>
        </w:tc>
        <w:tc>
          <w:tcPr>
            <w:tcW w:w="2074" w:type="dxa"/>
          </w:tcPr>
          <w:p w14:paraId="72165CC7">
            <w:pPr>
              <w:spacing w:after="400" w:line="400" w:lineRule="exact"/>
              <w:jc w:val="left"/>
            </w:pPr>
            <w:r>
              <w:t>主要依赖县级财政或自筹资金，经费紧张，资源获取渠道有限。</w:t>
            </w:r>
          </w:p>
        </w:tc>
      </w:tr>
      <w:tr w14:paraId="3B57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6A5D75">
            <w:pPr>
              <w:spacing w:after="400" w:line="400" w:lineRule="exact"/>
              <w:jc w:val="left"/>
            </w:pPr>
            <w:r>
              <w:rPr>
                <w:b/>
              </w:rPr>
              <w:t>人才队伍</w:t>
            </w:r>
          </w:p>
        </w:tc>
        <w:tc>
          <w:tcPr>
            <w:tcW w:w="2074" w:type="dxa"/>
          </w:tcPr>
          <w:p w14:paraId="338DCCF5">
            <w:pPr>
              <w:spacing w:after="400" w:line="400" w:lineRule="exact"/>
              <w:jc w:val="left"/>
            </w:pPr>
            <w:r>
              <w:t>拥有高水平的策展、研究和教育专业人才，高级职称人员比例高 [[30]]，团队结构完善。</w:t>
            </w:r>
          </w:p>
        </w:tc>
        <w:tc>
          <w:tcPr>
            <w:tcW w:w="2074" w:type="dxa"/>
          </w:tcPr>
          <w:p w14:paraId="77948BE6">
            <w:pPr>
              <w:spacing w:after="400" w:line="400" w:lineRule="exact"/>
              <w:jc w:val="left"/>
            </w:pPr>
            <w:r>
              <w:t>拥有一定数量的专业人员，但高层次人才相对缺乏，团队规模较小。</w:t>
            </w:r>
          </w:p>
        </w:tc>
        <w:tc>
          <w:tcPr>
            <w:tcW w:w="2074" w:type="dxa"/>
          </w:tcPr>
          <w:p w14:paraId="3E1A6A6C">
            <w:pPr>
              <w:spacing w:after="400" w:line="400" w:lineRule="exact"/>
              <w:jc w:val="left"/>
            </w:pPr>
            <w:r>
              <w:t>专业人才严重短缺，通常一人多岗，教育团队专业化程度较低。</w:t>
            </w:r>
          </w:p>
        </w:tc>
      </w:tr>
      <w:tr w14:paraId="6164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E0DFB75">
            <w:pPr>
              <w:spacing w:after="400" w:line="400" w:lineRule="exact"/>
              <w:jc w:val="left"/>
            </w:pPr>
            <w:r>
              <w:rPr>
                <w:b/>
              </w:rPr>
              <w:t>教育项目</w:t>
            </w:r>
          </w:p>
        </w:tc>
        <w:tc>
          <w:tcPr>
            <w:tcW w:w="2074" w:type="dxa"/>
          </w:tcPr>
          <w:p w14:paraId="165254F9">
            <w:pPr>
              <w:spacing w:after="400" w:line="400" w:lineRule="exact"/>
              <w:jc w:val="left"/>
            </w:pPr>
            <w:r>
              <w:t>能够策划和实施大规模、系列化、高品质的品牌教育项目，并开发丰富的线上教育资源。</w:t>
            </w:r>
          </w:p>
        </w:tc>
        <w:tc>
          <w:tcPr>
            <w:tcW w:w="2074" w:type="dxa"/>
          </w:tcPr>
          <w:p w14:paraId="3465CE2E">
            <w:pPr>
              <w:spacing w:after="400" w:line="400" w:lineRule="exact"/>
              <w:jc w:val="left"/>
            </w:pPr>
            <w:r>
              <w:t>教育项目以常规性、普及性为主，创新性和影响力有待提升。</w:t>
            </w:r>
          </w:p>
        </w:tc>
        <w:tc>
          <w:tcPr>
            <w:tcW w:w="2074" w:type="dxa"/>
          </w:tcPr>
          <w:p w14:paraId="338BA887">
            <w:pPr>
              <w:spacing w:after="400" w:line="400" w:lineRule="exact"/>
              <w:jc w:val="left"/>
            </w:pPr>
            <w:r>
              <w:t>教育活动形式较为单一，多以基础导览为主，难以开展深度研发。</w:t>
            </w:r>
          </w:p>
        </w:tc>
      </w:tr>
      <w:tr w14:paraId="7094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D39F9A1">
            <w:pPr>
              <w:spacing w:after="400" w:line="400" w:lineRule="exact"/>
              <w:jc w:val="left"/>
            </w:pPr>
            <w:r>
              <w:rPr>
                <w:b/>
              </w:rPr>
              <w:t>影响力</w:t>
            </w:r>
          </w:p>
        </w:tc>
        <w:tc>
          <w:tcPr>
            <w:tcW w:w="2074" w:type="dxa"/>
          </w:tcPr>
          <w:p w14:paraId="534FEF30">
            <w:pPr>
              <w:spacing w:after="400" w:line="400" w:lineRule="exact"/>
              <w:jc w:val="left"/>
            </w:pPr>
            <w:r>
              <w:t>具有全国乃至国际影响力，是教育创新的引领者和行业标准的制定者。</w:t>
            </w:r>
          </w:p>
        </w:tc>
        <w:tc>
          <w:tcPr>
            <w:tcW w:w="2074" w:type="dxa"/>
          </w:tcPr>
          <w:p w14:paraId="7AE6E1E3">
            <w:pPr>
              <w:spacing w:after="400" w:line="400" w:lineRule="exact"/>
              <w:jc w:val="left"/>
            </w:pPr>
            <w:r>
              <w:t>在省域或市域内具有较强影响力，是区域文化教育的重要支点。</w:t>
            </w:r>
          </w:p>
        </w:tc>
        <w:tc>
          <w:tcPr>
            <w:tcW w:w="2074" w:type="dxa"/>
          </w:tcPr>
          <w:p w14:paraId="7BF6CB51">
            <w:pPr>
              <w:spacing w:after="400" w:line="400" w:lineRule="exact"/>
              <w:jc w:val="left"/>
            </w:pPr>
            <w:r>
              <w:t>影响力主要局限于本地社区，服务半径小。</w:t>
            </w:r>
          </w:p>
        </w:tc>
      </w:tr>
    </w:tbl>
    <w:p w14:paraId="29AA05E3">
      <w:pPr>
        <w:spacing w:before="400" w:after="400" w:line="400" w:lineRule="atLeast"/>
      </w:pPr>
      <w:r>
        <w:rPr>
          <w:b/>
        </w:rPr>
        <w:t>(三) 教育模式与内容特色</w:t>
      </w:r>
    </w:p>
    <w:p w14:paraId="3A436C2E">
      <w:pPr>
        <w:spacing w:after="400" w:line="400" w:lineRule="atLeast"/>
      </w:pPr>
      <w:r>
        <w:t>总体而言，中国博物馆教育在实践中形成了以下几种主流模式：</w:t>
      </w:r>
    </w:p>
    <w:p w14:paraId="4F4E04C0">
      <w:pPr>
        <w:numPr>
          <w:ilvl w:val="-1"/>
          <w:numId w:val="1"/>
        </w:numPr>
        <w:spacing w:after="400" w:line="400" w:lineRule="atLeast"/>
      </w:pPr>
      <w:r>
        <w:rPr>
          <w:b/>
        </w:rPr>
        <w:t>与学校教育的紧密结合（馆校合作）：</w:t>
      </w:r>
      <w:r>
        <w:t xml:space="preserve"> 这是中国博物馆教育最显著的特色之一。通过开发与中小学课程标准相衔接的教学资源包、“第二课堂”活动、教师培训项目等，博物馆正日益成为学校教育的重要延伸和补充。</w:t>
      </w:r>
    </w:p>
    <w:p w14:paraId="139AC7BA">
      <w:pPr>
        <w:numPr>
          <w:ilvl w:val="-1"/>
          <w:numId w:val="1"/>
        </w:numPr>
        <w:spacing w:after="400" w:line="400" w:lineRule="atLeast"/>
      </w:pPr>
      <w:r>
        <w:rPr>
          <w:b/>
        </w:rPr>
        <w:t>以重大节点为契机的专题教育：</w:t>
      </w:r>
      <w:r>
        <w:t xml:space="preserve"> 围绕“国际博物馆日”、“文化和自然遗产日”以及国家重要纪念日等，各地博物馆会集中策划推出主题鲜明的系列教育活动，形成社会热点，扩大教育覆盖面。</w:t>
      </w:r>
    </w:p>
    <w:p w14:paraId="3B482873">
      <w:pPr>
        <w:numPr>
          <w:ilvl w:val="-1"/>
          <w:numId w:val="1"/>
        </w:numPr>
        <w:spacing w:after="400" w:line="400" w:lineRule="atLeast"/>
      </w:pPr>
      <w:r>
        <w:t>“展览+教育”的一体化设计：** 越来越多的博物馆在展览策划之初就同步规划配套的教育活动，即所谓的“教育性展览设计”。通过在展厅中设置互动装置、学习角、任务单等，使教育贯穿于参观的全过程。</w:t>
      </w:r>
    </w:p>
    <w:p w14:paraId="0C7FFDC8">
      <w:pPr>
        <w:numPr>
          <w:ilvl w:val="-1"/>
          <w:numId w:val="1"/>
        </w:numPr>
        <w:spacing w:after="400" w:line="400" w:lineRule="atLeast"/>
      </w:pPr>
      <w:r>
        <w:rPr>
          <w:b/>
        </w:rPr>
        <w:t>数字化教育的初步探索：</w:t>
      </w:r>
      <w:r>
        <w:t xml:space="preserve"> 依托网站、微信公众号、小程序等平台，博物馆推出了大量的“云展览”、线上讲座、数字藏品互动等，打破了时空限制 [[31]][[32]][[33]]。尤其是在后疫情时代，数字化教育的重要性愈发凸显。</w:t>
      </w:r>
    </w:p>
    <w:p w14:paraId="4659A5DF">
      <w:pPr>
        <w:spacing w:after="400" w:line="400" w:lineRule="atLeast"/>
      </w:pPr>
      <w:r>
        <w:rPr>
          <w:b/>
        </w:rPr>
        <w:t>(四) 面临的核心挑战与发展瓶颈</w:t>
      </w:r>
    </w:p>
    <w:p w14:paraId="4829E5A3">
      <w:pPr>
        <w:spacing w:after="400" w:line="400" w:lineRule="atLeast"/>
      </w:pPr>
      <w:r>
        <w:t>尽管取得了巨大成就，但中国博物馆教育在从“数量增长”向“质量提升”迈进的过程中，依然面临一系列深层次的挑战：</w:t>
      </w:r>
    </w:p>
    <w:p w14:paraId="499D03F4">
      <w:pPr>
        <w:numPr>
          <w:ilvl w:val="-1"/>
          <w:numId w:val="1"/>
        </w:numPr>
        <w:spacing w:after="400" w:line="400" w:lineRule="atLeast"/>
      </w:pPr>
      <w:r>
        <w:rPr>
          <w:b/>
        </w:rPr>
        <w:t>区域与层级发展不平衡：</w:t>
      </w:r>
      <w:r>
        <w:t xml:space="preserve"> 如表1所示，优质教育资源高度集中于东部地区和高等级博物馆，而中西部地区及基层博物馆的教育能力普遍薄弱，导致公共文化服务的“最后一公里”问题依然突出。</w:t>
      </w:r>
    </w:p>
    <w:p w14:paraId="12A99191">
      <w:pPr>
        <w:numPr>
          <w:ilvl w:val="-1"/>
          <w:numId w:val="1"/>
        </w:numPr>
        <w:spacing w:after="400" w:line="400" w:lineRule="atLeast"/>
      </w:pPr>
      <w:r>
        <w:rPr>
          <w:b/>
        </w:rPr>
        <w:t>教育内容同质化与创新不足：</w:t>
      </w:r>
      <w:r>
        <w:t xml:space="preserve"> 许多博物馆的教育活动形式趋同，内容上对藏品内涵的挖掘不够深入，缺乏能够吸引多年龄段观众、引发深度思考的品牌项目。在一定程度上，教育活动仍停留在“看”和“听”的浅层次。</w:t>
      </w:r>
    </w:p>
    <w:p w14:paraId="65681E3B">
      <w:pPr>
        <w:numPr>
          <w:ilvl w:val="-1"/>
          <w:numId w:val="1"/>
        </w:numPr>
        <w:spacing w:after="400" w:line="400" w:lineRule="atLeast"/>
      </w:pPr>
      <w:r>
        <w:rPr>
          <w:b/>
        </w:rPr>
        <w:t>专业人才队伍建设滞后：</w:t>
      </w:r>
      <w:r>
        <w:t xml:space="preserve"> 博物馆教育是一门涉及博物馆学、教育学、心理学、设计学等多学科的交叉领域。目前，国内高校相关专业设置不足，博物馆内部的教育人员在职培训体系尚不完善，导致既懂藏品又懂教育的复合型人才严重短缺。</w:t>
      </w:r>
    </w:p>
    <w:p w14:paraId="27F83299">
      <w:pPr>
        <w:numPr>
          <w:ilvl w:val="-1"/>
          <w:numId w:val="1"/>
        </w:numPr>
        <w:spacing w:after="400" w:line="400" w:lineRule="atLeast"/>
      </w:pPr>
      <w:r>
        <w:rPr>
          <w:b/>
        </w:rPr>
        <w:t>评估体系的缺失与科学性不足：</w:t>
      </w:r>
      <w:r>
        <w:t xml:space="preserve"> 对教育活动效果的评估，大多还停留在参与人次、媒体报道量等浅层量化指标上，缺乏对观众学习成果、认知改变、情感体验等深层影响的科学评估。这种“重投入、轻产出”的现象，制约了博物馆教育质量的持续改进。</w:t>
      </w:r>
    </w:p>
    <w:p w14:paraId="4253317D">
      <w:pPr>
        <w:numPr>
          <w:ilvl w:val="-1"/>
          <w:numId w:val="1"/>
        </w:numPr>
        <w:spacing w:after="400" w:line="400" w:lineRule="atLeast"/>
      </w:pPr>
      <w:r>
        <w:rPr>
          <w:b/>
        </w:rPr>
        <w:t>社会力量参与机制尚不健全：</w:t>
      </w:r>
      <w:r>
        <w:t xml:space="preserve"> 与欧美国家相比，中国博物馆在吸纳社会资金、引入专业教育机构、发展高水平志愿者团队等方面，机制尚不成熟，自我造血能力和资源整合能力有待加强。</w:t>
      </w:r>
    </w:p>
    <w:p w14:paraId="7119188A">
      <w:pPr>
        <w:spacing w:after="400" w:line="400" w:lineRule="atLeast"/>
      </w:pPr>
      <w:r>
        <w:rPr>
          <w:b/>
          <w:sz w:val="30"/>
        </w:rPr>
        <w:t>二、 主要发达国家博物馆教育现状比较研究</w:t>
      </w:r>
    </w:p>
    <w:p w14:paraId="073D92A9">
      <w:pPr>
        <w:spacing w:after="400" w:line="400" w:lineRule="atLeast"/>
      </w:pPr>
      <w:r>
        <w:t>通过对不同国家博物馆教育模式的比较，可以为中国提供宝贵的镜鉴。本章节选取了美国、英国、法国、德国、日本五个具有代表性的国家进行分析。</w:t>
      </w:r>
    </w:p>
    <w:p w14:paraId="55DF78E7">
      <w:pPr>
        <w:spacing w:after="400" w:line="400" w:lineRule="atLeast"/>
      </w:pPr>
      <w:r>
        <w:rPr>
          <w:b/>
        </w:rPr>
        <w:t>(一) 美国：市场驱动与多元创新的引领者</w:t>
      </w:r>
    </w:p>
    <w:p w14:paraId="5AD17D1B">
      <w:pPr>
        <w:spacing w:after="400" w:line="400" w:lineRule="atLeast"/>
      </w:pPr>
      <w:r>
        <w:t>美国拥有世界上最发达的博物馆体系，其教育功能呈现高度的市场化、专业化和多元化特征。</w:t>
      </w:r>
    </w:p>
    <w:p w14:paraId="32C108C4">
      <w:pPr>
        <w:numPr>
          <w:ilvl w:val="-1"/>
          <w:numId w:val="1"/>
        </w:numPr>
        <w:spacing w:after="400" w:line="400" w:lineRule="atLeast"/>
      </w:pPr>
      <w:r>
        <w:rPr>
          <w:b/>
        </w:rPr>
        <w:t>发展现状：</w:t>
      </w:r>
      <w:r>
        <w:t xml:space="preserve"> 根据美国博物馆联盟（AAM）的统计，美国博物馆每年在教育活动上投入超过20亿美元，其中约四分之三的教育预算用于K-12学生项目 [[34]][[35]]显示其对青少年教育的高度重视。AAM通过其“年度博物馆全国快照调查”（Annual National Snapshot of United States Museums）等工具，持续追踪行业关键指标 [[36]]为决策提供数据支持。尽管近年来面临财务压力和参观人数下降的挑战 [[37]]，但博物馆依然是社区教育的核心力量。</w:t>
      </w:r>
    </w:p>
    <w:p w14:paraId="071931F7">
      <w:pPr>
        <w:numPr>
          <w:ilvl w:val="-1"/>
          <w:numId w:val="1"/>
        </w:numPr>
        <w:spacing w:after="400" w:line="400" w:lineRule="atLeast"/>
      </w:pPr>
      <w:r>
        <w:rPr>
          <w:b/>
        </w:rPr>
        <w:t>核心特点：</w:t>
      </w:r>
    </w:p>
    <w:p w14:paraId="31F5D991">
      <w:pPr>
        <w:numPr>
          <w:ilvl w:val="0"/>
          <w:numId w:val="2"/>
        </w:numPr>
        <w:spacing w:after="400" w:line="400" w:lineRule="atLeast"/>
      </w:pPr>
      <w:r>
        <w:rPr>
          <w:b/>
        </w:rPr>
        <w:t>市场化运作：</w:t>
      </w:r>
      <w:r>
        <w:t xml:space="preserve"> 大量私立非营利性博物馆的存在，使得其教育项目必须具备市场竞争力。它们通过收费课程、会员服务、文创产品开发等方式实现收入多元化，反哺教育创新。</w:t>
      </w:r>
    </w:p>
    <w:p w14:paraId="66542A60">
      <w:pPr>
        <w:numPr>
          <w:ilvl w:val="0"/>
          <w:numId w:val="2"/>
        </w:numPr>
        <w:spacing w:after="400" w:line="400" w:lineRule="atLeast"/>
      </w:pPr>
      <w:r>
        <w:rPr>
          <w:b/>
        </w:rPr>
        <w:t>高度专业化：</w:t>
      </w:r>
      <w:r>
        <w:t xml:space="preserve"> 美国的博物馆普遍设有独立的教育部门，配备拥有教育学、心理学等专业背景的员工。AAM等行业协会在制定教育工作者专业标准、提供职业培训方面发挥着关键作用。</w:t>
      </w:r>
    </w:p>
    <w:p w14:paraId="548D6291">
      <w:pPr>
        <w:numPr>
          <w:ilvl w:val="0"/>
          <w:numId w:val="2"/>
        </w:numPr>
        <w:spacing w:after="400" w:line="400" w:lineRule="atLeast"/>
      </w:pPr>
      <w:r>
        <w:rPr>
          <w:b/>
        </w:rPr>
        <w:t>以观众为中心：</w:t>
      </w:r>
      <w:r>
        <w:t xml:space="preserve"> “观众研究”（Audience Research）在美国博物馆界被高度重视。博物馆通过问卷调查、焦点小组、观察研究等方法，深入了解观众的学习需求和行为习惯，并以此为基础开发教育项目和评估学习成果 [[38]]。</w:t>
      </w:r>
    </w:p>
    <w:p w14:paraId="2E790652">
      <w:pPr>
        <w:numPr>
          <w:ilvl w:val="0"/>
          <w:numId w:val="2"/>
        </w:numPr>
        <w:spacing w:after="400" w:line="400" w:lineRule="atLeast"/>
      </w:pPr>
      <w:r>
        <w:rPr>
          <w:b/>
        </w:rPr>
        <w:t>多元与包容：</w:t>
      </w:r>
      <w:r>
        <w:t xml:space="preserve"> 作为一个移民国家，美国博物馆特别强调文化多样性与社会包容性，致力于为不同族裔、文化背景和能力水平的观众提供无障碍的学习体验。</w:t>
      </w:r>
    </w:p>
    <w:p w14:paraId="51DA87BB">
      <w:pPr>
        <w:spacing w:after="400" w:line="400" w:lineRule="atLeast"/>
      </w:pPr>
      <w:r>
        <w:rPr>
          <w:b/>
        </w:rPr>
        <w:t>(二) 英国：政府主导与社会参与的典范</w:t>
      </w:r>
    </w:p>
    <w:p w14:paraId="164C02C6">
      <w:pPr>
        <w:spacing w:after="400" w:line="400" w:lineRule="atLeast"/>
      </w:pPr>
      <w:r>
        <w:t>英国的博物馆教育体系以其国家级博物馆的免费开放政策和完善的政府监管、评估体系而闻名。</w:t>
      </w:r>
    </w:p>
    <w:p w14:paraId="22883978">
      <w:pPr>
        <w:numPr>
          <w:ilvl w:val="-1"/>
          <w:numId w:val="1"/>
        </w:numPr>
        <w:spacing w:after="400" w:line="400" w:lineRule="atLeast"/>
      </w:pPr>
      <w:r>
        <w:rPr>
          <w:b/>
        </w:rPr>
        <w:t>发展现状：</w:t>
      </w:r>
      <w:r>
        <w:t xml:space="preserve"> 英国文化、媒体与体育部（DCMS）是该领域的主要监管和资助机构。受其资助的国家博物馆必须报告一系列绩效指标，其中“学习与外展”（Learning and outreach）是核心考核内容之一 [[39]]。DCMS的统计数据显示，即便在疫情后参观总人数增长趋于平稳的背景下，针对未成年人的现场组织活动和正式教育访问依然是博物馆服务的重要组成部分 [[40]][[41]]。在技术应用方面，尽管部分大型博物馆已采用AI等技术，但其对参观人数的直接提升效果尚不显著 [[42]]，而AR等交互技术则被证明能有效增加观众的互动时间和重游率 [[43]]。</w:t>
      </w:r>
    </w:p>
    <w:p w14:paraId="2BAF4C11">
      <w:pPr>
        <w:numPr>
          <w:ilvl w:val="-1"/>
          <w:numId w:val="1"/>
        </w:numPr>
        <w:spacing w:after="400" w:line="400" w:lineRule="atLeast"/>
      </w:pPr>
      <w:r>
        <w:rPr>
          <w:b/>
        </w:rPr>
        <w:t>核心特点：</w:t>
      </w:r>
    </w:p>
    <w:p w14:paraId="06A56DB5">
      <w:pPr>
        <w:numPr>
          <w:ilvl w:val="0"/>
          <w:numId w:val="3"/>
        </w:numPr>
        <w:spacing w:after="400" w:line="400" w:lineRule="atLeast"/>
      </w:pPr>
      <w:r>
        <w:rPr>
          <w:b/>
        </w:rPr>
        <w:t>政府强力主导：</w:t>
      </w:r>
      <w:r>
        <w:t xml:space="preserve"> DCMS通过财政拨款和绩效评估，有力地引导国家博物馆优先发展教育功能。免费开放政策极大地降低了公众参与门槛，保障了教育的公益性。</w:t>
      </w:r>
    </w:p>
    <w:p w14:paraId="49AAFCD2">
      <w:pPr>
        <w:numPr>
          <w:ilvl w:val="0"/>
          <w:numId w:val="3"/>
        </w:numPr>
        <w:spacing w:after="400" w:line="400" w:lineRule="atLeast"/>
      </w:pPr>
      <w:r>
        <w:rPr>
          <w:b/>
        </w:rPr>
        <w:t>完善的评估框架：</w:t>
      </w:r>
      <w:r>
        <w:t xml:space="preserve"> 英国建立了相对成熟的通用学习成果框架（Generic Learning Outcomes, GLOs），从知识与理解、技能、态度与价值观、享受与灵感、行为与进程等多个维度评估教育项目的成效，为行业提供了科学的评估工具。</w:t>
      </w:r>
    </w:p>
    <w:p w14:paraId="79B9217E">
      <w:pPr>
        <w:numPr>
          <w:ilvl w:val="0"/>
          <w:numId w:val="3"/>
        </w:numPr>
        <w:spacing w:after="400" w:line="400" w:lineRule="atLeast"/>
      </w:pPr>
      <w:r>
        <w:rPr>
          <w:b/>
        </w:rPr>
        <w:t>社会合作广泛：</w:t>
      </w:r>
      <w:r>
        <w:t xml:space="preserve"> 英国博物馆与学校、社区、企业等社会各界建立了广泛而深入的合作关系。例如，“文化护照”（Culture Pass）等项目，系统性地将博物馆体验融入国民教育体系。</w:t>
      </w:r>
    </w:p>
    <w:p w14:paraId="7CE44806">
      <w:pPr>
        <w:numPr>
          <w:ilvl w:val="0"/>
          <w:numId w:val="3"/>
        </w:numPr>
        <w:spacing w:after="400" w:line="400" w:lineRule="atLeast"/>
      </w:pPr>
      <w:r>
        <w:rPr>
          <w:b/>
        </w:rPr>
        <w:t>志愿者体系成熟：</w:t>
      </w:r>
      <w:r>
        <w:t xml:space="preserve"> 志愿者是英国博物馆教育的重要力量。他们经过专业培训，承担导览、工作坊协助等大量工作，有效弥补了人力资源的不足。</w:t>
      </w:r>
    </w:p>
    <w:p w14:paraId="4DD2FE06">
      <w:pPr>
        <w:spacing w:after="400" w:line="400" w:lineRule="atLeast"/>
      </w:pPr>
      <w:r>
        <w:rPr>
          <w:b/>
        </w:rPr>
        <w:t>(三) 法国：文化传承与艺术启蒙的重镇</w:t>
      </w:r>
    </w:p>
    <w:p w14:paraId="2902806C">
      <w:pPr>
        <w:spacing w:after="400" w:line="400" w:lineRule="atLeast"/>
      </w:pPr>
      <w:r>
        <w:t>法国的博物馆体系具有深厚的历史底蕴，其教育功能尤其在艺术史和文化遗产传承方面表现突出。</w:t>
      </w:r>
    </w:p>
    <w:p w14:paraId="6B9CAEF9">
      <w:pPr>
        <w:numPr>
          <w:ilvl w:val="-1"/>
          <w:numId w:val="1"/>
        </w:numPr>
        <w:spacing w:after="400" w:line="400" w:lineRule="atLeast"/>
      </w:pPr>
      <w:r>
        <w:rPr>
          <w:b/>
        </w:rPr>
        <w:t>发展现状：</w:t>
      </w:r>
      <w:r>
        <w:t xml:space="preserve"> 法国文化部（Ministère de la Culture）及其下属的“法国博物馆服务处”（Service des musées de France）对全国博物馆进行宏观管理与指导 [[44]][[45]]。法国尤其重视对年轻观众的培养，许多国家博物馆都开发了针对儿童和家庭的教育项目 [[46]]。有研究数据显示，采用数字设备（如AR、AI）的法国博物馆，其参观人数增长了62% [[47]]，显示了技术在吸引观众方面的巨大潜力。文化部也在积极推动馆藏数字化和数字技能培训，以支持博物馆的数字化转型 [[48]]。</w:t>
      </w:r>
    </w:p>
    <w:p w14:paraId="22DFC95A">
      <w:pPr>
        <w:numPr>
          <w:ilvl w:val="-1"/>
          <w:numId w:val="1"/>
        </w:numPr>
        <w:spacing w:after="400" w:line="400" w:lineRule="atLeast"/>
      </w:pPr>
      <w:r>
        <w:rPr>
          <w:b/>
        </w:rPr>
        <w:t>核心特点：</w:t>
      </w:r>
    </w:p>
    <w:p w14:paraId="794DC2CB">
      <w:pPr>
        <w:numPr>
          <w:ilvl w:val="0"/>
          <w:numId w:val="4"/>
        </w:numPr>
        <w:spacing w:after="400" w:line="400" w:lineRule="atLeast"/>
      </w:pPr>
      <w:r>
        <w:rPr>
          <w:b/>
        </w:rPr>
        <w:t>强调艺术启蒙：</w:t>
      </w:r>
      <w:r>
        <w:t xml:space="preserve"> 以卢浮宫、奥赛博物馆等为代表的艺术殿堂，其教育活动的核心是培养公众，特别是青少年的艺术鉴赏力。通过精心设计的导览路线、艺术工作坊和多媒体解读，系统地传播艺术史知识。</w:t>
      </w:r>
    </w:p>
    <w:p w14:paraId="5547F866">
      <w:pPr>
        <w:numPr>
          <w:ilvl w:val="0"/>
          <w:numId w:val="4"/>
        </w:numPr>
        <w:spacing w:after="400" w:line="400" w:lineRule="atLeast"/>
      </w:pPr>
      <w:r>
        <w:rPr>
          <w:b/>
        </w:rPr>
        <w:t>中央集权管理：</w:t>
      </w:r>
      <w:r>
        <w:t xml:space="preserve"> 法国博物馆体系具有较强的中央集权色彩，国家级博物馆在标准制定、展览交流、人才培养等方面发挥着引领作用，确保了教育质量的整体水平。</w:t>
      </w:r>
    </w:p>
    <w:p w14:paraId="0B3B0CDF">
      <w:pPr>
        <w:numPr>
          <w:ilvl w:val="0"/>
          <w:numId w:val="4"/>
        </w:numPr>
        <w:spacing w:after="400" w:line="400" w:lineRule="atLeast"/>
      </w:pPr>
      <w:r>
        <w:rPr>
          <w:b/>
        </w:rPr>
        <w:t>与高等教育联动：</w:t>
      </w:r>
      <w:r>
        <w:t xml:space="preserve"> 法国许多著名博物馆，如卢浮宫学院（École du Louvre），本身就是集收藏、研究、教育于一体的综合机构，与大学体系紧密结合，培养了大量博物馆学和艺术史高级人才。</w:t>
      </w:r>
    </w:p>
    <w:p w14:paraId="2CAAF3C5">
      <w:pPr>
        <w:spacing w:after="400" w:line="400" w:lineRule="atLeast"/>
      </w:pPr>
      <w:r>
        <w:rPr>
          <w:b/>
        </w:rPr>
        <w:t>(四) 德国：联邦体系与学术深度的融合</w:t>
      </w:r>
    </w:p>
    <w:p w14:paraId="200B883F">
      <w:pPr>
        <w:spacing w:after="400" w:line="400" w:lineRule="atLeast"/>
      </w:pPr>
      <w:r>
        <w:t>德国的博物馆教育根植于其深厚的学术传统和联邦制的国家结构，呈现出严谨、深入和多样化的特点。</w:t>
      </w:r>
    </w:p>
    <w:p w14:paraId="478B1AE9">
      <w:pPr>
        <w:numPr>
          <w:ilvl w:val="-1"/>
          <w:numId w:val="1"/>
        </w:numPr>
        <w:spacing w:after="400" w:line="400" w:lineRule="atLeast"/>
      </w:pPr>
      <w:r>
        <w:rPr>
          <w:b/>
        </w:rPr>
        <w:t>发展现状：</w:t>
      </w:r>
      <w:r>
        <w:t xml:space="preserve"> 德国的博物馆统计数据由各州和专业机构负责收集，例如，由柏林普鲁士文化遗产基金会下属机构发布的《德国联邦共和国博物馆综合调查报告》是该领域最权威的数据来源之一。2025年发布的2023年度报告显示，德国博物馆在展览、观众服务、数字化等方面有着详细的统计 [[49]][[50]][[51]]。报告也指出，在访客计数等环节，传统的人工方法仍占主导，电子化和数字化手段的应用率尚有提升空间 [[52]]，这在一定程度上反映了其数字化转型的阶段性特征。</w:t>
      </w:r>
    </w:p>
    <w:p w14:paraId="03503CD0">
      <w:pPr>
        <w:numPr>
          <w:ilvl w:val="-1"/>
          <w:numId w:val="1"/>
        </w:numPr>
        <w:spacing w:after="400" w:line="400" w:lineRule="atLeast"/>
      </w:pPr>
      <w:r>
        <w:rPr>
          <w:b/>
        </w:rPr>
        <w:t>核心特点：</w:t>
      </w:r>
    </w:p>
    <w:p w14:paraId="0E17CF03">
      <w:pPr>
        <w:numPr>
          <w:ilvl w:val="0"/>
          <w:numId w:val="5"/>
        </w:numPr>
        <w:spacing w:after="400" w:line="400" w:lineRule="atLeast"/>
      </w:pPr>
      <w:r>
        <w:rPr>
          <w:b/>
        </w:rPr>
        <w:t>学术性与研究导向：</w:t>
      </w:r>
      <w:r>
        <w:t xml:space="preserve"> 德国的博物馆，特别是大学博物馆和技术博物馆，与科研机构关系密切。其教育活动往往与最新的学术研究成果相结合，具有很强的知识深度和前沿性。</w:t>
      </w:r>
    </w:p>
    <w:p w14:paraId="14D3EDB2">
      <w:pPr>
        <w:numPr>
          <w:ilvl w:val="0"/>
          <w:numId w:val="5"/>
        </w:numPr>
        <w:spacing w:after="400" w:line="400" w:lineRule="atLeast"/>
      </w:pPr>
      <w:r>
        <w:rPr>
          <w:b/>
        </w:rPr>
        <w:t>联邦制下的多样性：</w:t>
      </w:r>
      <w:r>
        <w:t xml:space="preserve"> 在联邦制框架下，各州和城市在发展本地博物馆方面拥有高度自主权，这催生了丰富多样的博物馆类型和教育模式，能够更好地满足地方社区的特定需求。</w:t>
      </w:r>
    </w:p>
    <w:p w14:paraId="532F59C6">
      <w:pPr>
        <w:numPr>
          <w:ilvl w:val="0"/>
          <w:numId w:val="5"/>
        </w:numPr>
        <w:spacing w:after="400" w:line="400" w:lineRule="atLeast"/>
      </w:pPr>
      <w:r>
        <w:rPr>
          <w:b/>
        </w:rPr>
        <w:t>注重批判性思维培养：</w:t>
      </w:r>
      <w:r>
        <w:t xml:space="preserve"> 德国的博物馆教育不仅仅是知识的传递，更强调引导观众进行批判性思考和历史反思，尤其是在涉及二战等复杂历史议题的展览中，教育活动的设计极为审慎和深刻。</w:t>
      </w:r>
    </w:p>
    <w:p w14:paraId="01F09458">
      <w:pPr>
        <w:spacing w:after="400" w:line="400" w:lineRule="atLeast"/>
      </w:pPr>
      <w:r>
        <w:rPr>
          <w:b/>
        </w:rPr>
        <w:t>(五) 日本：精细化服务与社区联结的探索者</w:t>
      </w:r>
    </w:p>
    <w:p w14:paraId="4A434CCE">
      <w:pPr>
        <w:spacing w:after="400" w:line="400" w:lineRule="atLeast"/>
      </w:pPr>
      <w:r>
        <w:t>日本的博物馆教育以其精细化的服务、对观众体验的极致追求以及与社区的紧密联系而著称。</w:t>
      </w:r>
    </w:p>
    <w:p w14:paraId="2CADF827">
      <w:pPr>
        <w:numPr>
          <w:ilvl w:val="-1"/>
          <w:numId w:val="1"/>
        </w:numPr>
        <w:spacing w:after="400" w:line="400" w:lineRule="atLeast"/>
      </w:pPr>
      <w:r>
        <w:rPr>
          <w:b/>
        </w:rPr>
        <w:t>发展现状：</w:t>
      </w:r>
      <w:r>
        <w:t xml:space="preserve"> 日本文部科学省下属的文化厅（Agency for Cultural Affairs）对博物馆事业进行宏观指导 [[53]][[54]]。尽管全面的最新官方统计数据不易获取，但从各类信息中可以窥见其发展趋势。日本博物馆年接待观众总数巨大 [[55]][[56]]。近年来，日本博物馆协会的调查显示，超过七成的博物馆非常重视在线信息传播 [[57]]，并且积极利用VR/AR、AI等技术进行文物数字化和参与式展示 [[58]][[59]]。同时，许多博物馆也在探索通过STEAM教育项目来吸引低龄儿童 [[60]]。</w:t>
      </w:r>
    </w:p>
    <w:p w14:paraId="4266E6F7">
      <w:pPr>
        <w:numPr>
          <w:ilvl w:val="-1"/>
          <w:numId w:val="1"/>
        </w:numPr>
        <w:spacing w:after="400" w:line="400" w:lineRule="atLeast"/>
      </w:pPr>
      <w:r>
        <w:rPr>
          <w:b/>
        </w:rPr>
        <w:t>核心特点：</w:t>
      </w:r>
    </w:p>
    <w:p w14:paraId="5A7678BD">
      <w:pPr>
        <w:numPr>
          <w:ilvl w:val="0"/>
          <w:numId w:val="6"/>
        </w:numPr>
        <w:spacing w:after="400" w:line="400" w:lineRule="atLeast"/>
      </w:pPr>
      <w:r>
        <w:rPr>
          <w:b/>
        </w:rPr>
        <w:t>“款待之心”的服务理念：</w:t>
      </w:r>
      <w:r>
        <w:t xml:space="preserve"> 日本博物馆在观众服务方面做得极为细致，从清晰的导览标识、多语种的解说服务，到为残障人士、母婴等特殊群体提供的便利设施，无不体现其“以人为本”的服务哲学，为教育活动的顺利开展创造了良好环境。</w:t>
      </w:r>
    </w:p>
    <w:p w14:paraId="58AD7BE6">
      <w:pPr>
        <w:numPr>
          <w:ilvl w:val="0"/>
          <w:numId w:val="6"/>
        </w:numPr>
        <w:spacing w:after="400" w:line="400" w:lineRule="atLeast"/>
      </w:pPr>
      <w:r>
        <w:rPr>
          <w:b/>
        </w:rPr>
        <w:t>深度融入社区：</w:t>
      </w:r>
      <w:r>
        <w:t xml:space="preserve"> 日本的博物馆普遍被视为“社区的客厅”，与地方学校、老年中心、商业街等建立了紧密的合作关系。它们通过举办社区展览、外展活动、招募本地志愿者等方式，深度服务社区居民的终身学习需求。</w:t>
      </w:r>
    </w:p>
    <w:p w14:paraId="0350F201">
      <w:pPr>
        <w:numPr>
          <w:ilvl w:val="0"/>
          <w:numId w:val="6"/>
        </w:numPr>
        <w:spacing w:after="400" w:line="400" w:lineRule="atLeast"/>
      </w:pPr>
      <w:r>
        <w:rPr>
          <w:b/>
        </w:rPr>
        <w:t>“Gakugeiin”（学艺员）制度：</w:t>
      </w:r>
      <w:r>
        <w:t xml:space="preserve"> 日本《博物馆法》规定，博物馆必须配备被称为“学艺员”的专业人员。他们是集藏品研究、展览策划和教育推广于一身的复合型专家，是保障日本博物馆教育质量的核心力量。</w:t>
      </w:r>
    </w:p>
    <w:p w14:paraId="5047F583">
      <w:pPr>
        <w:spacing w:after="400" w:line="400" w:lineRule="atLeast"/>
      </w:pPr>
      <w:r>
        <w:rPr>
          <w:b/>
        </w:rPr>
        <w:t>(六) 中外博物馆教育发展模式对比分析</w:t>
      </w:r>
    </w:p>
    <w:p w14:paraId="37888303">
      <w:pPr>
        <w:spacing w:after="400" w:line="400" w:lineRule="atLeast"/>
      </w:pPr>
      <w:r>
        <w:t>为了更直观地展现各国差异，本报告制作下表进行综合对比：</w:t>
      </w:r>
    </w:p>
    <w:p w14:paraId="5843B62C">
      <w:pPr>
        <w:spacing w:after="400" w:line="400" w:lineRule="atLeast"/>
      </w:pPr>
      <w:r>
        <w:rPr>
          <w:b/>
        </w:rPr>
        <w:t>表2：中外主要国家博物馆教育发展模式对比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5"/>
      </w:tblGrid>
      <w:tr w14:paraId="5EF2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8676059">
            <w:pPr>
              <w:spacing w:after="400" w:line="400" w:lineRule="exact"/>
              <w:jc w:val="left"/>
            </w:pPr>
            <w:r>
              <w:rPr>
                <w:b/>
              </w:rPr>
              <w:t>维度</w:t>
            </w:r>
          </w:p>
        </w:tc>
        <w:tc>
          <w:tcPr>
            <w:tcW w:w="1185" w:type="dxa"/>
          </w:tcPr>
          <w:p w14:paraId="127413F9">
            <w:pPr>
              <w:spacing w:after="400" w:line="400" w:lineRule="exact"/>
              <w:jc w:val="left"/>
            </w:pPr>
            <w:r>
              <w:rPr>
                <w:b/>
              </w:rPr>
              <w:t>中国</w:t>
            </w:r>
          </w:p>
        </w:tc>
        <w:tc>
          <w:tcPr>
            <w:tcW w:w="1185" w:type="dxa"/>
          </w:tcPr>
          <w:p w14:paraId="7C7342A6">
            <w:pPr>
              <w:spacing w:after="400" w:line="400" w:lineRule="exact"/>
              <w:jc w:val="left"/>
            </w:pPr>
            <w:r>
              <w:rPr>
                <w:b/>
              </w:rPr>
              <w:t>美国</w:t>
            </w:r>
          </w:p>
        </w:tc>
        <w:tc>
          <w:tcPr>
            <w:tcW w:w="1185" w:type="dxa"/>
          </w:tcPr>
          <w:p w14:paraId="21F123EC">
            <w:pPr>
              <w:spacing w:after="400" w:line="400" w:lineRule="exact"/>
              <w:jc w:val="left"/>
            </w:pPr>
            <w:r>
              <w:rPr>
                <w:b/>
              </w:rPr>
              <w:t>英国</w:t>
            </w:r>
          </w:p>
        </w:tc>
        <w:tc>
          <w:tcPr>
            <w:tcW w:w="1185" w:type="dxa"/>
          </w:tcPr>
          <w:p w14:paraId="42ADCDD7">
            <w:pPr>
              <w:spacing w:after="400" w:line="400" w:lineRule="exact"/>
              <w:jc w:val="left"/>
            </w:pPr>
            <w:r>
              <w:rPr>
                <w:b/>
              </w:rPr>
              <w:t>法国</w:t>
            </w:r>
          </w:p>
        </w:tc>
        <w:tc>
          <w:tcPr>
            <w:tcW w:w="1185" w:type="dxa"/>
          </w:tcPr>
          <w:p w14:paraId="0CCD914D">
            <w:pPr>
              <w:spacing w:after="400" w:line="400" w:lineRule="exact"/>
              <w:jc w:val="left"/>
            </w:pPr>
            <w:r>
              <w:rPr>
                <w:b/>
              </w:rPr>
              <w:t>德国</w:t>
            </w:r>
          </w:p>
        </w:tc>
        <w:tc>
          <w:tcPr>
            <w:tcW w:w="1185" w:type="dxa"/>
          </w:tcPr>
          <w:p w14:paraId="0445339D">
            <w:pPr>
              <w:spacing w:after="400" w:line="400" w:lineRule="exact"/>
              <w:jc w:val="left"/>
            </w:pPr>
            <w:r>
              <w:rPr>
                <w:b/>
              </w:rPr>
              <w:t>日本</w:t>
            </w:r>
          </w:p>
        </w:tc>
      </w:tr>
      <w:tr w14:paraId="6AF5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C031E84">
            <w:pPr>
              <w:spacing w:after="400" w:line="400" w:lineRule="exact"/>
              <w:jc w:val="left"/>
            </w:pPr>
            <w:r>
              <w:rPr>
                <w:b/>
              </w:rPr>
              <w:t>主导力量</w:t>
            </w:r>
          </w:p>
        </w:tc>
        <w:tc>
          <w:tcPr>
            <w:tcW w:w="1185" w:type="dxa"/>
          </w:tcPr>
          <w:p w14:paraId="707ADB08">
            <w:pPr>
              <w:spacing w:after="400" w:line="400" w:lineRule="exact"/>
              <w:jc w:val="left"/>
            </w:pPr>
            <w:r>
              <w:t>政府强力主导，尤其是文物系统。</w:t>
            </w:r>
          </w:p>
        </w:tc>
        <w:tc>
          <w:tcPr>
            <w:tcW w:w="1185" w:type="dxa"/>
          </w:tcPr>
          <w:p w14:paraId="300F6F52">
            <w:pPr>
              <w:spacing w:after="400" w:line="400" w:lineRule="exact"/>
              <w:jc w:val="left"/>
            </w:pPr>
            <w:r>
              <w:t>市场驱动，私立非营利机构占主体。</w:t>
            </w:r>
          </w:p>
        </w:tc>
        <w:tc>
          <w:tcPr>
            <w:tcW w:w="1185" w:type="dxa"/>
          </w:tcPr>
          <w:p w14:paraId="1777C5A6">
            <w:pPr>
              <w:spacing w:after="400" w:line="400" w:lineRule="exact"/>
              <w:jc w:val="left"/>
            </w:pPr>
            <w:r>
              <w:t>政府引导与社会参与相结合。</w:t>
            </w:r>
          </w:p>
        </w:tc>
        <w:tc>
          <w:tcPr>
            <w:tcW w:w="1185" w:type="dxa"/>
          </w:tcPr>
          <w:p w14:paraId="41297869">
            <w:pPr>
              <w:spacing w:after="400" w:line="400" w:lineRule="exact"/>
              <w:jc w:val="left"/>
            </w:pPr>
            <w:r>
              <w:t>中央政府（文化部）主导。</w:t>
            </w:r>
          </w:p>
        </w:tc>
        <w:tc>
          <w:tcPr>
            <w:tcW w:w="1185" w:type="dxa"/>
          </w:tcPr>
          <w:p w14:paraId="11C2F7DB">
            <w:pPr>
              <w:spacing w:after="400" w:line="400" w:lineRule="exact"/>
              <w:jc w:val="left"/>
            </w:pPr>
            <w:r>
              <w:t>联邦制，各州和市政府自主性强。</w:t>
            </w:r>
          </w:p>
        </w:tc>
        <w:tc>
          <w:tcPr>
            <w:tcW w:w="1185" w:type="dxa"/>
          </w:tcPr>
          <w:p w14:paraId="739F815C">
            <w:pPr>
              <w:spacing w:after="400" w:line="400" w:lineRule="exact"/>
              <w:jc w:val="left"/>
            </w:pPr>
            <w:r>
              <w:t>政府指导，行业协会和博物馆法人主导。</w:t>
            </w:r>
          </w:p>
        </w:tc>
      </w:tr>
      <w:tr w14:paraId="6DD1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D9A99C4">
            <w:pPr>
              <w:spacing w:after="400" w:line="400" w:lineRule="exact"/>
              <w:jc w:val="left"/>
            </w:pPr>
            <w:r>
              <w:rPr>
                <w:b/>
              </w:rPr>
              <w:t>资金来源</w:t>
            </w:r>
          </w:p>
        </w:tc>
        <w:tc>
          <w:tcPr>
            <w:tcW w:w="1185" w:type="dxa"/>
          </w:tcPr>
          <w:p w14:paraId="5166F076">
            <w:pPr>
              <w:spacing w:after="400" w:line="400" w:lineRule="exact"/>
              <w:jc w:val="left"/>
            </w:pPr>
            <w:r>
              <w:t>以政府财政拨款为主，社会捐赠占比较低。</w:t>
            </w:r>
          </w:p>
        </w:tc>
        <w:tc>
          <w:tcPr>
            <w:tcW w:w="1185" w:type="dxa"/>
          </w:tcPr>
          <w:p w14:paraId="171A00F7">
            <w:pPr>
              <w:spacing w:after="400" w:line="400" w:lineRule="exact"/>
              <w:jc w:val="left"/>
            </w:pPr>
            <w:r>
              <w:t>多元化，依赖门票、捐赠、基金会、政府资助等。</w:t>
            </w:r>
          </w:p>
        </w:tc>
        <w:tc>
          <w:tcPr>
            <w:tcW w:w="1185" w:type="dxa"/>
          </w:tcPr>
          <w:p w14:paraId="5BE36B18">
            <w:pPr>
              <w:spacing w:after="400" w:line="400" w:lineRule="exact"/>
              <w:jc w:val="left"/>
            </w:pPr>
            <w:r>
              <w:t>国家博物馆依赖政府拨款，地方博物馆多元化。</w:t>
            </w:r>
          </w:p>
        </w:tc>
        <w:tc>
          <w:tcPr>
            <w:tcW w:w="1185" w:type="dxa"/>
          </w:tcPr>
          <w:p w14:paraId="004DB59C">
            <w:pPr>
              <w:spacing w:after="400" w:line="400" w:lineRule="exact"/>
              <w:jc w:val="left"/>
            </w:pPr>
            <w:r>
              <w:t>以政府财政拨款为主。</w:t>
            </w:r>
          </w:p>
        </w:tc>
        <w:tc>
          <w:tcPr>
            <w:tcW w:w="1185" w:type="dxa"/>
          </w:tcPr>
          <w:p w14:paraId="2B49D316">
            <w:pPr>
              <w:spacing w:after="400" w:line="400" w:lineRule="exact"/>
              <w:jc w:val="left"/>
            </w:pPr>
            <w:r>
              <w:t>公共财政为主，来源分散。</w:t>
            </w:r>
          </w:p>
        </w:tc>
        <w:tc>
          <w:tcPr>
            <w:tcW w:w="1185" w:type="dxa"/>
          </w:tcPr>
          <w:p w14:paraId="622D34A3">
            <w:pPr>
              <w:spacing w:after="400" w:line="400" w:lineRule="exact"/>
              <w:jc w:val="left"/>
            </w:pPr>
            <w:r>
              <w:t>公共财政和企业赞助并重。</w:t>
            </w:r>
          </w:p>
        </w:tc>
      </w:tr>
      <w:tr w14:paraId="483C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DBBB4FE">
            <w:pPr>
              <w:spacing w:after="400" w:line="400" w:lineRule="exact"/>
              <w:jc w:val="left"/>
            </w:pPr>
            <w:r>
              <w:rPr>
                <w:b/>
              </w:rPr>
              <w:t>教育重点</w:t>
            </w:r>
          </w:p>
        </w:tc>
        <w:tc>
          <w:tcPr>
            <w:tcW w:w="1185" w:type="dxa"/>
          </w:tcPr>
          <w:p w14:paraId="5DB345AE">
            <w:pPr>
              <w:spacing w:after="400" w:line="400" w:lineRule="exact"/>
              <w:jc w:val="left"/>
            </w:pPr>
            <w:r>
              <w:t>历史文化传承、爱国主义教育、科学普及。</w:t>
            </w:r>
          </w:p>
        </w:tc>
        <w:tc>
          <w:tcPr>
            <w:tcW w:w="1185" w:type="dxa"/>
          </w:tcPr>
          <w:p w14:paraId="14B0F867">
            <w:pPr>
              <w:spacing w:after="400" w:line="400" w:lineRule="exact"/>
              <w:jc w:val="left"/>
            </w:pPr>
            <w:r>
              <w:t>K-12教育、多元文化、社区服务、创新思维。</w:t>
            </w:r>
          </w:p>
        </w:tc>
        <w:tc>
          <w:tcPr>
            <w:tcW w:w="1185" w:type="dxa"/>
          </w:tcPr>
          <w:p w14:paraId="3067DC84">
            <w:pPr>
              <w:spacing w:after="400" w:line="400" w:lineRule="exact"/>
              <w:jc w:val="left"/>
            </w:pPr>
            <w:r>
              <w:t>公民教育、终身学习、社会包容、学习成果评估。</w:t>
            </w:r>
          </w:p>
        </w:tc>
        <w:tc>
          <w:tcPr>
            <w:tcW w:w="1185" w:type="dxa"/>
          </w:tcPr>
          <w:p w14:paraId="665F7A7A">
            <w:pPr>
              <w:spacing w:after="400" w:line="400" w:lineRule="exact"/>
              <w:jc w:val="left"/>
            </w:pPr>
            <w:r>
              <w:t>艺术史教育、文化遗产启蒙、美学素养。</w:t>
            </w:r>
          </w:p>
        </w:tc>
        <w:tc>
          <w:tcPr>
            <w:tcW w:w="1185" w:type="dxa"/>
          </w:tcPr>
          <w:p w14:paraId="5139615E">
            <w:pPr>
              <w:spacing w:after="400" w:line="400" w:lineRule="exact"/>
              <w:jc w:val="left"/>
            </w:pPr>
            <w:r>
              <w:t>学术研究成果转化、批判性思维培养、历史反思。</w:t>
            </w:r>
          </w:p>
        </w:tc>
        <w:tc>
          <w:tcPr>
            <w:tcW w:w="1185" w:type="dxa"/>
          </w:tcPr>
          <w:p w14:paraId="5760A782">
            <w:pPr>
              <w:spacing w:after="400" w:line="400" w:lineRule="exact"/>
              <w:jc w:val="left"/>
            </w:pPr>
            <w:r>
              <w:t>社区服务、精细化体验、终身学习、传统工艺。</w:t>
            </w:r>
          </w:p>
        </w:tc>
      </w:tr>
      <w:tr w14:paraId="2D4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7269D3A">
            <w:pPr>
              <w:spacing w:after="400" w:line="400" w:lineRule="exact"/>
              <w:jc w:val="left"/>
            </w:pPr>
            <w:r>
              <w:rPr>
                <w:b/>
              </w:rPr>
              <w:t>核心优势</w:t>
            </w:r>
          </w:p>
        </w:tc>
        <w:tc>
          <w:tcPr>
            <w:tcW w:w="1185" w:type="dxa"/>
          </w:tcPr>
          <w:p w14:paraId="7EBCB209">
            <w:pPr>
              <w:spacing w:after="400" w:line="400" w:lineRule="exact"/>
              <w:jc w:val="left"/>
            </w:pPr>
            <w:r>
              <w:t>体系完整，增长迅速，馆校合作基础好。</w:t>
            </w:r>
          </w:p>
        </w:tc>
        <w:tc>
          <w:tcPr>
            <w:tcW w:w="1185" w:type="dxa"/>
          </w:tcPr>
          <w:p w14:paraId="31FD6437">
            <w:pPr>
              <w:spacing w:after="400" w:line="400" w:lineRule="exact"/>
              <w:jc w:val="left"/>
            </w:pPr>
            <w:r>
              <w:t>机制灵活，创新活跃，观众研究深入。</w:t>
            </w:r>
          </w:p>
        </w:tc>
        <w:tc>
          <w:tcPr>
            <w:tcW w:w="1185" w:type="dxa"/>
          </w:tcPr>
          <w:p w14:paraId="1426EBB7">
            <w:pPr>
              <w:spacing w:after="400" w:line="400" w:lineRule="exact"/>
              <w:jc w:val="left"/>
            </w:pPr>
            <w:r>
              <w:t>公益性强，评估体系完善，志愿者力量强大。</w:t>
            </w:r>
          </w:p>
        </w:tc>
        <w:tc>
          <w:tcPr>
            <w:tcW w:w="1185" w:type="dxa"/>
          </w:tcPr>
          <w:p w14:paraId="5E3A4316">
            <w:pPr>
              <w:spacing w:after="400" w:line="400" w:lineRule="exact"/>
              <w:jc w:val="left"/>
            </w:pPr>
            <w:r>
              <w:t>艺术教育资源顶级，人才培养体系健全。</w:t>
            </w:r>
          </w:p>
        </w:tc>
        <w:tc>
          <w:tcPr>
            <w:tcW w:w="1185" w:type="dxa"/>
          </w:tcPr>
          <w:p w14:paraId="57C6C333">
            <w:pPr>
              <w:spacing w:after="400" w:line="400" w:lineRule="exact"/>
              <w:jc w:val="left"/>
            </w:pPr>
            <w:r>
              <w:t>学术底蕴深厚，内容严谨，主题多样。</w:t>
            </w:r>
          </w:p>
        </w:tc>
        <w:tc>
          <w:tcPr>
            <w:tcW w:w="1185" w:type="dxa"/>
          </w:tcPr>
          <w:p w14:paraId="63D9E26E">
            <w:pPr>
              <w:spacing w:after="400" w:line="400" w:lineRule="exact"/>
              <w:jc w:val="left"/>
            </w:pPr>
            <w:r>
              <w:t>服务体验极致，社区联系紧密，专业人才制度化。</w:t>
            </w:r>
          </w:p>
        </w:tc>
      </w:tr>
      <w:tr w14:paraId="30C3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27497AD">
            <w:pPr>
              <w:spacing w:after="400" w:line="400" w:lineRule="exact"/>
              <w:jc w:val="left"/>
            </w:pPr>
            <w:r>
              <w:rPr>
                <w:b/>
              </w:rPr>
              <w:t>当前挑战</w:t>
            </w:r>
          </w:p>
        </w:tc>
        <w:tc>
          <w:tcPr>
            <w:tcW w:w="1185" w:type="dxa"/>
          </w:tcPr>
          <w:p w14:paraId="18814DBF">
            <w:pPr>
              <w:spacing w:after="400" w:line="400" w:lineRule="exact"/>
              <w:jc w:val="left"/>
            </w:pPr>
            <w:r>
              <w:t>区域发展不均，内容同质化，专业人才短缺。</w:t>
            </w:r>
          </w:p>
        </w:tc>
        <w:tc>
          <w:tcPr>
            <w:tcW w:w="1185" w:type="dxa"/>
          </w:tcPr>
          <w:p w14:paraId="4DB03EA7">
            <w:pPr>
              <w:spacing w:after="400" w:line="400" w:lineRule="exact"/>
              <w:jc w:val="left"/>
            </w:pPr>
            <w:r>
              <w:t>贫富差距大，商业化与公益性平衡，资金不稳定。</w:t>
            </w:r>
          </w:p>
        </w:tc>
        <w:tc>
          <w:tcPr>
            <w:tcW w:w="1185" w:type="dxa"/>
          </w:tcPr>
          <w:p w14:paraId="2F43720F">
            <w:pPr>
              <w:spacing w:after="400" w:line="400" w:lineRule="exact"/>
              <w:jc w:val="left"/>
            </w:pPr>
            <w:r>
              <w:t>财政紧缩压力，部分博物馆运营困难。</w:t>
            </w:r>
          </w:p>
        </w:tc>
        <w:tc>
          <w:tcPr>
            <w:tcW w:w="1185" w:type="dxa"/>
          </w:tcPr>
          <w:p w14:paraId="5D7CEAF7">
            <w:pPr>
              <w:spacing w:after="400" w:line="400" w:lineRule="exact"/>
              <w:jc w:val="left"/>
            </w:pPr>
            <w:r>
              <w:t>体系相对僵化，创新动力有待加强。</w:t>
            </w:r>
          </w:p>
        </w:tc>
        <w:tc>
          <w:tcPr>
            <w:tcW w:w="1185" w:type="dxa"/>
          </w:tcPr>
          <w:p w14:paraId="318122ED">
            <w:pPr>
              <w:spacing w:after="400" w:line="400" w:lineRule="exact"/>
              <w:jc w:val="left"/>
            </w:pPr>
            <w:r>
              <w:t>数字化进程相对缓慢，跨区域协调复杂。</w:t>
            </w:r>
          </w:p>
        </w:tc>
        <w:tc>
          <w:tcPr>
            <w:tcW w:w="1185" w:type="dxa"/>
          </w:tcPr>
          <w:p w14:paraId="1DF8AD92">
            <w:pPr>
              <w:spacing w:after="400" w:line="400" w:lineRule="exact"/>
              <w:jc w:val="left"/>
            </w:pPr>
            <w:r>
              <w:t>人口老龄化挑战，国际化程度有待提升。</w:t>
            </w:r>
          </w:p>
        </w:tc>
      </w:tr>
    </w:tbl>
    <w:p w14:paraId="2D570220">
      <w:pPr>
        <w:spacing w:before="400" w:after="400" w:line="400" w:lineRule="atLeast"/>
      </w:pPr>
      <w:r>
        <w:rPr>
          <w:b/>
          <w:sz w:val="30"/>
        </w:rPr>
        <w:t>三、 博物馆教育未来趋势前瞻：理念革新与技术赋能</w:t>
      </w:r>
    </w:p>
    <w:p w14:paraId="38AC4043">
      <w:pPr>
        <w:spacing w:after="400" w:line="400" w:lineRule="atLeast"/>
      </w:pPr>
      <w:r>
        <w:t>站在2026年的时间节点上，博物馆教育正处在一个深刻变革的十字路口。驱动这场变革的核心力量，一方面源于教育理念自身的深化演进，另一方面则来自于前沿科技的颠覆性赋能。本章节将对这些未来趋势进行系统性研判。</w:t>
      </w:r>
    </w:p>
    <w:p w14:paraId="22C9FA0D">
      <w:pPr>
        <w:spacing w:after="400" w:line="400" w:lineRule="atLeast"/>
      </w:pPr>
      <w:r>
        <w:rPr>
          <w:b/>
        </w:rPr>
        <w:t>(一) 教育理念的深化演进</w:t>
      </w:r>
    </w:p>
    <w:p w14:paraId="3DC7D574">
      <w:pPr>
        <w:spacing w:after="400" w:line="400" w:lineRule="atLeast"/>
      </w:pPr>
      <w:r>
        <w:t>博物馆教育的未来，首先取决于其指导思想的升级。从知识传递到能力培养，再到价值观塑造，教育理念的演进正在重塑博物馆的角色。</w:t>
      </w:r>
    </w:p>
    <w:p w14:paraId="161ECBE6">
      <w:pPr>
        <w:spacing w:after="400" w:line="400" w:lineRule="atLeast"/>
      </w:pPr>
      <w:r>
        <w:rPr>
          <w:b/>
        </w:rPr>
        <w:t>1. 跨学科学习（STEAM）模式的融合</w:t>
      </w:r>
    </w:p>
    <w:p w14:paraId="038BA02A">
      <w:pPr>
        <w:spacing w:after="400" w:line="400" w:lineRule="atLeast"/>
      </w:pPr>
      <w:r>
        <w:t>STEAM是科学（Science）、技术（Technology）、工程（Engineering）、艺术（Arts）和数学（Mathematics）的缩写。它强调打破学科壁垒，通过项目式学习（PBL）和探究式学习，培养学习者的综合问题解决能力和创新能力。博物馆，特别是科技馆和综合性博物馆，是实践STEAM教育的天然沃土 [[61]][[62]][[63]]。</w:t>
      </w:r>
    </w:p>
    <w:p w14:paraId="6543BE52">
      <w:pPr>
        <w:numPr>
          <w:ilvl w:val="-1"/>
          <w:numId w:val="1"/>
        </w:numPr>
        <w:spacing w:after="400" w:line="400" w:lineRule="atLeast"/>
      </w:pPr>
      <w:r>
        <w:rPr>
          <w:b/>
        </w:rPr>
        <w:t>优势分析：</w:t>
      </w:r>
    </w:p>
    <w:p w14:paraId="1EA54CB6">
      <w:pPr>
        <w:numPr>
          <w:ilvl w:val="-1"/>
          <w:numId w:val="1"/>
        </w:numPr>
        <w:spacing w:after="400" w:line="400" w:lineRule="atLeast"/>
      </w:pPr>
      <w:r>
        <w:rPr>
          <w:b/>
        </w:rPr>
        <w:t>情境化学习：</w:t>
      </w:r>
      <w:r>
        <w:t xml:space="preserve"> 博物馆的真实藏品和情境化展览，为STEAM学习提供了课本无法比拟的生动案例和实践场域。例如，在自然历史博物馆研究恐龙化石，可以融合古生物学（S）、3D扫描与打印（T/E）、化石复原绘画（A）和骨骼尺寸测量（M）。</w:t>
      </w:r>
    </w:p>
    <w:p w14:paraId="420F0007">
      <w:pPr>
        <w:numPr>
          <w:ilvl w:val="-1"/>
          <w:numId w:val="1"/>
        </w:numPr>
        <w:spacing w:after="400" w:line="400" w:lineRule="atLeast"/>
      </w:pPr>
      <w:r>
        <w:rPr>
          <w:b/>
        </w:rPr>
        <w:t>激发综合能力：</w:t>
      </w:r>
      <w:r>
        <w:t xml:space="preserve"> STEAM项目通常要求团队协作、动手实践和创意表达，这有助于全面提升学生的沟通能力、批判性思维和创新精神。</w:t>
      </w:r>
    </w:p>
    <w:p w14:paraId="691F7E40">
      <w:pPr>
        <w:numPr>
          <w:ilvl w:val="-1"/>
          <w:numId w:val="1"/>
        </w:numPr>
        <w:spacing w:after="400" w:line="400" w:lineRule="atLeast"/>
      </w:pPr>
      <w:r>
        <w:rPr>
          <w:b/>
        </w:rPr>
        <w:t>联结艺术与科学：</w:t>
      </w:r>
      <w:r>
        <w:t xml:space="preserve"> STEAM中的“A”（艺术）是其灵魂。它强调科学的审美价值和人文关怀，有助于培养兼具科学素养和人文情怀的完整的人。</w:t>
      </w:r>
    </w:p>
    <w:p w14:paraId="3CECEC15">
      <w:pPr>
        <w:numPr>
          <w:ilvl w:val="-1"/>
          <w:numId w:val="1"/>
        </w:numPr>
        <w:spacing w:after="400" w:line="400" w:lineRule="atLeast"/>
      </w:pPr>
      <w:r>
        <w:rPr>
          <w:b/>
        </w:rPr>
        <w:t>潜在局限：</w:t>
      </w:r>
    </w:p>
    <w:p w14:paraId="4AC487A7">
      <w:pPr>
        <w:numPr>
          <w:ilvl w:val="-1"/>
          <w:numId w:val="1"/>
        </w:numPr>
        <w:spacing w:after="400" w:line="400" w:lineRule="atLeast"/>
      </w:pPr>
      <w:r>
        <w:rPr>
          <w:b/>
        </w:rPr>
        <w:t>课程设计门槛高：</w:t>
      </w:r>
      <w:r>
        <w:t xml:space="preserve"> 设计一个高质量的STEAM课程，需要教育者同时具备深厚的学科知识、跨学科整合能力和项目管理能力，这对现有博物馆教育团队构成了巨大挑战。</w:t>
      </w:r>
    </w:p>
    <w:p w14:paraId="41B8F582">
      <w:pPr>
        <w:numPr>
          <w:ilvl w:val="-1"/>
          <w:numId w:val="1"/>
        </w:numPr>
        <w:spacing w:after="400" w:line="400" w:lineRule="atLeast"/>
      </w:pPr>
      <w:r>
        <w:rPr>
          <w:b/>
        </w:rPr>
        <w:t>资源投入大：</w:t>
      </w:r>
      <w:r>
        <w:t xml:space="preserve"> STEAM教育常需配备专门的设备（如3D打印机、编程套件）和材料，对博物馆的经费和空间提出了更高要求。</w:t>
      </w:r>
    </w:p>
    <w:p w14:paraId="3859BB22">
      <w:pPr>
        <w:numPr>
          <w:ilvl w:val="-1"/>
          <w:numId w:val="1"/>
        </w:numPr>
        <w:spacing w:after="400" w:line="400" w:lineRule="atLeast"/>
      </w:pPr>
      <w:r>
        <w:rPr>
          <w:b/>
        </w:rPr>
        <w:t>评估难度大：</w:t>
      </w:r>
      <w:r>
        <w:t xml:space="preserve"> 对STEAM学习成果的评估，不能仅依靠传统的知识性测试，而需要开发针对过程、能力和创意的多元评估方法，目前这方面尚不成熟。</w:t>
      </w:r>
    </w:p>
    <w:p w14:paraId="10891688">
      <w:pPr>
        <w:numPr>
          <w:ilvl w:val="-1"/>
          <w:numId w:val="1"/>
        </w:numPr>
        <w:spacing w:after="400" w:line="400" w:lineRule="atLeast"/>
      </w:pPr>
      <w:r>
        <w:rPr>
          <w:b/>
        </w:rPr>
        <w:t>适用条件：</w:t>
      </w:r>
    </w:p>
    <w:p w14:paraId="11CB4B06">
      <w:pPr>
        <w:numPr>
          <w:ilvl w:val="-1"/>
          <w:numId w:val="1"/>
        </w:numPr>
        <w:spacing w:after="400" w:line="400" w:lineRule="atLeast"/>
      </w:pPr>
      <w:r>
        <w:t>通常而言，科技类和综合类博物馆是应用STEAM模式的主力。</w:t>
      </w:r>
    </w:p>
    <w:p w14:paraId="76903C3A">
      <w:pPr>
        <w:numPr>
          <w:ilvl w:val="-1"/>
          <w:numId w:val="1"/>
        </w:numPr>
        <w:spacing w:after="400" w:line="400" w:lineRule="atLeast"/>
      </w:pPr>
      <w:r>
        <w:t>成功的STEAM项目需要博物馆与学校、科技企业、艺术家等建立紧密的跨界合作关系。</w:t>
      </w:r>
    </w:p>
    <w:p w14:paraId="7097C5B8">
      <w:pPr>
        <w:numPr>
          <w:ilvl w:val="-1"/>
          <w:numId w:val="1"/>
        </w:numPr>
        <w:spacing w:after="400" w:line="400" w:lineRule="atLeast"/>
      </w:pPr>
      <w:r>
        <w:t>建议可考虑从试点项目入手，逐步积累经验，开发标准化的课程模块和教师培训体系，再进行大规模推广。</w:t>
      </w:r>
    </w:p>
    <w:p w14:paraId="11FE33D2">
      <w:pPr>
        <w:spacing w:after="400" w:line="400" w:lineRule="atLeast"/>
      </w:pPr>
      <w:r>
        <w:rPr>
          <w:b/>
        </w:rPr>
        <w:t>2. 终身学习（Lifelong Learning）体系的构建</w:t>
      </w:r>
    </w:p>
    <w:p w14:paraId="48E0D954">
      <w:pPr>
        <w:spacing w:after="400" w:line="400" w:lineRule="atLeast"/>
      </w:pPr>
      <w:r>
        <w:t>终身学习理念认为，学习是贯穿人一生的持续过程，不应局限于学校教育阶段。博物馆作为面向全年龄段开放的非正式学习环境，是构建全民终身学习体系的关键一环 [[64]][[65]]。</w:t>
      </w:r>
    </w:p>
    <w:p w14:paraId="7294FAC4">
      <w:pPr>
        <w:numPr>
          <w:ilvl w:val="-1"/>
          <w:numId w:val="1"/>
        </w:numPr>
        <w:spacing w:after="400" w:line="400" w:lineRule="atLeast"/>
      </w:pPr>
      <w:r>
        <w:rPr>
          <w:b/>
        </w:rPr>
        <w:t>优势分析：</w:t>
      </w:r>
    </w:p>
    <w:p w14:paraId="1F77FC65">
      <w:pPr>
        <w:numPr>
          <w:ilvl w:val="-1"/>
          <w:numId w:val="1"/>
        </w:numPr>
        <w:spacing w:after="400" w:line="400" w:lineRule="atLeast"/>
      </w:pPr>
      <w:r>
        <w:rPr>
          <w:b/>
        </w:rPr>
        <w:t>覆盖全生命周期：</w:t>
      </w:r>
      <w:r>
        <w:t xml:space="preserve"> 博物馆可以为学龄前儿童提供感官启蒙，为青少年提供学科拓展，为成年人提供职业技能提升和休闲文化滋养，为老年人提供社会参与和精神慰藉的平台。</w:t>
      </w:r>
    </w:p>
    <w:p w14:paraId="54B14814">
      <w:pPr>
        <w:numPr>
          <w:ilvl w:val="-1"/>
          <w:numId w:val="1"/>
        </w:numPr>
        <w:spacing w:after="400" w:line="400" w:lineRule="atLeast"/>
      </w:pPr>
      <w:r>
        <w:rPr>
          <w:b/>
        </w:rPr>
        <w:t>满足个性化需求：</w:t>
      </w:r>
      <w:r>
        <w:t xml:space="preserve"> 不同于标准化的学校教育，博物馆的终身学习服务更具灵活性和选择性，学习者可以根据自己的兴趣和需求，自主选择学习内容和方式。</w:t>
      </w:r>
    </w:p>
    <w:p w14:paraId="211DCE99">
      <w:pPr>
        <w:numPr>
          <w:ilvl w:val="-1"/>
          <w:numId w:val="1"/>
        </w:numPr>
        <w:spacing w:after="400" w:line="400" w:lineRule="atLeast"/>
      </w:pPr>
      <w:r>
        <w:rPr>
          <w:b/>
        </w:rPr>
        <w:t>促进代际交流：</w:t>
      </w:r>
      <w:r>
        <w:t xml:space="preserve"> 博物馆是家庭活动的理想场所，通过亲子工作坊、祖孙同游等活动，可以促进不同代际之间的知识分享和情感交流，构建学习型家庭和学习型社会。</w:t>
      </w:r>
    </w:p>
    <w:p w14:paraId="5243FE05">
      <w:pPr>
        <w:numPr>
          <w:ilvl w:val="-1"/>
          <w:numId w:val="1"/>
        </w:numPr>
        <w:spacing w:after="400" w:line="400" w:lineRule="atLeast"/>
      </w:pPr>
      <w:r>
        <w:rPr>
          <w:b/>
        </w:rPr>
        <w:t>潜在局限：</w:t>
      </w:r>
    </w:p>
    <w:p w14:paraId="6D0D0776">
      <w:pPr>
        <w:numPr>
          <w:ilvl w:val="-1"/>
          <w:numId w:val="1"/>
        </w:numPr>
        <w:spacing w:after="400" w:line="400" w:lineRule="atLeast"/>
      </w:pPr>
      <w:r>
        <w:rPr>
          <w:b/>
        </w:rPr>
        <w:t>成人教育市场认知不足：</w:t>
      </w:r>
      <w:r>
        <w:t xml:space="preserve"> 目前，公众对博物馆的认知仍主要停留在“儿童教育基地”，针对成年人和老年人的高质量教育项目供给不足，市场尚未被充分开发。</w:t>
      </w:r>
    </w:p>
    <w:p w14:paraId="579A5386">
      <w:pPr>
        <w:numPr>
          <w:ilvl w:val="-1"/>
          <w:numId w:val="1"/>
        </w:numPr>
        <w:spacing w:after="400" w:line="400" w:lineRule="atLeast"/>
      </w:pPr>
      <w:r>
        <w:rPr>
          <w:b/>
        </w:rPr>
        <w:t>服务模式单一：</w:t>
      </w:r>
      <w:r>
        <w:t xml:space="preserve"> 许多博物馆的教育活动仍以青少年为中心设计，在内容深度、活动节奏、环境设置等方面，未能充分考虑成年学习者的特点和需求。</w:t>
      </w:r>
    </w:p>
    <w:p w14:paraId="396DDB10">
      <w:pPr>
        <w:numPr>
          <w:ilvl w:val="-1"/>
          <w:numId w:val="1"/>
        </w:numPr>
        <w:spacing w:after="400" w:line="400" w:lineRule="atLeast"/>
      </w:pPr>
      <w:r>
        <w:rPr>
          <w:b/>
        </w:rPr>
        <w:t>缺乏与正式学习成果的衔接：</w:t>
      </w:r>
      <w:r>
        <w:t xml:space="preserve"> 博物馆中的非正式学习成果，目前还难以获得社会化的认证，这在一定程度上影响了成年人参与学习的积极性。</w:t>
      </w:r>
    </w:p>
    <w:p w14:paraId="25344F6A">
      <w:pPr>
        <w:numPr>
          <w:ilvl w:val="-1"/>
          <w:numId w:val="1"/>
        </w:numPr>
        <w:spacing w:after="400" w:line="400" w:lineRule="atLeast"/>
      </w:pPr>
      <w:r>
        <w:rPr>
          <w:b/>
        </w:rPr>
        <w:t>适用条件：</w:t>
      </w:r>
    </w:p>
    <w:p w14:paraId="59623455">
      <w:pPr>
        <w:numPr>
          <w:ilvl w:val="-1"/>
          <w:numId w:val="1"/>
        </w:numPr>
        <w:spacing w:after="400" w:line="400" w:lineRule="atLeast"/>
      </w:pPr>
      <w:r>
        <w:t>构建终身学习体系，要求博物馆进行深入的观众研究，对不同年龄段群体的学习动机和行为进行细分。</w:t>
      </w:r>
    </w:p>
    <w:p w14:paraId="6B54EF1A">
      <w:pPr>
        <w:numPr>
          <w:ilvl w:val="-1"/>
          <w:numId w:val="1"/>
        </w:numPr>
        <w:spacing w:after="400" w:line="400" w:lineRule="atLeast"/>
      </w:pPr>
      <w:r>
        <w:t>需要与社区大学、老年大学、职业培训机构等建立合作，共同开发课程，实现资源共享。</w:t>
      </w:r>
    </w:p>
    <w:p w14:paraId="26028F78">
      <w:pPr>
        <w:numPr>
          <w:ilvl w:val="-1"/>
          <w:numId w:val="1"/>
        </w:numPr>
        <w:spacing w:after="400" w:line="400" w:lineRule="atLeast"/>
      </w:pPr>
      <w:r>
        <w:t>联合国教科文组织关于非正式和非正规学习成果的认可、验证和认证指南 [[66]][[67]]为探索建立相关衔接机制提供了理论参考。</w:t>
      </w:r>
    </w:p>
    <w:p w14:paraId="19B91DF1">
      <w:pPr>
        <w:spacing w:after="400" w:line="400" w:lineRule="atLeast"/>
      </w:pPr>
      <w:r>
        <w:rPr>
          <w:b/>
        </w:rPr>
        <w:t>3. 社会包容性（Social Inclusivity）的价值凸显</w:t>
      </w:r>
    </w:p>
    <w:p w14:paraId="2A656233">
      <w:pPr>
        <w:spacing w:after="400" w:line="400" w:lineRule="atLeast"/>
      </w:pPr>
      <w:r>
        <w:t>确保文化权利的平等享有，是现代博物馆的核心伦理。社会包容性要求博物馆不仅要“对所有人开放”（Open to all），更要“为所有人服务”（For all），特别是那些在传统文化参与中处于边缘地位的群体。</w:t>
      </w:r>
    </w:p>
    <w:p w14:paraId="223B7236">
      <w:pPr>
        <w:numPr>
          <w:ilvl w:val="-1"/>
          <w:numId w:val="1"/>
        </w:numPr>
        <w:spacing w:after="400" w:line="400" w:lineRule="atLeast"/>
      </w:pPr>
      <w:r>
        <w:rPr>
          <w:b/>
        </w:rPr>
        <w:t>优势分析：</w:t>
      </w:r>
    </w:p>
    <w:p w14:paraId="496F9AA2">
      <w:pPr>
        <w:numPr>
          <w:ilvl w:val="-1"/>
          <w:numId w:val="1"/>
        </w:numPr>
        <w:spacing w:after="400" w:line="400" w:lineRule="atLeast"/>
      </w:pPr>
      <w:r>
        <w:rPr>
          <w:b/>
        </w:rPr>
        <w:t>彰显社会责任：</w:t>
      </w:r>
      <w:r>
        <w:t xml:space="preserve"> 积极践行社会包容性，有助于提升博物馆的公共形象，彰显其作为社会公平与文化民主推动者的社会价值。</w:t>
      </w:r>
    </w:p>
    <w:p w14:paraId="637367FB">
      <w:pPr>
        <w:numPr>
          <w:ilvl w:val="-1"/>
          <w:numId w:val="1"/>
        </w:numPr>
        <w:spacing w:after="400" w:line="400" w:lineRule="atLeast"/>
      </w:pPr>
      <w:r>
        <w:rPr>
          <w:b/>
        </w:rPr>
        <w:t>拓展观众基础：</w:t>
      </w:r>
      <w:r>
        <w:t xml:space="preserve"> 通过为残障人士、低收入家庭、少数族裔、新移民等群体开发专门的教育项目和无障碍服务，可以有效拓展博物馆的观众群体，使其真正成为服务全社会的文化中心。</w:t>
      </w:r>
    </w:p>
    <w:p w14:paraId="673A342E">
      <w:pPr>
        <w:numPr>
          <w:ilvl w:val="-1"/>
          <w:numId w:val="1"/>
        </w:numPr>
        <w:spacing w:after="400" w:line="400" w:lineRule="atLeast"/>
      </w:pPr>
      <w:r>
        <w:rPr>
          <w:b/>
        </w:rPr>
        <w:t>激发文化创新：</w:t>
      </w:r>
      <w:r>
        <w:t xml:space="preserve"> 来自不同背景的观众会带来多元的视角和解读，他们的参与能够丰富博物馆的文化生态，激发策展和教育的新灵感。</w:t>
      </w:r>
    </w:p>
    <w:p w14:paraId="4E7EB78C">
      <w:pPr>
        <w:numPr>
          <w:ilvl w:val="-1"/>
          <w:numId w:val="1"/>
        </w:numPr>
        <w:spacing w:after="400" w:line="400" w:lineRule="atLeast"/>
      </w:pPr>
      <w:r>
        <w:rPr>
          <w:b/>
        </w:rPr>
        <w:t>潜在局限：</w:t>
      </w:r>
    </w:p>
    <w:p w14:paraId="00E2B943">
      <w:pPr>
        <w:numPr>
          <w:ilvl w:val="-1"/>
          <w:numId w:val="1"/>
        </w:numPr>
        <w:spacing w:after="400" w:line="400" w:lineRule="atLeast"/>
      </w:pPr>
      <w:r>
        <w:rPr>
          <w:b/>
        </w:rPr>
        <w:t>专业知识与技能要求高：</w:t>
      </w:r>
      <w:r>
        <w:t xml:space="preserve"> 服务特殊需求群体，需要员工具备手语、口述影像、特殊教育、跨文化沟通等专业技能，对人才培养提出了极高要求。</w:t>
      </w:r>
    </w:p>
    <w:p w14:paraId="67FC84DA">
      <w:pPr>
        <w:numPr>
          <w:ilvl w:val="-1"/>
          <w:numId w:val="1"/>
        </w:numPr>
        <w:spacing w:after="400" w:line="400" w:lineRule="atLeast"/>
      </w:pPr>
      <w:r>
        <w:rPr>
          <w:b/>
        </w:rPr>
        <w:t>硬件改造与运营成本高：</w:t>
      </w:r>
      <w:r>
        <w:t xml:space="preserve"> 实现物理环境的无障碍（如坡道、盲道、无障碍卫生间）和信息获取的无障碍（如大字版说明、语音导览、多语言服务）需要大量的资金投入。</w:t>
      </w:r>
    </w:p>
    <w:p w14:paraId="67BA471E">
      <w:pPr>
        <w:numPr>
          <w:ilvl w:val="-1"/>
          <w:numId w:val="1"/>
        </w:numPr>
        <w:spacing w:after="400" w:line="400" w:lineRule="atLeast"/>
      </w:pPr>
      <w:r>
        <w:rPr>
          <w:b/>
        </w:rPr>
        <w:t>可能存在“象征性包容”的风险：</w:t>
      </w:r>
      <w:r>
        <w:t xml:space="preserve"> 如果包容性实践仅停留在表面，缺乏对目标群体真实需求的深入理解和持续投入，就可能流于形式，无法产生实质性效果。</w:t>
      </w:r>
    </w:p>
    <w:p w14:paraId="5D7DBEFA">
      <w:pPr>
        <w:numPr>
          <w:ilvl w:val="-1"/>
          <w:numId w:val="1"/>
        </w:numPr>
        <w:spacing w:after="400" w:line="400" w:lineRule="atLeast"/>
      </w:pPr>
      <w:r>
        <w:rPr>
          <w:b/>
        </w:rPr>
        <w:t>适用条件：</w:t>
      </w:r>
    </w:p>
    <w:p w14:paraId="28AAD23F">
      <w:pPr>
        <w:numPr>
          <w:ilvl w:val="-1"/>
          <w:numId w:val="1"/>
        </w:numPr>
        <w:spacing w:after="400" w:line="400" w:lineRule="atLeast"/>
      </w:pPr>
      <w:r>
        <w:t>社会包容性应被视为博物馆的战略性目标，而非临时性项目，需要纳入博物馆的章程和发展规划。</w:t>
      </w:r>
    </w:p>
    <w:p w14:paraId="570C1127">
      <w:pPr>
        <w:numPr>
          <w:ilvl w:val="-1"/>
          <w:numId w:val="1"/>
        </w:numPr>
        <w:spacing w:after="400" w:line="400" w:lineRule="atLeast"/>
      </w:pPr>
      <w:r>
        <w:t>必须与目标社群建立真正的伙伴关系，通过共同策划、共同实施的方式，确保服务内容的适切性。</w:t>
      </w:r>
    </w:p>
    <w:p w14:paraId="5245F5AB">
      <w:pPr>
        <w:numPr>
          <w:ilvl w:val="-1"/>
          <w:numId w:val="1"/>
        </w:numPr>
        <w:spacing w:after="400" w:line="400" w:lineRule="atLeast"/>
      </w:pPr>
      <w:r>
        <w:t>联合国教科文组织发布的《拥抱多样性：创建包容、学习友好环境工具包》（Embracing Diversity: Toolkit for Creating Inclusive, Learning-Friendly Environments）等文件 [[68]]，可为博物馆提供实践指导。</w:t>
      </w:r>
    </w:p>
    <w:p w14:paraId="16739EDC">
      <w:pPr>
        <w:spacing w:after="400" w:line="400" w:lineRule="atLeast"/>
      </w:pPr>
      <w:r>
        <w:rPr>
          <w:b/>
        </w:rPr>
        <w:t>(二) 前沿科技的融合应用</w:t>
      </w:r>
    </w:p>
    <w:p w14:paraId="480193DA">
      <w:pPr>
        <w:spacing w:after="400" w:line="400" w:lineRule="atLeast"/>
      </w:pPr>
      <w:r>
        <w:t>如果说教育理念是灵魂，那么技术就是骨骼。AI、VR/AR、大数据等前沿科技正在重构博物馆教育的场景、体验和模式。</w:t>
      </w:r>
    </w:p>
    <w:p w14:paraId="0CD04720">
      <w:pPr>
        <w:spacing w:after="400" w:line="400" w:lineRule="atLeast"/>
      </w:pPr>
      <w:r>
        <w:rPr>
          <w:b/>
        </w:rPr>
        <w:t>1. 人工智能（AI）驱动的个性化学习</w:t>
      </w:r>
    </w:p>
    <w:p w14:paraId="0B6D04A8">
      <w:pPr>
        <w:spacing w:after="400" w:line="400" w:lineRule="atLeast"/>
      </w:pPr>
      <w:r>
        <w:t>人工智能技术，特别是机器学习和自然语言处理，能够根据用户的行为和偏好，提供定制化的内容和学习路径。</w:t>
      </w:r>
    </w:p>
    <w:p w14:paraId="71065C97">
      <w:pPr>
        <w:numPr>
          <w:ilvl w:val="-1"/>
          <w:numId w:val="1"/>
        </w:numPr>
        <w:spacing w:after="400" w:line="400" w:lineRule="atLeast"/>
      </w:pPr>
      <w:r>
        <w:rPr>
          <w:b/>
        </w:rPr>
        <w:t>优势分析：</w:t>
      </w:r>
    </w:p>
    <w:p w14:paraId="748E23C9">
      <w:pPr>
        <w:numPr>
          <w:ilvl w:val="-1"/>
          <w:numId w:val="1"/>
        </w:numPr>
        <w:spacing w:after="400" w:line="400" w:lineRule="atLeast"/>
      </w:pPr>
      <w:r>
        <w:rPr>
          <w:b/>
        </w:rPr>
        <w:t>个性化推荐：</w:t>
      </w:r>
      <w:r>
        <w:t xml:space="preserve"> AI导览系统可以根据观众的停留时间、参观路线、互动选择等数据，动态调整讲解内容和推荐展品，实现“千人千面”的参观体验。</w:t>
      </w:r>
    </w:p>
    <w:p w14:paraId="67208A55">
      <w:pPr>
        <w:numPr>
          <w:ilvl w:val="-1"/>
          <w:numId w:val="1"/>
        </w:numPr>
        <w:spacing w:after="400" w:line="400" w:lineRule="atLeast"/>
      </w:pPr>
      <w:r>
        <w:rPr>
          <w:b/>
        </w:rPr>
        <w:t>智能问答与交互：</w:t>
      </w:r>
      <w:r>
        <w:t xml:space="preserve"> 基于AI的虚拟数字人或聊天机器人，可以24小时在线回答观众的各种问题，提供超越标准讲解的深度信息，甚至可以与观众进行富有情境的对话。</w:t>
      </w:r>
    </w:p>
    <w:p w14:paraId="568D2344">
      <w:pPr>
        <w:numPr>
          <w:ilvl w:val="-1"/>
          <w:numId w:val="1"/>
        </w:numPr>
        <w:spacing w:after="400" w:line="400" w:lineRule="atLeast"/>
      </w:pPr>
      <w:r>
        <w:rPr>
          <w:b/>
        </w:rPr>
        <w:t>学习分析与反馈：</w:t>
      </w:r>
      <w:r>
        <w:t xml:space="preserve"> AI可以分析观众在线上学习平台上的行为数据，识别其知识薄弱点，并推送相关的学习资源，为学习者提供精准的个性化辅导。</w:t>
      </w:r>
    </w:p>
    <w:p w14:paraId="5BD65F2C">
      <w:pPr>
        <w:numPr>
          <w:ilvl w:val="-1"/>
          <w:numId w:val="1"/>
        </w:numPr>
        <w:spacing w:after="400" w:line="400" w:lineRule="atLeast"/>
      </w:pPr>
      <w:r>
        <w:rPr>
          <w:b/>
        </w:rPr>
        <w:t>潜在局限：</w:t>
      </w:r>
    </w:p>
    <w:p w14:paraId="6FFD921C">
      <w:pPr>
        <w:numPr>
          <w:ilvl w:val="-1"/>
          <w:numId w:val="1"/>
        </w:numPr>
        <w:spacing w:after="400" w:line="400" w:lineRule="atLeast"/>
      </w:pPr>
      <w:r>
        <w:rPr>
          <w:b/>
        </w:rPr>
        <w:t>技术开发与维护成本高昂：</w:t>
      </w:r>
      <w:r>
        <w:t xml:space="preserve"> 高质量的AI应用需要庞大的数据量进行训练，开发和持续维护的成本非常高，中小博物馆难以承受。</w:t>
      </w:r>
    </w:p>
    <w:p w14:paraId="5E34D641">
      <w:pPr>
        <w:numPr>
          <w:ilvl w:val="-1"/>
          <w:numId w:val="1"/>
        </w:numPr>
        <w:spacing w:after="400" w:line="400" w:lineRule="atLeast"/>
      </w:pPr>
      <w:r>
        <w:rPr>
          <w:b/>
        </w:rPr>
        <w:t>数据隐私与伦理风险：</w:t>
      </w:r>
      <w:r>
        <w:t xml:space="preserve"> 收集和分析用户行为数据涉及敏感的隐私问题，必须建立严格的数据保护规范。同时，算法可能存在的偏见也需要警惕。</w:t>
      </w:r>
    </w:p>
    <w:p w14:paraId="7B811E33">
      <w:pPr>
        <w:numPr>
          <w:ilvl w:val="-1"/>
          <w:numId w:val="1"/>
        </w:numPr>
        <w:spacing w:after="400" w:line="400" w:lineRule="atLeast"/>
      </w:pPr>
      <w:r>
        <w:rPr>
          <w:b/>
        </w:rPr>
        <w:t>过度技术化可能削弱人文体验：</w:t>
      </w:r>
      <w:r>
        <w:t xml:space="preserve"> 过分依赖技术交互，可能会减少人与人之间、人与真实文物之间的直接交流和情感连接，使博物馆体验变得冰冷。</w:t>
      </w:r>
    </w:p>
    <w:p w14:paraId="1A07E6F7">
      <w:pPr>
        <w:numPr>
          <w:ilvl w:val="-1"/>
          <w:numId w:val="1"/>
        </w:numPr>
        <w:spacing w:after="400" w:line="400" w:lineRule="atLeast"/>
      </w:pPr>
      <w:r>
        <w:rPr>
          <w:b/>
        </w:rPr>
        <w:t>适用条件：</w:t>
      </w:r>
    </w:p>
    <w:p w14:paraId="675E1C99">
      <w:pPr>
        <w:numPr>
          <w:ilvl w:val="-1"/>
          <w:numId w:val="1"/>
        </w:numPr>
        <w:spacing w:after="400" w:line="400" w:lineRule="atLeast"/>
      </w:pPr>
      <w:r>
        <w:t>AI应用更适合大型、数据资源丰富的博物馆。</w:t>
      </w:r>
    </w:p>
    <w:p w14:paraId="717FBD7F">
      <w:pPr>
        <w:numPr>
          <w:ilvl w:val="-1"/>
          <w:numId w:val="1"/>
        </w:numPr>
        <w:spacing w:after="400" w:line="400" w:lineRule="atLeast"/>
      </w:pPr>
      <w:r>
        <w:t>在应用初期，可从智能问答、内容推荐等相对成熟的场景切入。</w:t>
      </w:r>
    </w:p>
    <w:p w14:paraId="11F05A70">
      <w:pPr>
        <w:numPr>
          <w:ilvl w:val="-1"/>
          <w:numId w:val="1"/>
        </w:numPr>
        <w:spacing w:after="400" w:line="400" w:lineRule="atLeast"/>
      </w:pPr>
      <w:r>
        <w:t>必须将联合国教科文组织《关于人工智能伦理的建议书》 [[69]]等伦理准则作为技术应用的根本遵循。</w:t>
      </w:r>
    </w:p>
    <w:p w14:paraId="426ED53D">
      <w:pPr>
        <w:spacing w:after="400" w:line="400" w:lineRule="atLeast"/>
      </w:pPr>
      <w:r>
        <w:rPr>
          <w:b/>
        </w:rPr>
        <w:t>2. 虚拟/增强现实（VR/AR）构建的沉浸式体验</w:t>
      </w:r>
    </w:p>
    <w:p w14:paraId="740288BE">
      <w:pPr>
        <w:spacing w:after="400" w:line="400" w:lineRule="atLeast"/>
      </w:pPr>
      <w:r>
        <w:t>VR（虚拟现实）和AR（增强现实）技术通过构建虚拟世界或在现实世界上叠加虚拟信息，为观众提供前所未有的沉浸感和互动性。</w:t>
      </w:r>
    </w:p>
    <w:p w14:paraId="629BF9E6">
      <w:pPr>
        <w:numPr>
          <w:ilvl w:val="-1"/>
          <w:numId w:val="1"/>
        </w:numPr>
        <w:spacing w:after="400" w:line="400" w:lineRule="atLeast"/>
      </w:pPr>
      <w:r>
        <w:rPr>
          <w:b/>
        </w:rPr>
        <w:t>优势分析：</w:t>
      </w:r>
    </w:p>
    <w:p w14:paraId="2F246F6F">
      <w:pPr>
        <w:numPr>
          <w:ilvl w:val="-1"/>
          <w:numId w:val="1"/>
        </w:numPr>
        <w:spacing w:after="400" w:line="400" w:lineRule="atLeast"/>
      </w:pPr>
      <w:r>
        <w:rPr>
          <w:b/>
        </w:rPr>
        <w:t>情景再现：</w:t>
      </w:r>
      <w:r>
        <w:t xml:space="preserve"> VR技术可以将观众“传送”到遥远的历史场景或考古遗址中，如古埃及金字塔内部、盛唐的长安城，提供身临其境的历史体验。</w:t>
      </w:r>
    </w:p>
    <w:p w14:paraId="2A706C47">
      <w:pPr>
        <w:numPr>
          <w:ilvl w:val="-1"/>
          <w:numId w:val="1"/>
        </w:numPr>
        <w:spacing w:after="400" w:line="400" w:lineRule="atLeast"/>
      </w:pPr>
      <w:r>
        <w:rPr>
          <w:b/>
        </w:rPr>
        <w:t>文物活化：</w:t>
      </w:r>
      <w:r>
        <w:t xml:space="preserve"> AR技术可以通过手机或平板电脑，让静态的文物“活”起来。例如，扫描一幅古画，画中的人物可以开始活动、讲述自己的故事；扫描一件瓷器，可以看到其原始的使用场景和制作过程。</w:t>
      </w:r>
    </w:p>
    <w:p w14:paraId="2E767244">
      <w:pPr>
        <w:numPr>
          <w:ilvl w:val="-1"/>
          <w:numId w:val="1"/>
        </w:numPr>
        <w:spacing w:after="400" w:line="400" w:lineRule="atLeast"/>
      </w:pPr>
      <w:r>
        <w:rPr>
          <w:b/>
        </w:rPr>
        <w:t>突破物理限制：</w:t>
      </w:r>
      <w:r>
        <w:t xml:space="preserve"> 对于那些因过于脆弱或巨大而无法展出的藏品，可以通过VR/AR进行虚拟展示。同时，它也为行动不便的观众远程参观博物馆提供了可能。</w:t>
      </w:r>
    </w:p>
    <w:p w14:paraId="6415C95C">
      <w:pPr>
        <w:numPr>
          <w:ilvl w:val="-1"/>
          <w:numId w:val="1"/>
        </w:numPr>
        <w:spacing w:after="400" w:line="400" w:lineRule="atLeast"/>
      </w:pPr>
      <w:r>
        <w:rPr>
          <w:b/>
        </w:rPr>
        <w:t>潜在局限：</w:t>
      </w:r>
    </w:p>
    <w:p w14:paraId="1091841A">
      <w:pPr>
        <w:numPr>
          <w:ilvl w:val="-1"/>
          <w:numId w:val="1"/>
        </w:numPr>
        <w:spacing w:after="400" w:line="400" w:lineRule="atLeast"/>
      </w:pPr>
      <w:r>
        <w:rPr>
          <w:b/>
        </w:rPr>
        <w:t>硬件依赖与成本：</w:t>
      </w:r>
      <w:r>
        <w:t xml:space="preserve"> 高质量的VR体验通常需要佩戴专门的头戴式显示设备，其采购、维护和消毒成本较高，且可能导致部分用户产生眩晕感。AR则对用户的移动设备性能有一定要求。</w:t>
      </w:r>
    </w:p>
    <w:p w14:paraId="658175BB">
      <w:pPr>
        <w:numPr>
          <w:ilvl w:val="-1"/>
          <w:numId w:val="1"/>
        </w:numPr>
        <w:spacing w:after="400" w:line="400" w:lineRule="atLeast"/>
      </w:pPr>
      <w:r>
        <w:rPr>
          <w:b/>
        </w:rPr>
        <w:t>内容制作复杂：</w:t>
      </w:r>
      <w:r>
        <w:t xml:space="preserve"> 制作精良的VR/AR内容需要电影级别的数字建模、渲染和叙事设计能力，生产周期长、成本高。</w:t>
      </w:r>
    </w:p>
    <w:p w14:paraId="18BEA338">
      <w:pPr>
        <w:numPr>
          <w:ilvl w:val="-1"/>
          <w:numId w:val="1"/>
        </w:numPr>
        <w:spacing w:after="400" w:line="400" w:lineRule="atLeast"/>
      </w:pPr>
      <w:r>
        <w:rPr>
          <w:b/>
        </w:rPr>
        <w:t>可能分散对真实文物的注意力：</w:t>
      </w:r>
      <w:r>
        <w:t xml:space="preserve"> 如果设计不当，炫酷的技术效果可能会喧宾夺主，使观众专注于与虚拟内容的互动，而忽略了对眼前真实文物的观察与欣赏。</w:t>
      </w:r>
    </w:p>
    <w:p w14:paraId="5BCAA00E">
      <w:pPr>
        <w:numPr>
          <w:ilvl w:val="-1"/>
          <w:numId w:val="1"/>
        </w:numPr>
        <w:spacing w:after="400" w:line="400" w:lineRule="atLeast"/>
      </w:pPr>
      <w:r>
        <w:rPr>
          <w:b/>
        </w:rPr>
        <w:t>适用条件：</w:t>
      </w:r>
    </w:p>
    <w:p w14:paraId="703E411D">
      <w:pPr>
        <w:numPr>
          <w:ilvl w:val="-1"/>
          <w:numId w:val="1"/>
        </w:numPr>
        <w:spacing w:after="400" w:line="400" w:lineRule="atLeast"/>
      </w:pPr>
      <w:r>
        <w:t>适用于历史遗址类、古生物复原类、复杂机械原理展示类等需要情景再现和内部结构可视化的展览。</w:t>
      </w:r>
    </w:p>
    <w:p w14:paraId="2CEAD657">
      <w:pPr>
        <w:numPr>
          <w:ilvl w:val="-1"/>
          <w:numId w:val="1"/>
        </w:numPr>
        <w:spacing w:after="400" w:line="400" w:lineRule="atLeast"/>
      </w:pPr>
      <w:r>
        <w:t>建议将VR/AR作为辅助和延伸手段，与实体展览紧密结合，而不是完全替代。</w:t>
      </w:r>
    </w:p>
    <w:p w14:paraId="5E5DB679">
      <w:pPr>
        <w:numPr>
          <w:ilvl w:val="-1"/>
          <w:numId w:val="1"/>
        </w:numPr>
        <w:spacing w:after="400" w:line="400" w:lineRule="atLeast"/>
      </w:pPr>
      <w:r>
        <w:t>可采用与科技公司合作开发的模式，分担成本和技术风险。</w:t>
      </w:r>
    </w:p>
    <w:p w14:paraId="22C70FB4">
      <w:pPr>
        <w:spacing w:after="400" w:line="400" w:lineRule="atLeast"/>
      </w:pPr>
      <w:r>
        <w:rPr>
          <w:b/>
        </w:rPr>
        <w:t>3. 大数据（Big Data）赋能的观众研究与精准服务</w:t>
      </w:r>
    </w:p>
    <w:p w14:paraId="5592AB73">
      <w:pPr>
        <w:spacing w:after="400" w:line="400" w:lineRule="atLeast"/>
      </w:pPr>
      <w:r>
        <w:t>大数据技术通过对海量、多源的观众数据进行采集和分析，能够揭示观众的行为模式、兴趣偏好和潜在需求，为博物馆的精细化运营和教育服务提供决策依据。</w:t>
      </w:r>
    </w:p>
    <w:p w14:paraId="17491DAA">
      <w:pPr>
        <w:numPr>
          <w:ilvl w:val="-1"/>
          <w:numId w:val="1"/>
        </w:numPr>
        <w:spacing w:after="400" w:line="400" w:lineRule="atLeast"/>
      </w:pPr>
      <w:r>
        <w:rPr>
          <w:b/>
        </w:rPr>
        <w:t>优势分析：</w:t>
      </w:r>
    </w:p>
    <w:p w14:paraId="0E2DB5A4">
      <w:pPr>
        <w:numPr>
          <w:ilvl w:val="-1"/>
          <w:numId w:val="1"/>
        </w:numPr>
        <w:spacing w:after="400" w:line="400" w:lineRule="atLeast"/>
      </w:pPr>
      <w:r>
        <w:rPr>
          <w:b/>
        </w:rPr>
        <w:t>精准观众画像：</w:t>
      </w:r>
      <w:r>
        <w:t xml:space="preserve"> 综合分析票务系统数据、Wi-Fi定位数据、APP使用数据、社交媒体评论数据等，可以构建出远比传统问卷调查更精准、动态的观众画像。</w:t>
      </w:r>
    </w:p>
    <w:p w14:paraId="7D4F1B98">
      <w:pPr>
        <w:numPr>
          <w:ilvl w:val="-1"/>
          <w:numId w:val="1"/>
        </w:numPr>
        <w:spacing w:after="400" w:line="400" w:lineRule="atLeast"/>
      </w:pPr>
      <w:r>
        <w:rPr>
          <w:b/>
        </w:rPr>
        <w:t>优化运营管理：</w:t>
      </w:r>
      <w:r>
        <w:t xml:space="preserve"> 通过分析观众在馆内的热力图和流动路径，可以优化展线设计、调整展厅布局、合理配置安保和保洁人员，提升运营效率和观众体验。</w:t>
      </w:r>
    </w:p>
    <w:p w14:paraId="049DB7FA">
      <w:pPr>
        <w:numPr>
          <w:ilvl w:val="-1"/>
          <w:numId w:val="1"/>
        </w:numPr>
        <w:spacing w:after="400" w:line="400" w:lineRule="atLeast"/>
      </w:pPr>
      <w:r>
        <w:rPr>
          <w:b/>
        </w:rPr>
        <w:t>实现精准营销与服务推送：</w:t>
      </w:r>
      <w:r>
        <w:t xml:space="preserve"> 基于观众画像，博物馆可以向不同群体精准推送他们可能感兴趣的展览、讲座或教育活动信息，提升活动的参与率和观众的满意度。</w:t>
      </w:r>
    </w:p>
    <w:p w14:paraId="6945011D">
      <w:pPr>
        <w:numPr>
          <w:ilvl w:val="-1"/>
          <w:numId w:val="1"/>
        </w:numPr>
        <w:spacing w:after="400" w:line="400" w:lineRule="atLeast"/>
      </w:pPr>
      <w:r>
        <w:rPr>
          <w:b/>
        </w:rPr>
        <w:t>潜在局限：</w:t>
      </w:r>
    </w:p>
    <w:p w14:paraId="20DD5596">
      <w:pPr>
        <w:numPr>
          <w:ilvl w:val="-1"/>
          <w:numId w:val="1"/>
        </w:numPr>
        <w:spacing w:after="400" w:line="400" w:lineRule="atLeast"/>
      </w:pPr>
      <w:r>
        <w:rPr>
          <w:b/>
        </w:rPr>
        <w:t>数据孤岛问题：</w:t>
      </w:r>
      <w:r>
        <w:t xml:space="preserve"> 博物馆的各类数据往往分散在不同的业务系统中（票务、会员、网站、安防等），打通这些“数据孤岛”，建立统一的数据中台，技术和管理难度都很大。</w:t>
      </w:r>
    </w:p>
    <w:p w14:paraId="5656F4C8">
      <w:pPr>
        <w:numPr>
          <w:ilvl w:val="-1"/>
          <w:numId w:val="1"/>
        </w:numPr>
        <w:spacing w:after="400" w:line="400" w:lineRule="atLeast"/>
      </w:pPr>
      <w:r>
        <w:rPr>
          <w:b/>
        </w:rPr>
        <w:t>数据分析人才稀缺：</w:t>
      </w:r>
      <w:r>
        <w:t xml:space="preserve"> 既懂博物馆业务又具备大数据分析能力的复合型人才非常稀缺。</w:t>
      </w:r>
    </w:p>
    <w:p w14:paraId="0FC328C1">
      <w:pPr>
        <w:numPr>
          <w:ilvl w:val="-1"/>
          <w:numId w:val="1"/>
        </w:numPr>
        <w:spacing w:after="400" w:line="400" w:lineRule="atLeast"/>
      </w:pPr>
      <w:r>
        <w:rPr>
          <w:b/>
        </w:rPr>
        <w:t>数据安全与隐私挑战：</w:t>
      </w:r>
      <w:r>
        <w:t xml:space="preserve"> 大数据应用的前提是必须确保观众数据的安全和合规使用，防止数据泄露和滥用，这对博物馆的数据治理能力提出了严峻考验。</w:t>
      </w:r>
    </w:p>
    <w:p w14:paraId="183D70DE">
      <w:pPr>
        <w:numPr>
          <w:ilvl w:val="-1"/>
          <w:numId w:val="1"/>
        </w:numPr>
        <w:spacing w:after="400" w:line="400" w:lineRule="atLeast"/>
      </w:pPr>
      <w:r>
        <w:rPr>
          <w:b/>
        </w:rPr>
        <w:t>适用条件：</w:t>
      </w:r>
    </w:p>
    <w:p w14:paraId="6DD02E78">
      <w:pPr>
        <w:numPr>
          <w:ilvl w:val="-1"/>
          <w:numId w:val="1"/>
        </w:numPr>
        <w:spacing w:after="400" w:line="400" w:lineRule="atLeast"/>
      </w:pPr>
      <w:r>
        <w:t>大数据应用是一个系统工程，需要博物馆从顶层设计上进行规划，并进行长期、持续的投入。</w:t>
      </w:r>
    </w:p>
    <w:p w14:paraId="6732A184">
      <w:pPr>
        <w:numPr>
          <w:ilvl w:val="-1"/>
          <w:numId w:val="1"/>
        </w:numPr>
        <w:spacing w:after="400" w:line="400" w:lineRule="atLeast"/>
      </w:pPr>
      <w:r>
        <w:t>建议从整合现有数据、实现基础的客流分析和可视化入手，逐步深化应用。</w:t>
      </w:r>
    </w:p>
    <w:p w14:paraId="62744F6D">
      <w:pPr>
        <w:numPr>
          <w:ilvl w:val="-1"/>
          <w:numId w:val="1"/>
        </w:numPr>
        <w:spacing w:after="400" w:line="400" w:lineRule="atLeast"/>
      </w:pPr>
      <w:r>
        <w:t>与拥有成熟大数据解决方案的科技企业合作，是中小博物馆快速提升数据能力的有效途径。</w:t>
      </w:r>
    </w:p>
    <w:p w14:paraId="1BA9493C">
      <w:pPr>
        <w:spacing w:after="400" w:line="400" w:lineRule="atLeast"/>
      </w:pPr>
      <w:r>
        <w:rPr>
          <w:b/>
        </w:rPr>
        <w:t>(三) 未来趋势要素综合分析</w:t>
      </w:r>
    </w:p>
    <w:p w14:paraId="7C7EDF6E">
      <w:pPr>
        <w:spacing w:after="400" w:line="400" w:lineRule="atLeast"/>
      </w:pPr>
      <w:r>
        <w:t>为清晰展现上述趋势的内在关联与综合影响，特制作下表：</w:t>
      </w:r>
    </w:p>
    <w:p w14:paraId="3142C4A5">
      <w:pPr>
        <w:spacing w:after="400" w:line="400" w:lineRule="atLeast"/>
      </w:pPr>
      <w:r>
        <w:rPr>
          <w:b/>
        </w:rPr>
        <w:t>表3：博物馆教育未来趋势要素综合分析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6DA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534A8A8">
            <w:pPr>
              <w:spacing w:after="400" w:line="400" w:lineRule="exact"/>
              <w:jc w:val="left"/>
            </w:pPr>
            <w:r>
              <w:rPr>
                <w:b/>
              </w:rPr>
              <w:t>驱动力</w:t>
            </w:r>
          </w:p>
        </w:tc>
        <w:tc>
          <w:tcPr>
            <w:tcW w:w="1659" w:type="dxa"/>
          </w:tcPr>
          <w:p w14:paraId="45477A90">
            <w:pPr>
              <w:spacing w:after="400" w:line="400" w:lineRule="exact"/>
              <w:jc w:val="left"/>
            </w:pPr>
            <w:r>
              <w:rPr>
                <w:b/>
              </w:rPr>
              <w:t>核心趋势</w:t>
            </w:r>
          </w:p>
        </w:tc>
        <w:tc>
          <w:tcPr>
            <w:tcW w:w="1659" w:type="dxa"/>
          </w:tcPr>
          <w:p w14:paraId="42D4ED25">
            <w:pPr>
              <w:spacing w:after="400" w:line="400" w:lineRule="exact"/>
              <w:jc w:val="left"/>
            </w:pPr>
            <w:r>
              <w:rPr>
                <w:b/>
              </w:rPr>
              <w:t>目标</w:t>
            </w:r>
          </w:p>
        </w:tc>
        <w:tc>
          <w:tcPr>
            <w:tcW w:w="1659" w:type="dxa"/>
          </w:tcPr>
          <w:p w14:paraId="154EA8B8">
            <w:pPr>
              <w:spacing w:after="400" w:line="400" w:lineRule="exact"/>
              <w:jc w:val="left"/>
            </w:pPr>
            <w:r>
              <w:rPr>
                <w:b/>
              </w:rPr>
              <w:t>关键技术支撑</w:t>
            </w:r>
          </w:p>
        </w:tc>
        <w:tc>
          <w:tcPr>
            <w:tcW w:w="1659" w:type="dxa"/>
          </w:tcPr>
          <w:p w14:paraId="2DBEB96F">
            <w:pPr>
              <w:spacing w:after="400" w:line="400" w:lineRule="exact"/>
              <w:jc w:val="left"/>
            </w:pPr>
            <w:r>
              <w:rPr>
                <w:b/>
              </w:rPr>
              <w:t>主要挑战</w:t>
            </w:r>
          </w:p>
        </w:tc>
      </w:tr>
      <w:tr w14:paraId="3C2B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F968D62">
            <w:pPr>
              <w:spacing w:after="400" w:line="400" w:lineRule="exact"/>
              <w:jc w:val="left"/>
            </w:pPr>
            <w:r>
              <w:rPr>
                <w:b/>
              </w:rPr>
              <w:t>理念革新</w:t>
            </w:r>
          </w:p>
        </w:tc>
        <w:tc>
          <w:tcPr>
            <w:tcW w:w="1659" w:type="dxa"/>
          </w:tcPr>
          <w:p w14:paraId="0C22553A">
            <w:pPr>
              <w:spacing w:after="400" w:line="400" w:lineRule="exact"/>
              <w:jc w:val="left"/>
            </w:pPr>
            <w:r>
              <w:t>跨学科学习（STEAM）</w:t>
            </w:r>
          </w:p>
        </w:tc>
        <w:tc>
          <w:tcPr>
            <w:tcW w:w="1659" w:type="dxa"/>
          </w:tcPr>
          <w:p w14:paraId="5C15E4A8">
            <w:pPr>
              <w:spacing w:after="400" w:line="400" w:lineRule="exact"/>
              <w:jc w:val="left"/>
            </w:pPr>
            <w:r>
              <w:t>培养综合创新能力</w:t>
            </w:r>
          </w:p>
        </w:tc>
        <w:tc>
          <w:tcPr>
            <w:tcW w:w="1659" w:type="dxa"/>
          </w:tcPr>
          <w:p w14:paraId="439681AD">
            <w:pPr>
              <w:spacing w:after="400" w:line="400" w:lineRule="exact"/>
              <w:jc w:val="left"/>
            </w:pPr>
            <w:r>
              <w:t>3D打印、编程工具、互动实验设备</w:t>
            </w:r>
          </w:p>
        </w:tc>
        <w:tc>
          <w:tcPr>
            <w:tcW w:w="1659" w:type="dxa"/>
          </w:tcPr>
          <w:p w14:paraId="4CB8A1BA">
            <w:pPr>
              <w:spacing w:after="400" w:line="400" w:lineRule="exact"/>
              <w:jc w:val="left"/>
            </w:pPr>
            <w:r>
              <w:t>课程设计、师资培养、资源投入</w:t>
            </w:r>
          </w:p>
        </w:tc>
      </w:tr>
      <w:tr w14:paraId="00EF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F766919">
            <w:pPr>
              <w:spacing w:after="400" w:line="400" w:lineRule="exact"/>
              <w:jc w:val="left"/>
            </w:pPr>
            <w:r>
              <w:t xml:space="preserve"> </w:t>
            </w:r>
          </w:p>
        </w:tc>
        <w:tc>
          <w:tcPr>
            <w:tcW w:w="1659" w:type="dxa"/>
          </w:tcPr>
          <w:p w14:paraId="48708461">
            <w:pPr>
              <w:spacing w:after="400" w:line="400" w:lineRule="exact"/>
              <w:jc w:val="left"/>
            </w:pPr>
            <w:r>
              <w:t>终身学习</w:t>
            </w:r>
          </w:p>
        </w:tc>
        <w:tc>
          <w:tcPr>
            <w:tcW w:w="1659" w:type="dxa"/>
          </w:tcPr>
          <w:p w14:paraId="33684D18">
            <w:pPr>
              <w:spacing w:after="400" w:line="400" w:lineRule="exact"/>
              <w:jc w:val="left"/>
            </w:pPr>
            <w:r>
              <w:t>构建学习型社会</w:t>
            </w:r>
          </w:p>
        </w:tc>
        <w:tc>
          <w:tcPr>
            <w:tcW w:w="1659" w:type="dxa"/>
          </w:tcPr>
          <w:p w14:paraId="7C824106">
            <w:pPr>
              <w:spacing w:after="400" w:line="400" w:lineRule="exact"/>
              <w:jc w:val="left"/>
            </w:pPr>
            <w:r>
              <w:t>线上学习平台、社群管理工具</w:t>
            </w:r>
          </w:p>
        </w:tc>
        <w:tc>
          <w:tcPr>
            <w:tcW w:w="1659" w:type="dxa"/>
          </w:tcPr>
          <w:p w14:paraId="404A8A88">
            <w:pPr>
              <w:spacing w:after="400" w:line="400" w:lineRule="exact"/>
              <w:jc w:val="left"/>
            </w:pPr>
            <w:r>
              <w:t>成人市场开发、服务模式创新</w:t>
            </w:r>
          </w:p>
        </w:tc>
      </w:tr>
      <w:tr w14:paraId="5B83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246FD8D">
            <w:pPr>
              <w:spacing w:after="400" w:line="400" w:lineRule="exact"/>
              <w:jc w:val="left"/>
            </w:pPr>
            <w:r>
              <w:t xml:space="preserve"> </w:t>
            </w:r>
          </w:p>
        </w:tc>
        <w:tc>
          <w:tcPr>
            <w:tcW w:w="1659" w:type="dxa"/>
          </w:tcPr>
          <w:p w14:paraId="6D2FBCC8">
            <w:pPr>
              <w:spacing w:after="400" w:line="400" w:lineRule="exact"/>
              <w:jc w:val="left"/>
            </w:pPr>
            <w:r>
              <w:t>社会包容性</w:t>
            </w:r>
          </w:p>
        </w:tc>
        <w:tc>
          <w:tcPr>
            <w:tcW w:w="1659" w:type="dxa"/>
          </w:tcPr>
          <w:p w14:paraId="276E6BE0">
            <w:pPr>
              <w:spacing w:after="400" w:line="400" w:lineRule="exact"/>
              <w:jc w:val="left"/>
            </w:pPr>
            <w:r>
              <w:t>促进文化权利平等</w:t>
            </w:r>
          </w:p>
        </w:tc>
        <w:tc>
          <w:tcPr>
            <w:tcW w:w="1659" w:type="dxa"/>
          </w:tcPr>
          <w:p w14:paraId="1060D38E">
            <w:pPr>
              <w:spacing w:after="400" w:line="400" w:lineRule="exact"/>
              <w:jc w:val="left"/>
            </w:pPr>
            <w:r>
              <w:t>无障碍技术（语音、手语）、多语言服务</w:t>
            </w:r>
          </w:p>
        </w:tc>
        <w:tc>
          <w:tcPr>
            <w:tcW w:w="1659" w:type="dxa"/>
          </w:tcPr>
          <w:p w14:paraId="3C385080">
            <w:pPr>
              <w:spacing w:after="400" w:line="400" w:lineRule="exact"/>
              <w:jc w:val="left"/>
            </w:pPr>
            <w:r>
              <w:t>专业人才、运营成本、观念转变</w:t>
            </w:r>
          </w:p>
        </w:tc>
      </w:tr>
      <w:tr w14:paraId="2D22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31FAA3C">
            <w:pPr>
              <w:spacing w:after="400" w:line="400" w:lineRule="exact"/>
              <w:jc w:val="left"/>
            </w:pPr>
            <w:r>
              <w:rPr>
                <w:b/>
              </w:rPr>
              <w:t>技术赋能</w:t>
            </w:r>
          </w:p>
        </w:tc>
        <w:tc>
          <w:tcPr>
            <w:tcW w:w="1659" w:type="dxa"/>
          </w:tcPr>
          <w:p w14:paraId="38A2FAAC">
            <w:pPr>
              <w:spacing w:after="400" w:line="400" w:lineRule="exact"/>
              <w:jc w:val="left"/>
            </w:pPr>
            <w:r>
              <w:t>个性化学习</w:t>
            </w:r>
          </w:p>
        </w:tc>
        <w:tc>
          <w:tcPr>
            <w:tcW w:w="1659" w:type="dxa"/>
          </w:tcPr>
          <w:p w14:paraId="56AEACB2">
            <w:pPr>
              <w:spacing w:after="400" w:line="400" w:lineRule="exact"/>
              <w:jc w:val="left"/>
            </w:pPr>
            <w:r>
              <w:t>实现因材施教</w:t>
            </w:r>
          </w:p>
        </w:tc>
        <w:tc>
          <w:tcPr>
            <w:tcW w:w="1659" w:type="dxa"/>
          </w:tcPr>
          <w:p w14:paraId="5E136B3C">
            <w:pPr>
              <w:spacing w:after="400" w:line="400" w:lineRule="exact"/>
              <w:jc w:val="left"/>
            </w:pPr>
            <w:r>
              <w:t>人工智能（AI）、学习分析</w:t>
            </w:r>
          </w:p>
        </w:tc>
        <w:tc>
          <w:tcPr>
            <w:tcW w:w="1659" w:type="dxa"/>
          </w:tcPr>
          <w:p w14:paraId="420CCCD3">
            <w:pPr>
              <w:spacing w:after="400" w:line="400" w:lineRule="exact"/>
              <w:jc w:val="left"/>
            </w:pPr>
            <w:r>
              <w:t>技术成本、数据伦理、人文体验</w:t>
            </w:r>
          </w:p>
        </w:tc>
      </w:tr>
      <w:tr w14:paraId="5BA3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056295A">
            <w:pPr>
              <w:spacing w:after="400" w:line="400" w:lineRule="exact"/>
              <w:jc w:val="left"/>
            </w:pPr>
            <w:r>
              <w:t xml:space="preserve"> </w:t>
            </w:r>
          </w:p>
        </w:tc>
        <w:tc>
          <w:tcPr>
            <w:tcW w:w="1659" w:type="dxa"/>
          </w:tcPr>
          <w:p w14:paraId="28984A70">
            <w:pPr>
              <w:spacing w:after="400" w:line="400" w:lineRule="exact"/>
              <w:jc w:val="left"/>
            </w:pPr>
            <w:r>
              <w:t>沉浸式体验</w:t>
            </w:r>
          </w:p>
        </w:tc>
        <w:tc>
          <w:tcPr>
            <w:tcW w:w="1659" w:type="dxa"/>
          </w:tcPr>
          <w:p w14:paraId="0D8CB4BD">
            <w:pPr>
              <w:spacing w:after="400" w:line="400" w:lineRule="exact"/>
              <w:jc w:val="left"/>
            </w:pPr>
            <w:r>
              <w:t>增强情境感知</w:t>
            </w:r>
          </w:p>
        </w:tc>
        <w:tc>
          <w:tcPr>
            <w:tcW w:w="1659" w:type="dxa"/>
          </w:tcPr>
          <w:p w14:paraId="01BBA853">
            <w:pPr>
              <w:spacing w:after="400" w:line="400" w:lineRule="exact"/>
              <w:jc w:val="left"/>
            </w:pPr>
            <w:r>
              <w:t>虚拟/增强现实（VR/AR）</w:t>
            </w:r>
          </w:p>
        </w:tc>
        <w:tc>
          <w:tcPr>
            <w:tcW w:w="1659" w:type="dxa"/>
          </w:tcPr>
          <w:p w14:paraId="2DE7BE9D">
            <w:pPr>
              <w:spacing w:after="400" w:line="400" w:lineRule="exact"/>
              <w:jc w:val="left"/>
            </w:pPr>
            <w:r>
              <w:t>内容制作、硬件成本、与实物平衡</w:t>
            </w:r>
          </w:p>
        </w:tc>
      </w:tr>
      <w:tr w14:paraId="2C3F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0E92447">
            <w:pPr>
              <w:spacing w:after="400" w:line="400" w:lineRule="exact"/>
              <w:jc w:val="left"/>
            </w:pPr>
            <w:r>
              <w:t xml:space="preserve"> </w:t>
            </w:r>
          </w:p>
        </w:tc>
        <w:tc>
          <w:tcPr>
            <w:tcW w:w="1659" w:type="dxa"/>
          </w:tcPr>
          <w:p w14:paraId="667AD7EF">
            <w:pPr>
              <w:spacing w:after="400" w:line="400" w:lineRule="exact"/>
              <w:jc w:val="left"/>
            </w:pPr>
            <w:r>
              <w:t>精准化服务</w:t>
            </w:r>
          </w:p>
        </w:tc>
        <w:tc>
          <w:tcPr>
            <w:tcW w:w="1659" w:type="dxa"/>
          </w:tcPr>
          <w:p w14:paraId="59E48E3B">
            <w:pPr>
              <w:spacing w:after="400" w:line="400" w:lineRule="exact"/>
              <w:jc w:val="left"/>
            </w:pPr>
            <w:r>
              <w:t>提升运营与服务效率</w:t>
            </w:r>
          </w:p>
        </w:tc>
        <w:tc>
          <w:tcPr>
            <w:tcW w:w="1659" w:type="dxa"/>
          </w:tcPr>
          <w:p w14:paraId="14679658">
            <w:pPr>
              <w:spacing w:after="400" w:line="400" w:lineRule="exact"/>
              <w:jc w:val="left"/>
            </w:pPr>
            <w:r>
              <w:t>大数据、物联网（IoT）</w:t>
            </w:r>
          </w:p>
        </w:tc>
        <w:tc>
          <w:tcPr>
            <w:tcW w:w="1659" w:type="dxa"/>
          </w:tcPr>
          <w:p w14:paraId="5FD886BD">
            <w:pPr>
              <w:spacing w:after="400" w:line="400" w:lineRule="exact"/>
              <w:jc w:val="left"/>
            </w:pPr>
            <w:r>
              <w:t>数据整合、专业人才、数据安全</w:t>
            </w:r>
          </w:p>
        </w:tc>
      </w:tr>
    </w:tbl>
    <w:p w14:paraId="63AD1C48">
      <w:pPr>
        <w:spacing w:before="400" w:after="400" w:line="400" w:lineRule="atLeast"/>
      </w:pPr>
      <w:r>
        <w:rPr>
          <w:b/>
          <w:sz w:val="30"/>
        </w:rPr>
        <w:t>四、 中国博物馆教育未来发展战略展望与政策建议</w:t>
      </w:r>
    </w:p>
    <w:p w14:paraId="3CBB72A7">
      <w:pPr>
        <w:spacing w:after="400" w:line="400" w:lineRule="atLeast"/>
      </w:pPr>
      <w:r>
        <w:t>立足于对国内外现状与未来趋势的深度研判，本章节旨在为中国博物馆教育的未来发展提供一套体系化的战略思考与政策建议，力求将其融入国家发展大局，实现高质量、可持续的跃升。</w:t>
      </w:r>
    </w:p>
    <w:p w14:paraId="1EE6C4F1">
      <w:pPr>
        <w:spacing w:after="400" w:line="400" w:lineRule="atLeast"/>
      </w:pPr>
      <w:r>
        <w:rPr>
          <w:b/>
        </w:rPr>
        <w:t>(一) 顶层设计：融入国家发展大局</w:t>
      </w:r>
    </w:p>
    <w:p w14:paraId="3A872516">
      <w:pPr>
        <w:spacing w:after="400" w:line="400" w:lineRule="atLeast"/>
      </w:pPr>
      <w:r>
        <w:t>博物馆教育事业的发展，必须与国家重大战略同频共振，才能获得持续的发展动力和广阔的战略空间。</w:t>
      </w:r>
    </w:p>
    <w:p w14:paraId="4E9CA98A">
      <w:pPr>
        <w:spacing w:after="400" w:line="400" w:lineRule="atLeast"/>
      </w:pPr>
      <w:r>
        <w:rPr>
          <w:b/>
        </w:rPr>
        <w:t>1. 对接“文化强国”战略，提升文化软实力</w:t>
      </w:r>
    </w:p>
    <w:p w14:paraId="0E6A1D96">
      <w:pPr>
        <w:numPr>
          <w:ilvl w:val="-1"/>
          <w:numId w:val="1"/>
        </w:numPr>
        <w:spacing w:after="400" w:line="400" w:lineRule="atLeast"/>
      </w:pPr>
      <w:r>
        <w:rPr>
          <w:b/>
        </w:rPr>
        <w:t>战略关联：</w:t>
      </w:r>
      <w:r>
        <w:t xml:space="preserve"> “文化强国”战略的核心是提升国家文化软实力和中华文化影响力。博物馆作为承载和传播中华优秀传统文化、革命文化和社会主义先进文化的核心阵地，其教育功能的发挥直接关系到这一战略目标的实现。</w:t>
      </w:r>
    </w:p>
    <w:p w14:paraId="0FAFF025">
      <w:pPr>
        <w:numPr>
          <w:ilvl w:val="-1"/>
          <w:numId w:val="1"/>
        </w:numPr>
        <w:spacing w:after="400" w:line="400" w:lineRule="atLeast"/>
      </w:pPr>
      <w:r>
        <w:rPr>
          <w:b/>
        </w:rPr>
        <w:t>政策建议：</w:t>
      </w:r>
    </w:p>
    <w:p w14:paraId="090A0A3A">
      <w:pPr>
        <w:numPr>
          <w:ilvl w:val="-1"/>
          <w:numId w:val="1"/>
        </w:numPr>
        <w:spacing w:after="400" w:line="400" w:lineRule="atLeast"/>
      </w:pPr>
      <w:r>
        <w:rPr>
          <w:b/>
        </w:rPr>
        <w:t>设立国家级博物馆教育研发中心：</w:t>
      </w:r>
      <w:r>
        <w:t xml:space="preserve"> 建议由国家文物局牵头，依托中国国家博物馆、故宫博物院等龙头机构，联合顶尖高校和科研院所，成立国家级博物馆教育研发中心，统筹规划全国博物馆教育内容体系，组织开发一批能够彰显中国精神、中国价值的精品课程和展览教育资源包，并向全国特别是中西部地区和基层博物馆推广。</w:t>
      </w:r>
    </w:p>
    <w:p w14:paraId="7F470D0E">
      <w:pPr>
        <w:numPr>
          <w:ilvl w:val="-1"/>
          <w:numId w:val="1"/>
        </w:numPr>
        <w:spacing w:after="400" w:line="400" w:lineRule="atLeast"/>
      </w:pPr>
      <w:r>
        <w:rPr>
          <w:b/>
        </w:rPr>
        <w:t>实施“中华文明探源”系列主题教育项目：</w:t>
      </w:r>
      <w:r>
        <w:t xml:space="preserve"> 围绕夏商周断代工程、中华文明探源工程等重大科研成果，策划推出系列化、多媒体、巡回式的专题教育项目，以生动的方式向国内外公众，特别是青少年，讲好中华文明的起源和发展故事。</w:t>
      </w:r>
    </w:p>
    <w:p w14:paraId="72712241">
      <w:pPr>
        <w:numPr>
          <w:ilvl w:val="-1"/>
          <w:numId w:val="1"/>
        </w:numPr>
        <w:spacing w:after="400" w:line="400" w:lineRule="atLeast"/>
      </w:pPr>
      <w:r>
        <w:rPr>
          <w:b/>
        </w:rPr>
        <w:t>推动博物馆教育“走出去”：</w:t>
      </w:r>
      <w:r>
        <w:t xml:space="preserve"> 将高水平的博物馆教育项目纳入国家文化出口和对外文化交流的重点支持范围，通过在海外中国文化中心举办配套教育活动、开发多语种线上教育资源等方式，增强中华文化的国际传播力。</w:t>
      </w:r>
    </w:p>
    <w:p w14:paraId="048F9125">
      <w:pPr>
        <w:spacing w:after="400" w:line="400" w:lineRule="atLeast"/>
      </w:pPr>
      <w:r>
        <w:rPr>
          <w:b/>
        </w:rPr>
        <w:t>2. 融入“数字中国”建设，推动智慧博物馆发展</w:t>
      </w:r>
    </w:p>
    <w:p w14:paraId="05DAE0FF">
      <w:pPr>
        <w:numPr>
          <w:ilvl w:val="-1"/>
          <w:numId w:val="1"/>
        </w:numPr>
        <w:spacing w:after="400" w:line="400" w:lineRule="atLeast"/>
      </w:pPr>
      <w:r>
        <w:rPr>
          <w:b/>
        </w:rPr>
        <w:t>战略关联：</w:t>
      </w:r>
      <w:r>
        <w:t xml:space="preserve"> “数字中国”建设是国家信息化发展的核心战略。《“十四五”文化发展规划》也明确提出要“推进文化数字化建设”。博物馆教育的数字化转型，是建设智慧博物馆、实现文化服务普惠化的关键路径。</w:t>
      </w:r>
    </w:p>
    <w:p w14:paraId="4AE99F49">
      <w:pPr>
        <w:numPr>
          <w:ilvl w:val="-1"/>
          <w:numId w:val="1"/>
        </w:numPr>
        <w:spacing w:after="400" w:line="400" w:lineRule="atLeast"/>
      </w:pPr>
      <w:r>
        <w:rPr>
          <w:b/>
        </w:rPr>
        <w:t>政策建议：</w:t>
      </w:r>
    </w:p>
    <w:p w14:paraId="0E0FFAC4">
      <w:pPr>
        <w:numPr>
          <w:ilvl w:val="-1"/>
          <w:numId w:val="1"/>
        </w:numPr>
        <w:spacing w:after="400" w:line="400" w:lineRule="atLeast"/>
      </w:pPr>
      <w:r>
        <w:rPr>
          <w:b/>
        </w:rPr>
        <w:t>构建国家智慧博物馆教育云平台：</w:t>
      </w:r>
      <w:r>
        <w:t xml:space="preserve"> 建议由国家层面主导，建设一个开放、共享的国家级博物馆数字教育资源平台。汇聚全国各大博物馆的优质数字资源（如数字藏品、线上展览、精品课程视频、VR/AR内容），通过统一的入口向全国学校和公众免费或低价提供服务，有效解决优质教育资源分布不均的问题。</w:t>
      </w:r>
    </w:p>
    <w:p w14:paraId="0BD0D03E">
      <w:pPr>
        <w:numPr>
          <w:ilvl w:val="-1"/>
          <w:numId w:val="1"/>
        </w:numPr>
        <w:spacing w:after="400" w:line="400" w:lineRule="atLeast"/>
      </w:pPr>
      <w:r>
        <w:rPr>
          <w:b/>
        </w:rPr>
        <w:t>制定博物馆数字化教育技术标准与规范：</w:t>
      </w:r>
      <w:r>
        <w:t xml:space="preserve"> 针对数字资源格式、元数据标准、接口规范、数据安全等关键环节，尽快研究出台行业标准，打破“数据孤岛”，促进不同博物馆、不同系统之间的互联互通和资源共享。</w:t>
      </w:r>
    </w:p>
    <w:p w14:paraId="0A500417">
      <w:pPr>
        <w:numPr>
          <w:ilvl w:val="-1"/>
          <w:numId w:val="1"/>
        </w:numPr>
        <w:spacing w:after="400" w:line="400" w:lineRule="atLeast"/>
      </w:pPr>
      <w:r>
        <w:rPr>
          <w:b/>
        </w:rPr>
        <w:t>设立数字化转型专项扶持基金：</w:t>
      </w:r>
      <w:r>
        <w:t xml:space="preserve"> 针对中小型和基层博物馆在数字化转型中面临的资金、技术和人才困境，设立专项基金，以项目补贴、技术支持、人才培训等方式，帮助其跨越“数字鸿沟”。</w:t>
      </w:r>
    </w:p>
    <w:p w14:paraId="358953DD">
      <w:pPr>
        <w:spacing w:after="400" w:line="400" w:lineRule="atLeast"/>
      </w:pPr>
      <w:r>
        <w:rPr>
          <w:b/>
        </w:rPr>
        <w:t>(二) 实践路径：构建高质量教育服务体系</w:t>
      </w:r>
    </w:p>
    <w:p w14:paraId="48FCAA04">
      <w:pPr>
        <w:spacing w:after="400" w:line="400" w:lineRule="atLeast"/>
      </w:pPr>
      <w:r>
        <w:t>战略落地需要具体的实践路径。中国博物馆教育应在内容、技术、合作三个层面同步发力，构建高质量的服务体系。</w:t>
      </w:r>
    </w:p>
    <w:p w14:paraId="3F88AC23">
      <w:pPr>
        <w:spacing w:after="400" w:line="400" w:lineRule="atLeast"/>
      </w:pPr>
      <w:r>
        <w:rPr>
          <w:b/>
        </w:rPr>
        <w:t>1. 深化内容研发，打造跨学科精品课程</w:t>
      </w:r>
    </w:p>
    <w:p w14:paraId="011B1481">
      <w:pPr>
        <w:spacing w:after="400" w:line="400" w:lineRule="atLeast"/>
      </w:pPr>
      <w:r>
        <w:t>建议博物馆教育部门从“活动策划”向“课程研发”转型。应组建由本馆研究人员、一线教育人员、外部学科专家、优秀教师共同参与的课程研发团队，围绕核心馆藏，深度挖掘其与历史、艺术、科学、文学等多学科的内在联系，开发体系化、分年龄段的STEAM和探究式学习课程，并形成可复制、可推广的教材、教具和学习单。</w:t>
      </w:r>
    </w:p>
    <w:p w14:paraId="45F2FE58">
      <w:pPr>
        <w:spacing w:after="400" w:line="400" w:lineRule="atLeast"/>
      </w:pPr>
      <w:r>
        <w:rPr>
          <w:b/>
        </w:rPr>
        <w:t>2. 创新技术应用，拓展数字化叙事边界</w:t>
      </w:r>
    </w:p>
    <w:p w14:paraId="6B370889">
      <w:pPr>
        <w:spacing w:after="400" w:line="400" w:lineRule="atLeast"/>
      </w:pPr>
      <w:r>
        <w:t>在技术应用上，应避免为技术而技术，坚持“内容为王、技术为用”的原则。建议可考虑鼓励博物馆成立“数字叙事”或“创意科技”实验室，探索将AI、VR/AR等技术与展览叙事和教育目标进行深度融合的最佳实践。例如，可以利用生成式AI（AIGC）技术，让观众与历史人物进行互动对话；或利用VR技术，让学生“亲身参与”到重大科学发现的过程中。</w:t>
      </w:r>
    </w:p>
    <w:p w14:paraId="5E7547AF">
      <w:pPr>
        <w:spacing w:after="400" w:line="400" w:lineRule="atLeast"/>
      </w:pPr>
      <w:r>
        <w:rPr>
          <w:b/>
        </w:rPr>
        <w:t>3. 强化馆校合作，构建协同育人机制</w:t>
      </w:r>
    </w:p>
    <w:p w14:paraId="5BEB8331">
      <w:pPr>
        <w:spacing w:after="400" w:line="400" w:lineRule="atLeast"/>
      </w:pPr>
      <w:r>
        <w:t>建议教育部门与文物部门加强协同，将博物馆学习更系统地纳入国民教育体系。可考虑推动地方教育行政部门将“博物馆课程”纳入中小学课后服务或选修课体系，并计入学分。同时，建立博物馆与学校的常态化对接机制，如“一馆对多校”的结对子模式，由博物馆为合作学校提供“菜单式”的教育服务和教师培训，学校则将博物馆作为固定的“校外教室”，实现资源共享、协同育人。</w:t>
      </w:r>
    </w:p>
    <w:p w14:paraId="2B25A306">
      <w:pPr>
        <w:spacing w:after="400" w:line="400" w:lineRule="atLeast"/>
      </w:pPr>
      <w:r>
        <w:rPr>
          <w:b/>
        </w:rPr>
        <w:t>(三) 保障措施：优化资源配置与人才培养</w:t>
      </w:r>
    </w:p>
    <w:p w14:paraId="54E60E5F">
      <w:pPr>
        <w:spacing w:after="400" w:line="400" w:lineRule="atLeast"/>
      </w:pPr>
      <w:r>
        <w:t>高质量的发展离不开坚实的保障。完善的评价体系和专业的人才队伍是推动中国博物馆教育可持续发展的两大基石。</w:t>
      </w:r>
    </w:p>
    <w:p w14:paraId="22CF3488">
      <w:pPr>
        <w:spacing w:after="400" w:line="400" w:lineRule="atLeast"/>
      </w:pPr>
      <w:r>
        <w:rPr>
          <w:b/>
        </w:rPr>
        <w:t>1. 完善评价体系，引导可持续发展</w:t>
      </w:r>
    </w:p>
    <w:p w14:paraId="16198C87">
      <w:pPr>
        <w:spacing w:after="400" w:line="400" w:lineRule="atLeast"/>
      </w:pPr>
      <w:r>
        <w:t>建议国家文物局和中国博物馆协会牵头，借鉴英国GLOs等国际先进经验，研究制定一套符合中国国情的《博物馆教育质量评估指南》。该体系应超越参与人次等传统量化指标，更加注重对学习成果、观众体验、社会效益等质化指标的评估。将评估结果与博物馆等级评定、项目资助等挂钩，形成以评促建、以评促改的良性发展机制。</w:t>
      </w:r>
    </w:p>
    <w:p w14:paraId="755754D2">
      <w:pPr>
        <w:spacing w:after="400" w:line="400" w:lineRule="atLeast"/>
      </w:pPr>
      <w:r>
        <w:rPr>
          <w:b/>
        </w:rPr>
        <w:t>2. 加强人才培养，建设专业化教育团队</w:t>
      </w:r>
    </w:p>
    <w:p w14:paraId="1535865A">
      <w:pPr>
        <w:numPr>
          <w:ilvl w:val="-1"/>
          <w:numId w:val="1"/>
        </w:numPr>
        <w:spacing w:after="400" w:line="400" w:lineRule="atLeast"/>
      </w:pPr>
      <w:r>
        <w:rPr>
          <w:b/>
        </w:rPr>
        <w:t>加强学科建设：</w:t>
      </w:r>
      <w:r>
        <w:t xml:space="preserve"> 鼓励有条件的高校，特别是有博物馆学、考古学、艺术史等传统优势学科的大学，设立“博物馆教育”或“公共历史”等交叉学科学位点，从源头上培养高层次专业人才。</w:t>
      </w:r>
    </w:p>
    <w:p w14:paraId="3CCE1A7D">
      <w:pPr>
        <w:numPr>
          <w:ilvl w:val="-1"/>
          <w:numId w:val="1"/>
        </w:numPr>
        <w:spacing w:after="400" w:line="400" w:lineRule="atLeast"/>
      </w:pPr>
      <w:r>
        <w:rPr>
          <w:b/>
        </w:rPr>
        <w:t>构建分级分类的在职培训体系：</w:t>
      </w:r>
      <w:r>
        <w:t xml:space="preserve"> 建立国家、省、市三级联动的博物馆教育人员在职培训网络。国家层面负责高端研修和国际交流，省级层面负责系统性轮训，市级层面负责日常业务培训。培训内容应涵盖教育理论、课程设计、技术应用、观众研究、项目评估等全方位知识。</w:t>
      </w:r>
    </w:p>
    <w:p w14:paraId="25401301">
      <w:pPr>
        <w:numPr>
          <w:ilvl w:val="-1"/>
          <w:numId w:val="1"/>
        </w:numPr>
        <w:spacing w:after="400" w:line="400" w:lineRule="atLeast"/>
      </w:pPr>
      <w:r>
        <w:rPr>
          <w:b/>
        </w:rPr>
        <w:t>优化职业发展路径：</w:t>
      </w:r>
      <w:r>
        <w:t xml:space="preserve"> 在博物馆职称评定和岗位晋升体系中，明确博物馆教育人员的专业序列，为其提供清晰的职业发展通道和合理的薪酬待遇，稳定和吸引优秀人才。</w:t>
      </w:r>
    </w:p>
    <w:p w14:paraId="79331FDB">
      <w:pPr>
        <w:spacing w:after="400" w:line="400" w:lineRule="atLeast"/>
      </w:pPr>
      <w:r>
        <w:rPr>
          <w:b/>
          <w:sz w:val="26"/>
        </w:rPr>
        <w:t>结论</w:t>
      </w:r>
    </w:p>
    <w:p w14:paraId="4B9704FA">
      <w:pPr>
        <w:spacing w:after="400" w:line="400" w:lineRule="atLeast"/>
      </w:pPr>
      <w:r>
        <w:t>本报告系统梳理了中外博物馆教育的发展脉络、现实图景与未来航向。研究表明，中国博物馆教育在取得举世瞩目成就的同时，也正面临深刻的结构性挑战。而以美国、英国为代表的发达国家，则在市场化运营、社会化参与、专业化评估等方面积累了可资借鉴的经验。</w:t>
      </w:r>
    </w:p>
    <w:p w14:paraId="67B366A4">
      <w:pPr>
        <w:spacing w:after="400" w:line="400" w:lineRule="atLeast"/>
      </w:pPr>
      <w:r>
        <w:t>展望未来，由</w:t>
      </w:r>
      <w:r>
        <w:rPr>
          <w:b/>
        </w:rPr>
        <w:t>理念革新</w:t>
      </w:r>
      <w:r>
        <w:t>（STEAM、终身学习、社会包容）和</w:t>
      </w:r>
      <w:r>
        <w:rPr>
          <w:b/>
        </w:rPr>
        <w:t>技术赋能</w:t>
      </w:r>
      <w:r>
        <w:t>（AI、VR/AR、大数据）共同驱动的变革浪潮，将彻底重塑博物馆教育的生态。这既是挑战，更是中国博物馆教育实现“弯道超车”的历史性机遇。</w:t>
      </w:r>
    </w:p>
    <w:p w14:paraId="4CEC9115">
      <w:pPr>
        <w:spacing w:after="400" w:line="400" w:lineRule="atLeast"/>
      </w:pPr>
      <w:r>
        <w:t>为此，中国博物馆教育的发展必须提升至国家战略层面进行系统谋划。通过主动对接“文化强国”、“数字中国”等顶层战略，构建开放共享的资源平台，深化以学习者为中心的内容研发，创新前沿技术的融合应用，完善科学的评估与人才培养体系，中国博物馆完全有能力构建一个世界一流、中国特色的现代博物馆教育体系。</w:t>
      </w:r>
    </w:p>
    <w:p w14:paraId="47B162B3">
      <w:pPr>
        <w:spacing w:after="400" w:line="400" w:lineRule="atLeast"/>
      </w:pPr>
      <w:r>
        <w:t>最终，一个充满活力、富于智慧、具有温度的博物馆教育体系，将不仅是传承民族文化记忆的殿堂，更将成为激发全民创新活力的源泉、促进社会包容与文明对话的桥梁，为实现中华民族的伟大复兴和推动人类命运共同体的构建，贡献不可替代的文化力量。</w:t>
      </w:r>
    </w:p>
    <w:p w14:paraId="32A829D5">
      <w:pPr>
        <w:pStyle w:val="3"/>
        <w:spacing w:after="400" w:line="400" w:lineRule="atLeast"/>
      </w:pPr>
      <w:r>
        <w:t>文献来源</w:t>
      </w:r>
    </w:p>
    <w:p w14:paraId="606ABAC8">
      <w:pPr>
        <w:spacing w:after="200" w:line="400" w:lineRule="atLeast"/>
      </w:pPr>
      <w:r>
        <w:fldChar w:fldCharType="begin"/>
      </w:r>
      <w:r>
        <w:instrText xml:space="preserve"> HYPERLINK "https://doi.org/10.29311/mas.v23i1.4459" \h </w:instrText>
      </w:r>
      <w:r>
        <w:fldChar w:fldCharType="separate"/>
      </w:r>
      <w:r>
        <w:rPr>
          <w:rStyle w:val="13"/>
          <w:color w:val="0563C1"/>
        </w:rPr>
        <w:t>[138,150,315,348]. The Challenge of Measuring Performance in Museums: an exploratory study in creating a holistic set of key performance indicators</w:t>
      </w:r>
      <w:r>
        <w:rPr>
          <w:rStyle w:val="13"/>
          <w:color w:val="0563C1"/>
        </w:rPr>
        <w:fldChar w:fldCharType="end"/>
      </w:r>
    </w:p>
    <w:p w14:paraId="7BDCD352">
      <w:pPr>
        <w:spacing w:after="400" w:line="400" w:lineRule="atLeast"/>
      </w:pPr>
      <w:r>
        <w:rPr>
          <w:i/>
        </w:rPr>
        <w:t>以下来源未被直接引用</w:t>
      </w:r>
    </w:p>
    <w:p w14:paraId="7D4FEA91">
      <w:pPr>
        <w:spacing w:after="200" w:line="400" w:lineRule="atLeast"/>
      </w:pPr>
      <w:r>
        <w:fldChar w:fldCharType="begin"/>
      </w:r>
      <w:r>
        <w:instrText xml:space="preserve"> HYPERLINK "https://doi.org/10.21601/IJESE/10962" \h </w:instrText>
      </w:r>
      <w:r>
        <w:fldChar w:fldCharType="separate"/>
      </w:r>
      <w:r>
        <w:rPr>
          <w:rStyle w:val="13"/>
          <w:color w:val="0563C1"/>
        </w:rPr>
        <w:t>STEAM Education Using Sericulture Ukiyo-e: Object-Based Learning through Original Artworks Collected at a Science University Museum in Japan</w:t>
      </w:r>
      <w:r>
        <w:rPr>
          <w:rStyle w:val="13"/>
          <w:color w:val="0563C1"/>
        </w:rPr>
        <w:fldChar w:fldCharType="end"/>
      </w:r>
    </w:p>
    <w:p w14:paraId="058B1963">
      <w:pPr>
        <w:pStyle w:val="3"/>
        <w:spacing w:after="400" w:line="400" w:lineRule="atLeast"/>
      </w:pPr>
      <w:r>
        <w:t>其他来源</w:t>
      </w:r>
    </w:p>
    <w:p w14:paraId="429D256F">
      <w:pPr>
        <w:spacing w:after="200" w:line="400" w:lineRule="atLeast"/>
      </w:pPr>
      <w:r>
        <w:fldChar w:fldCharType="begin"/>
      </w:r>
      <w:r>
        <w:instrText xml:space="preserve"> HYPERLINK "http://wlgd.huhhot.gov.cn/zwgk/tzgg/202501/P020250126371076336965.docx" \h </w:instrText>
      </w:r>
      <w:r>
        <w:fldChar w:fldCharType="separate"/>
      </w:r>
      <w:r>
        <w:rPr>
          <w:rStyle w:val="13"/>
          <w:color w:val="0563C1"/>
        </w:rPr>
        <w:t>[1,4,57,310,322,325,329]. 呼和浩特博物馆之城建设总体规划(2025-2035)</w:t>
      </w:r>
      <w:r>
        <w:rPr>
          <w:rStyle w:val="13"/>
          <w:color w:val="0563C1"/>
        </w:rPr>
        <w:fldChar w:fldCharType="end"/>
      </w:r>
    </w:p>
    <w:p w14:paraId="46B4FA2C">
      <w:pPr>
        <w:spacing w:after="200" w:line="400" w:lineRule="atLeast"/>
      </w:pPr>
      <w:r>
        <w:fldChar w:fldCharType="begin"/>
      </w:r>
      <w:r>
        <w:instrText xml:space="preserve"> HYPERLINK "https://mp.weixin.qq.com/s?__biz=MzIwMTY3MTYyOQ==&amp;mid=2651857325&amp;idx=1&amp;sn=89d49ab0fef60763a075c25d2e786c8f&amp;chksm=8cbbab7d1e5e4e91488e667533accaf590fad741c868d1a19aec39a0b31a8fab84787320b4cc&amp;scene=27" \h </w:instrText>
      </w:r>
      <w:r>
        <w:fldChar w:fldCharType="separate"/>
      </w:r>
      <w:r>
        <w:rPr>
          <w:rStyle w:val="13"/>
          <w:color w:val="0563C1"/>
        </w:rPr>
        <w:t>[2,5,311,317,324,326,331]. 穿越玻璃的教育对话</w:t>
      </w:r>
      <w:r>
        <w:rPr>
          <w:rStyle w:val="13"/>
          <w:color w:val="0563C1"/>
        </w:rPr>
        <w:fldChar w:fldCharType="end"/>
      </w:r>
    </w:p>
    <w:p w14:paraId="0368E342">
      <w:pPr>
        <w:spacing w:after="200" w:line="400" w:lineRule="atLeast"/>
      </w:pPr>
      <w:r>
        <w:fldChar w:fldCharType="begin"/>
      </w:r>
      <w:r>
        <w:instrText xml:space="preserve"> HYPERLINK "https://ep.ycwb.com/epaper/xkb/resfile/2024-05-19/A07/xkb20240519A07.pdf" \h </w:instrText>
      </w:r>
      <w:r>
        <w:fldChar w:fldCharType="separate"/>
      </w:r>
      <w:r>
        <w:rPr>
          <w:rStyle w:val="13"/>
          <w:color w:val="0563C1"/>
        </w:rPr>
        <w:t>[3,318,323]. 去年我国博物馆接待观众12.9亿人次</w:t>
      </w:r>
      <w:r>
        <w:rPr>
          <w:rStyle w:val="13"/>
          <w:color w:val="0563C1"/>
        </w:rPr>
        <w:fldChar w:fldCharType="end"/>
      </w:r>
    </w:p>
    <w:p w14:paraId="22C127EF">
      <w:pPr>
        <w:spacing w:after="200" w:line="400" w:lineRule="atLeast"/>
      </w:pPr>
      <w:r>
        <w:fldChar w:fldCharType="begin"/>
      </w:r>
      <w:r>
        <w:instrText xml:space="preserve"> HYPERLINK "https://files.metaso.cn/api/public-file/preview?fileName=8685648631845568512.pdf" \h </w:instrText>
      </w:r>
      <w:r>
        <w:fldChar w:fldCharType="separate"/>
      </w:r>
      <w:r>
        <w:rPr>
          <w:rStyle w:val="13"/>
          <w:color w:val="0563C1"/>
        </w:rPr>
        <w:t>[6,11,58,64,312,327,330,340]. 2025年05月18日新闻联播文字版</w:t>
      </w:r>
      <w:r>
        <w:rPr>
          <w:rStyle w:val="13"/>
          <w:color w:val="0563C1"/>
        </w:rPr>
        <w:fldChar w:fldCharType="end"/>
      </w:r>
    </w:p>
    <w:p w14:paraId="7857EB02">
      <w:pPr>
        <w:spacing w:after="200" w:line="400" w:lineRule="atLeast"/>
      </w:pPr>
      <w:r>
        <w:fldChar w:fldCharType="begin"/>
      </w:r>
      <w:r>
        <w:instrText xml:space="preserve"> HYPERLINK "https://files.metaso.cn/api/public-file/preview?fileName=8687070451975626753.pdf" \h </w:instrText>
      </w:r>
      <w:r>
        <w:fldChar w:fldCharType="separate"/>
      </w:r>
      <w:r>
        <w:rPr>
          <w:rStyle w:val="13"/>
          <w:color w:val="0563C1"/>
        </w:rPr>
        <w:t>[7]. 革命文物主题展览的爱国主义教育功能及评价机制研究</w:t>
      </w:r>
      <w:r>
        <w:rPr>
          <w:rStyle w:val="13"/>
          <w:color w:val="0563C1"/>
        </w:rPr>
        <w:fldChar w:fldCharType="end"/>
      </w:r>
    </w:p>
    <w:p w14:paraId="2368C7B6">
      <w:pPr>
        <w:spacing w:after="200" w:line="400" w:lineRule="atLeast"/>
      </w:pPr>
      <w:r>
        <w:fldChar w:fldCharType="begin"/>
      </w:r>
      <w:r>
        <w:instrText xml:space="preserve"> HYPERLINK "https://files.metaso.cn/api/public-file/preview?fileName=8687070596090863616.pdf" \h </w:instrText>
      </w:r>
      <w:r>
        <w:fldChar w:fldCharType="separate"/>
      </w:r>
      <w:r>
        <w:rPr>
          <w:rStyle w:val="13"/>
          <w:color w:val="0563C1"/>
        </w:rPr>
        <w:t>[8]. 精品解析：2024年新疆维吾尔自治区中考语文试题（解析版）.docx</w:t>
      </w:r>
      <w:r>
        <w:rPr>
          <w:rStyle w:val="13"/>
          <w:color w:val="0563C1"/>
        </w:rPr>
        <w:fldChar w:fldCharType="end"/>
      </w:r>
    </w:p>
    <w:p w14:paraId="1130A092">
      <w:pPr>
        <w:spacing w:after="200" w:line="400" w:lineRule="atLeast"/>
      </w:pPr>
      <w:r>
        <w:fldChar w:fldCharType="begin"/>
      </w:r>
      <w:r>
        <w:instrText xml:space="preserve"> HYPERLINK "https://yakutmuseum.ru/app/uploads/2022/02/OTCHET-O-DEYATELNOSTI-GBU-RSYA-YAKUTSKIJ-GOSUDARSTVENNYJ-OBEDINENNYJ-MUZEJ-ISTORII-I-KULTURY-NARODOV-SEVERA-IM.-EM.-YAROSLAVSKOGO-ZA-2021-GOD.docx" \h </w:instrText>
      </w:r>
      <w:r>
        <w:fldChar w:fldCharType="separate"/>
      </w:r>
      <w:r>
        <w:rPr>
          <w:rStyle w:val="13"/>
          <w:color w:val="0563C1"/>
        </w:rPr>
        <w:t>[9,10]. УТВЕРЖДАЮ: Директор Н.Д. Бугаев</w:t>
      </w:r>
      <w:r>
        <w:rPr>
          <w:rStyle w:val="13"/>
          <w:color w:val="0563C1"/>
        </w:rPr>
        <w:fldChar w:fldCharType="end"/>
      </w:r>
    </w:p>
    <w:p w14:paraId="7E74C6FB">
      <w:pPr>
        <w:spacing w:after="200" w:line="400" w:lineRule="atLeast"/>
      </w:pPr>
      <w:r>
        <w:fldChar w:fldCharType="begin"/>
      </w:r>
      <w:r>
        <w:instrText xml:space="preserve"> HYPERLINK "https://files.metaso.cn/api/public-file/preview?fileName=8687070759879614464.pdf" \h </w:instrText>
      </w:r>
      <w:r>
        <w:fldChar w:fldCharType="separate"/>
      </w:r>
      <w:r>
        <w:rPr>
          <w:rStyle w:val="13"/>
          <w:color w:val="0563C1"/>
        </w:rPr>
        <w:t>[12,16,341]. 数智融合：党史纪念馆空间文化载体的革命性质跃</w:t>
      </w:r>
      <w:r>
        <w:rPr>
          <w:rStyle w:val="13"/>
          <w:color w:val="0563C1"/>
        </w:rPr>
        <w:fldChar w:fldCharType="end"/>
      </w:r>
    </w:p>
    <w:p w14:paraId="56326E8B">
      <w:pPr>
        <w:spacing w:after="200" w:line="400" w:lineRule="atLeast"/>
      </w:pPr>
      <w:r>
        <w:fldChar w:fldCharType="begin"/>
      </w:r>
      <w:r>
        <w:instrText xml:space="preserve"> HYPERLINK "https://www.163.com/dy/article/FSHD1R040544AF6C.html" \h </w:instrText>
      </w:r>
      <w:r>
        <w:fldChar w:fldCharType="separate"/>
      </w:r>
      <w:r>
        <w:rPr>
          <w:rStyle w:val="13"/>
          <w:color w:val="0563C1"/>
        </w:rPr>
        <w:t>[13,60,65,267,268,342]. 文物工作‘十三五’取得开创性、历史性成就</w:t>
      </w:r>
      <w:r>
        <w:rPr>
          <w:rStyle w:val="13"/>
          <w:color w:val="0563C1"/>
        </w:rPr>
        <w:fldChar w:fldCharType="end"/>
      </w:r>
    </w:p>
    <w:p w14:paraId="457E1788">
      <w:pPr>
        <w:spacing w:after="200" w:line="400" w:lineRule="atLeast"/>
      </w:pPr>
      <w:r>
        <w:fldChar w:fldCharType="begin"/>
      </w:r>
      <w:r>
        <w:instrText xml:space="preserve"> HYPERLINK "https://www.littletonco.gov/files/sharedassets/public/v/2/finance/documents-finance/budget/2025-final-budget.pdf" \h </w:instrText>
      </w:r>
      <w:r>
        <w:fldChar w:fldCharType="separate"/>
      </w:r>
      <w:r>
        <w:rPr>
          <w:rStyle w:val="13"/>
          <w:color w:val="0563C1"/>
        </w:rPr>
        <w:t>[14,17,63,67]. 2025 Budget</w:t>
      </w:r>
      <w:r>
        <w:rPr>
          <w:rStyle w:val="13"/>
          <w:color w:val="0563C1"/>
        </w:rPr>
        <w:fldChar w:fldCharType="end"/>
      </w:r>
    </w:p>
    <w:p w14:paraId="7C78EFE9">
      <w:pPr>
        <w:spacing w:after="200" w:line="400" w:lineRule="atLeast"/>
      </w:pPr>
      <w:r>
        <w:fldChar w:fldCharType="begin"/>
      </w:r>
      <w:r>
        <w:instrText xml:space="preserve"> HYPERLINK "https://www.prirodoslovni.com/doc/Plan_za_2025.pdf" \h </w:instrText>
      </w:r>
      <w:r>
        <w:fldChar w:fldCharType="separate"/>
      </w:r>
      <w:r>
        <w:rPr>
          <w:rStyle w:val="13"/>
          <w:color w:val="0563C1"/>
        </w:rPr>
        <w:t>[15]. PRIKAZ PROGRAMA RADA I RAZVITKA PRIRODOSLOVNOG MUZEJA RIJEKA ZA 2025. GODINU</w:t>
      </w:r>
      <w:r>
        <w:rPr>
          <w:rStyle w:val="13"/>
          <w:color w:val="0563C1"/>
        </w:rPr>
        <w:fldChar w:fldCharType="end"/>
      </w:r>
    </w:p>
    <w:p w14:paraId="3DD9B583">
      <w:pPr>
        <w:spacing w:after="200" w:line="400" w:lineRule="atLeast"/>
      </w:pPr>
      <w:r>
        <w:fldChar w:fldCharType="begin"/>
      </w:r>
      <w:r>
        <w:instrText xml:space="preserve"> HYPERLINK "https://southwestmuseums.org.uk/wp-content/uploads/2024/12/AMS-2024-National-Report.pdf" \h </w:instrText>
      </w:r>
      <w:r>
        <w:fldChar w:fldCharType="separate"/>
      </w:r>
      <w:r>
        <w:rPr>
          <w:rStyle w:val="13"/>
          <w:color w:val="0563C1"/>
        </w:rPr>
        <w:t>[18,62,87,88,264]. Annual Museum Survey 2024: National Report</w:t>
      </w:r>
      <w:r>
        <w:rPr>
          <w:rStyle w:val="13"/>
          <w:color w:val="0563C1"/>
        </w:rPr>
        <w:fldChar w:fldCharType="end"/>
      </w:r>
    </w:p>
    <w:p w14:paraId="7CFB6ECE">
      <w:pPr>
        <w:spacing w:after="200" w:line="400" w:lineRule="atLeast"/>
      </w:pPr>
      <w:r>
        <w:fldChar w:fldCharType="begin"/>
      </w:r>
      <w:r>
        <w:instrText xml:space="preserve"> HYPERLINK "https://www.aam-us.org/tag/museum-school-partnership/" \h </w:instrText>
      </w:r>
      <w:r>
        <w:fldChar w:fldCharType="separate"/>
      </w:r>
      <w:r>
        <w:rPr>
          <w:rStyle w:val="13"/>
          <w:color w:val="0563C1"/>
        </w:rPr>
        <w:t>[19,21,38,77,277]. museum school partnership – American Alliance of Museums</w:t>
      </w:r>
      <w:r>
        <w:rPr>
          <w:rStyle w:val="13"/>
          <w:color w:val="0563C1"/>
        </w:rPr>
        <w:fldChar w:fldCharType="end"/>
      </w:r>
    </w:p>
    <w:p w14:paraId="65E585B0">
      <w:pPr>
        <w:spacing w:after="200" w:line="400" w:lineRule="atLeast"/>
      </w:pPr>
      <w:r>
        <w:fldChar w:fldCharType="begin"/>
      </w:r>
      <w:r>
        <w:instrText xml:space="preserve"> HYPERLINK "https://www.aam-us.org/2025/11/11/2025-annual-national-snapshot-of-united-states-museums/#%3A~%3Atext%3DMore%20than%20half%20of%20museums%2Cand%20tourism%20and%20economic%20uncertainty" \h </w:instrText>
      </w:r>
      <w:r>
        <w:fldChar w:fldCharType="separate"/>
      </w:r>
      <w:r>
        <w:rPr>
          <w:rStyle w:val="13"/>
          <w:color w:val="0563C1"/>
        </w:rPr>
        <w:t>[20,37,73,273,275,345]. 2025 Annual National Snapshot of United States Museums</w:t>
      </w:r>
      <w:r>
        <w:rPr>
          <w:rStyle w:val="13"/>
          <w:color w:val="0563C1"/>
        </w:rPr>
        <w:fldChar w:fldCharType="end"/>
      </w:r>
    </w:p>
    <w:p w14:paraId="23E5C3B7">
      <w:pPr>
        <w:spacing w:after="200" w:line="400" w:lineRule="atLeast"/>
      </w:pPr>
      <w:r>
        <w:fldChar w:fldCharType="begin"/>
      </w:r>
      <w:r>
        <w:instrText xml:space="preserve"> HYPERLINK "https://www.aam-us.org/2025/11/11/national-survey-reveals-alarming-downturn-museums-face-worst-financial-outlook-since-pandemic/#%3A~%3Atext%3DMore%20than%20half%20of%20museums%2Cand%20tourism%20and%20economic%20uncertainty" \h </w:instrText>
      </w:r>
      <w:r>
        <w:fldChar w:fldCharType="separate"/>
      </w:r>
      <w:r>
        <w:rPr>
          <w:rStyle w:val="13"/>
          <w:color w:val="0563C1"/>
        </w:rPr>
        <w:t>[22,74]. AAM Annual Report on the Current State of United States Museums</w:t>
      </w:r>
      <w:r>
        <w:rPr>
          <w:rStyle w:val="13"/>
          <w:color w:val="0563C1"/>
        </w:rPr>
        <w:fldChar w:fldCharType="end"/>
      </w:r>
    </w:p>
    <w:p w14:paraId="7AA86495">
      <w:pPr>
        <w:spacing w:after="200" w:line="400" w:lineRule="atLeast"/>
      </w:pPr>
      <w:r>
        <w:fldChar w:fldCharType="begin"/>
      </w:r>
      <w:r>
        <w:instrText xml:space="preserve"> HYPERLINK "https://digitalcommons.memphis.edu/cgi/viewcontent.cgi?article=4886&amp;context=etd" \h </w:instrText>
      </w:r>
      <w:r>
        <w:fldChar w:fldCharType="separate"/>
      </w:r>
      <w:r>
        <w:rPr>
          <w:rStyle w:val="13"/>
          <w:color w:val="0563C1"/>
        </w:rPr>
        <w:t>[23,30,314,344]. From Collections to Community-Changing the Educational Landscape to Serve the People: Case Studies of Adult Education in Urban Art Museums</w:t>
      </w:r>
      <w:r>
        <w:rPr>
          <w:rStyle w:val="13"/>
          <w:color w:val="0563C1"/>
        </w:rPr>
        <w:fldChar w:fldCharType="end"/>
      </w:r>
    </w:p>
    <w:p w14:paraId="09D86F22">
      <w:pPr>
        <w:spacing w:after="200" w:line="400" w:lineRule="atLeast"/>
      </w:pPr>
      <w:r>
        <w:fldChar w:fldCharType="begin"/>
      </w:r>
      <w:r>
        <w:instrText xml:space="preserve"> HYPERLINK "https://www.training.go.kr/htmi/Report/TD0392TR0221016/20190622iEF2FPTk.pdf?saveas=%255Be3%255D14Jzx_P-PNAEOFNFjg0bhi9S2MeQdtR-r1v8RFf4llGpIzTqRNSXaQOC0sxBS_a-L_ll8vBOKXxhpBVsXevXe4SRUIMkcEWB0kr_cpLoq5yGGlsqU=" \h </w:instrText>
      </w:r>
      <w:r>
        <w:fldChar w:fldCharType="separate"/>
      </w:r>
      <w:r>
        <w:rPr>
          <w:rStyle w:val="13"/>
          <w:color w:val="0563C1"/>
        </w:rPr>
        <w:t>[24]. 문화·예술 향유 매체 다변화에 따른 지원방안 연구</w:t>
      </w:r>
      <w:r>
        <w:rPr>
          <w:rStyle w:val="13"/>
          <w:color w:val="0563C1"/>
        </w:rPr>
        <w:fldChar w:fldCharType="end"/>
      </w:r>
    </w:p>
    <w:p w14:paraId="062433C4">
      <w:pPr>
        <w:spacing w:after="200" w:line="400" w:lineRule="atLeast"/>
      </w:pPr>
      <w:r>
        <w:fldChar w:fldCharType="begin"/>
      </w:r>
      <w:r>
        <w:instrText xml:space="preserve"> HYPERLINK "https://files.eric.ed.gov/fulltext/ED107581.pdf" \h </w:instrText>
      </w:r>
      <w:r>
        <w:fldChar w:fldCharType="separate"/>
      </w:r>
      <w:r>
        <w:rPr>
          <w:rStyle w:val="13"/>
          <w:color w:val="0563C1"/>
        </w:rPr>
        <w:t>[25,26,27,28,31,79,283,284,285]. Museums USA: Art, History, Science, and Other Museums</w:t>
      </w:r>
      <w:r>
        <w:rPr>
          <w:rStyle w:val="13"/>
          <w:color w:val="0563C1"/>
        </w:rPr>
        <w:fldChar w:fldCharType="end"/>
      </w:r>
    </w:p>
    <w:p w14:paraId="3A0815C4">
      <w:pPr>
        <w:spacing w:after="200" w:line="400" w:lineRule="atLeast"/>
      </w:pPr>
      <w:r>
        <w:fldChar w:fldCharType="begin"/>
      </w:r>
      <w:r>
        <w:instrText xml:space="preserve"> HYPERLINK "https://libraetd.lib.virginia.edu/downloads/j6731535d?filename=Langholtz.SELinMuseums.2025.EDD.pdf" \h </w:instrText>
      </w:r>
      <w:r>
        <w:fldChar w:fldCharType="separate"/>
      </w:r>
      <w:r>
        <w:rPr>
          <w:rStyle w:val="13"/>
          <w:color w:val="0563C1"/>
        </w:rPr>
        <w:t>[29,313,343]. SOCIAL AND EMOTIONAL LEARNING (SEL) IN MUSEUMS: PERSPECTIVES AND PRACTICES OF MUSEUM LEADERS</w:t>
      </w:r>
      <w:r>
        <w:rPr>
          <w:rStyle w:val="13"/>
          <w:color w:val="0563C1"/>
        </w:rPr>
        <w:fldChar w:fldCharType="end"/>
      </w:r>
    </w:p>
    <w:p w14:paraId="3217A363">
      <w:pPr>
        <w:spacing w:after="200" w:line="400" w:lineRule="atLeast"/>
      </w:pPr>
      <w:r>
        <w:fldChar w:fldCharType="begin"/>
      </w:r>
      <w:r>
        <w:instrText xml:space="preserve"> HYPERLINK "https://www.numberanalytics.com/blog/assessing-learning-outcomes-in-museums" \h </w:instrText>
      </w:r>
      <w:r>
        <w:fldChar w:fldCharType="separate"/>
      </w:r>
      <w:r>
        <w:rPr>
          <w:rStyle w:val="13"/>
          <w:color w:val="0563C1"/>
        </w:rPr>
        <w:t>[32,33,347]. Assessing Learning Outcomes in Museums</w:t>
      </w:r>
      <w:r>
        <w:rPr>
          <w:rStyle w:val="13"/>
          <w:color w:val="0563C1"/>
        </w:rPr>
        <w:fldChar w:fldCharType="end"/>
      </w:r>
    </w:p>
    <w:p w14:paraId="7805C5C7">
      <w:pPr>
        <w:spacing w:after="200" w:line="400" w:lineRule="atLeast"/>
      </w:pPr>
      <w:r>
        <w:fldChar w:fldCharType="begin"/>
      </w:r>
      <w:r>
        <w:instrText xml:space="preserve"> HYPERLINK "https://minds.wisconsin.edu/bitstream/handle/1793/96020/Rieger_uwm_0263M_14144.pdf?sequence=1" \h </w:instrText>
      </w:r>
      <w:r>
        <w:fldChar w:fldCharType="separate"/>
      </w:r>
      <w:r>
        <w:rPr>
          <w:rStyle w:val="13"/>
          <w:color w:val="0563C1"/>
        </w:rPr>
        <w:t>[34]. PROVENIENCE, PROVENANCE, AND PLACE-BASED EDUCATION: AN EXAMINATION OF THE MILWAUKEE COUNTY ARCHAEOLOGY SURFACE COLLECTION AT THE MILWAUKEE PUBLIC MUSEUM</w:t>
      </w:r>
      <w:r>
        <w:rPr>
          <w:rStyle w:val="13"/>
          <w:color w:val="0563C1"/>
        </w:rPr>
        <w:fldChar w:fldCharType="end"/>
      </w:r>
    </w:p>
    <w:p w14:paraId="53452BAE">
      <w:pPr>
        <w:spacing w:after="200" w:line="400" w:lineRule="atLeast"/>
      </w:pPr>
      <w:r>
        <w:fldChar w:fldCharType="begin"/>
      </w:r>
      <w:r>
        <w:instrText xml:space="preserve"> HYPERLINK "https://informalscience.org/wp-content/uploads/2019/02/VSA-a0a2p3-a_5730.pdf" \h </w:instrText>
      </w:r>
      <w:r>
        <w:fldChar w:fldCharType="separate"/>
      </w:r>
      <w:r>
        <w:rPr>
          <w:rStyle w:val="13"/>
          <w:color w:val="0563C1"/>
        </w:rPr>
        <w:t>[35]. Visitor Studies in the United Kingdom</w:t>
      </w:r>
      <w:r>
        <w:rPr>
          <w:rStyle w:val="13"/>
          <w:color w:val="0563C1"/>
        </w:rPr>
        <w:fldChar w:fldCharType="end"/>
      </w:r>
    </w:p>
    <w:p w14:paraId="3DACFA6B">
      <w:pPr>
        <w:spacing w:after="200" w:line="400" w:lineRule="atLeast"/>
      </w:pPr>
      <w:r>
        <w:fldChar w:fldCharType="begin"/>
      </w:r>
      <w:r>
        <w:instrText xml:space="preserve"> HYPERLINK "https://www.aam-us.org/category/visitor-experience/" \h </w:instrText>
      </w:r>
      <w:r>
        <w:fldChar w:fldCharType="separate"/>
      </w:r>
      <w:r>
        <w:rPr>
          <w:rStyle w:val="13"/>
          <w:color w:val="0563C1"/>
        </w:rPr>
        <w:t>[36]. Visitor Experience – American Alliance of Museums</w:t>
      </w:r>
      <w:r>
        <w:rPr>
          <w:rStyle w:val="13"/>
          <w:color w:val="0563C1"/>
        </w:rPr>
        <w:fldChar w:fldCharType="end"/>
      </w:r>
    </w:p>
    <w:p w14:paraId="01D049C8">
      <w:pPr>
        <w:spacing w:after="200" w:line="400" w:lineRule="atLeast"/>
      </w:pPr>
      <w:r>
        <w:fldChar w:fldCharType="begin"/>
      </w:r>
      <w:r>
        <w:instrText xml:space="preserve"> HYPERLINK "https://apothesis.eap.gr/archive/download/9e24461e-bc3e-4526-8557-f2a8c758714c.pdf" \h </w:instrText>
      </w:r>
      <w:r>
        <w:fldChar w:fldCharType="separate"/>
      </w:r>
      <w:r>
        <w:rPr>
          <w:rStyle w:val="13"/>
          <w:color w:val="0563C1"/>
        </w:rPr>
        <w:t>[39,49,91,102,116,123,128,131,290,300,303]. «ΣΧΟΛΗ ΚΟΙΝΩΝΙΚΩΝ ΕΠΙΣΤΗΜΩΝ» «ΜΕΤΑΠΤΥΧΙΑΚΟ ΠΡΟΓΡΑΜΜΑ ΣΠΟΥΔΩΝ ΔΙΟΙΚΗΣΗ ΠΟΛΙΤΙΣΜΙΚΩΝ ΜΟΝΑΔΩΝ»</w:t>
      </w:r>
      <w:r>
        <w:rPr>
          <w:rStyle w:val="13"/>
          <w:color w:val="0563C1"/>
        </w:rPr>
        <w:fldChar w:fldCharType="end"/>
      </w:r>
    </w:p>
    <w:p w14:paraId="4004D1CB">
      <w:pPr>
        <w:spacing w:after="200" w:line="400" w:lineRule="atLeast"/>
      </w:pPr>
      <w:r>
        <w:fldChar w:fldCharType="begin"/>
      </w:r>
      <w:r>
        <w:instrText xml:space="preserve"> HYPERLINK "https://btk.pte.hu/sites/btk.pte.hu/files/hfmi/TM242K.pdf#page=110" \h </w:instrText>
      </w:r>
      <w:r>
        <w:fldChar w:fldCharType="separate"/>
      </w:r>
      <w:r>
        <w:rPr>
          <w:rStyle w:val="13"/>
          <w:color w:val="0563C1"/>
        </w:rPr>
        <w:t>[40,45,118,127,289,292,297,298]. MÚZEUMI TÜKRÖZŐDÉS: TÁRSADALOM ÉS KÖRNYEZET / MUSEUM REFLECTION: SOCIETY AND ENVIRONMENT</w:t>
      </w:r>
      <w:r>
        <w:rPr>
          <w:rStyle w:val="13"/>
          <w:color w:val="0563C1"/>
        </w:rPr>
        <w:fldChar w:fldCharType="end"/>
      </w:r>
    </w:p>
    <w:p w14:paraId="566F0A00">
      <w:pPr>
        <w:spacing w:after="200" w:line="400" w:lineRule="atLeast"/>
      </w:pPr>
      <w:r>
        <w:fldChar w:fldCharType="begin"/>
      </w:r>
      <w:r>
        <w:instrText xml:space="preserve"> HYPERLINK "https://www.unesco.org/en/mondiacult/publications#%3A~%3Atext%3DUNESCO%20will%20publish%2C%20at%20MONDIACULT%2Cfrom%20heritage%2C%20creativity%20to%20cities." \h </w:instrText>
      </w:r>
      <w:r>
        <w:fldChar w:fldCharType="separate"/>
      </w:r>
      <w:r>
        <w:rPr>
          <w:rStyle w:val="13"/>
          <w:color w:val="0563C1"/>
        </w:rPr>
        <w:t>[41,97]. Global Report</w:t>
      </w:r>
      <w:r>
        <w:rPr>
          <w:rStyle w:val="13"/>
          <w:color w:val="0563C1"/>
        </w:rPr>
        <w:fldChar w:fldCharType="end"/>
      </w:r>
    </w:p>
    <w:p w14:paraId="398A7F60">
      <w:pPr>
        <w:spacing w:after="200" w:line="400" w:lineRule="atLeast"/>
      </w:pPr>
      <w:r>
        <w:fldChar w:fldCharType="begin"/>
      </w:r>
      <w:r>
        <w:instrText xml:space="preserve"> HYPERLINK "https://revistas.ucm.es/index.php/ARTE/article/download/102586/4564456574248/4564456764749" \h </w:instrText>
      </w:r>
      <w:r>
        <w:fldChar w:fldCharType="separate"/>
      </w:r>
      <w:r>
        <w:rPr>
          <w:rStyle w:val="13"/>
          <w:color w:val="0563C1"/>
        </w:rPr>
        <w:t>[42,99,104]. Mércres de arte: el museo como aula educativa, inclusiva y transformadora</w:t>
      </w:r>
      <w:r>
        <w:rPr>
          <w:rStyle w:val="13"/>
          <w:color w:val="0563C1"/>
        </w:rPr>
        <w:fldChar w:fldCharType="end"/>
      </w:r>
    </w:p>
    <w:p w14:paraId="268103A8">
      <w:pPr>
        <w:spacing w:after="200" w:line="400" w:lineRule="atLeast"/>
      </w:pPr>
      <w:r>
        <w:fldChar w:fldCharType="begin"/>
      </w:r>
      <w:r>
        <w:instrText xml:space="preserve"> HYPERLINK "https://www.mmb.cat/wp-content/uploads/2019/02/Actes-5%C3%A8-Congr%C3%A9s-Internacional-dEducaci%C3%B3-i-Accessibilitat-a-museus-i-patrimoni.-vol-2.pdf" \h </w:instrText>
      </w:r>
      <w:r>
        <w:fldChar w:fldCharType="separate"/>
      </w:r>
      <w:r>
        <w:rPr>
          <w:rStyle w:val="13"/>
          <w:color w:val="0563C1"/>
        </w:rPr>
        <w:t>[43,94,103,113,299]. 5è Congrés Internacional Educació i accessibilitat a museus i patrimoni</w:t>
      </w:r>
      <w:r>
        <w:rPr>
          <w:rStyle w:val="13"/>
          <w:color w:val="0563C1"/>
        </w:rPr>
        <w:fldChar w:fldCharType="end"/>
      </w:r>
    </w:p>
    <w:p w14:paraId="3CF39D98">
      <w:pPr>
        <w:spacing w:after="200" w:line="400" w:lineRule="atLeast"/>
      </w:pPr>
      <w:r>
        <w:fldChar w:fldCharType="begin"/>
      </w:r>
      <w:r>
        <w:instrText xml:space="preserve"> HYPERLINK "https://uvadoc.uva.es/bitstream/handle/10324/54360/Educacion-patrimonial-inclusiva-en-OEPE.pdf?sequence=1&amp;isAllowed=y" \h </w:instrText>
      </w:r>
      <w:r>
        <w:fldChar w:fldCharType="separate"/>
      </w:r>
      <w:r>
        <w:rPr>
          <w:rStyle w:val="13"/>
          <w:color w:val="0563C1"/>
        </w:rPr>
        <w:t>[44,51,90,93,98,320,321]. Educación Patrimonial Inclusiva en OEPE: un estudio prospectivo</w:t>
      </w:r>
      <w:r>
        <w:rPr>
          <w:rStyle w:val="13"/>
          <w:color w:val="0563C1"/>
        </w:rPr>
        <w:fldChar w:fldCharType="end"/>
      </w:r>
    </w:p>
    <w:p w14:paraId="0DE8C935">
      <w:pPr>
        <w:spacing w:after="200" w:line="400" w:lineRule="atLeast"/>
      </w:pPr>
      <w:r>
        <w:fldChar w:fldCharType="begin"/>
      </w:r>
      <w:r>
        <w:instrText xml:space="preserve"> HYPERLINK "https://koara.lib.keio.ac.jp/xoonips/modules/xoonips/download.php/KO40001002-20246302-0003.pdf?file_id=184806" \h </w:instrText>
      </w:r>
      <w:r>
        <w:fldChar w:fldCharType="separate"/>
      </w:r>
      <w:r>
        <w:rPr>
          <w:rStyle w:val="13"/>
          <w:color w:val="0563C1"/>
        </w:rPr>
        <w:t>[46,47,48,105,106,107,108,109,110,301,302,306,307,308,309]. Creating an Inclusive University Museum Experience for International Students through Object-Based Learning</w:t>
      </w:r>
      <w:r>
        <w:rPr>
          <w:rStyle w:val="13"/>
          <w:color w:val="0563C1"/>
        </w:rPr>
        <w:fldChar w:fldCharType="end"/>
      </w:r>
    </w:p>
    <w:p w14:paraId="600A78D2">
      <w:pPr>
        <w:spacing w:after="200" w:line="400" w:lineRule="atLeast"/>
      </w:pPr>
      <w:r>
        <w:fldChar w:fldCharType="begin"/>
      </w:r>
      <w:r>
        <w:instrText xml:space="preserve"> HYPERLINK "https://www.unesco.org/en/articles/museum-everyone-accessible-museums-inclusive-future" \h </w:instrText>
      </w:r>
      <w:r>
        <w:fldChar w:fldCharType="separate"/>
      </w:r>
      <w:r>
        <w:rPr>
          <w:rStyle w:val="13"/>
          <w:color w:val="0563C1"/>
        </w:rPr>
        <w:t>[50]. Museum for Everyone: Accessible Museums, Inclusive Future</w:t>
      </w:r>
      <w:r>
        <w:rPr>
          <w:rStyle w:val="13"/>
          <w:color w:val="0563C1"/>
        </w:rPr>
        <w:fldChar w:fldCharType="end"/>
      </w:r>
    </w:p>
    <w:p w14:paraId="3E0889AB">
      <w:pPr>
        <w:spacing w:after="200" w:line="400" w:lineRule="atLeast"/>
      </w:pPr>
      <w:r>
        <w:fldChar w:fldCharType="begin"/>
      </w:r>
      <w:r>
        <w:instrText xml:space="preserve"> HYPERLINK "https://www.163.com/dy/article/JHKGLGFN0530QRMB.html" \h </w:instrText>
      </w:r>
      <w:r>
        <w:fldChar w:fldCharType="separate"/>
      </w:r>
      <w:r>
        <w:rPr>
          <w:rStyle w:val="13"/>
          <w:color w:val="0563C1"/>
        </w:rPr>
        <w:t>[52]. 非正式学习环境具有极为重要的意义</w:t>
      </w:r>
      <w:r>
        <w:rPr>
          <w:rStyle w:val="13"/>
          <w:color w:val="0563C1"/>
        </w:rPr>
        <w:fldChar w:fldCharType="end"/>
      </w:r>
    </w:p>
    <w:p w14:paraId="35F9E4EC">
      <w:pPr>
        <w:spacing w:after="200" w:line="400" w:lineRule="atLeast"/>
      </w:pPr>
      <w:r>
        <w:fldChar w:fldCharType="begin"/>
      </w:r>
      <w:r>
        <w:instrText xml:space="preserve"> HYPERLINK "http://www.360doc.com/content/08/1104/12/81172_1876620.shtml" \h </w:instrText>
      </w:r>
      <w:r>
        <w:fldChar w:fldCharType="separate"/>
      </w:r>
      <w:r>
        <w:rPr>
          <w:rStyle w:val="13"/>
          <w:color w:val="0563C1"/>
        </w:rPr>
        <w:t>[53]. 非正式学习</w:t>
      </w:r>
      <w:r>
        <w:rPr>
          <w:rStyle w:val="13"/>
          <w:color w:val="0563C1"/>
        </w:rPr>
        <w:fldChar w:fldCharType="end"/>
      </w:r>
    </w:p>
    <w:p w14:paraId="473388FA">
      <w:pPr>
        <w:spacing w:after="200" w:line="400" w:lineRule="atLeast"/>
      </w:pPr>
      <w:r>
        <w:fldChar w:fldCharType="begin"/>
      </w:r>
      <w:r>
        <w:instrText xml:space="preserve"> HYPERLINK "https://m.douban.com/book/subject/26462354/" \h </w:instrText>
      </w:r>
      <w:r>
        <w:fldChar w:fldCharType="separate"/>
      </w:r>
      <w:r>
        <w:rPr>
          <w:rStyle w:val="13"/>
          <w:color w:val="0563C1"/>
        </w:rPr>
        <w:t>[54,55,319]. 非正式环境下的科学学习</w:t>
      </w:r>
      <w:r>
        <w:rPr>
          <w:rStyle w:val="13"/>
          <w:color w:val="0563C1"/>
        </w:rPr>
        <w:fldChar w:fldCharType="end"/>
      </w:r>
    </w:p>
    <w:p w14:paraId="3E6493AC">
      <w:pPr>
        <w:spacing w:after="200" w:line="400" w:lineRule="atLeast"/>
      </w:pPr>
      <w:r>
        <w:fldChar w:fldCharType="begin"/>
      </w:r>
      <w:r>
        <w:instrText xml:space="preserve"> HYPERLINK "https://hfahwqczalka895040.cdn.gov-ntruss.com/op/2023/07/18/5da86ae0c9a34fb2839cf6b0ac287a0f.pdf" \h </w:instrText>
      </w:r>
      <w:r>
        <w:fldChar w:fldCharType="separate"/>
      </w:r>
      <w:r>
        <w:rPr>
          <w:rStyle w:val="13"/>
          <w:color w:val="0563C1"/>
        </w:rPr>
        <w:t>[56]. 박물관 디지털 교육 동향 및 과제 조사</w:t>
      </w:r>
      <w:r>
        <w:rPr>
          <w:rStyle w:val="13"/>
          <w:color w:val="0563C1"/>
        </w:rPr>
        <w:fldChar w:fldCharType="end"/>
      </w:r>
    </w:p>
    <w:p w14:paraId="24FE641D">
      <w:pPr>
        <w:spacing w:after="200" w:line="400" w:lineRule="atLeast"/>
      </w:pPr>
      <w:r>
        <w:fldChar w:fldCharType="begin"/>
      </w:r>
      <w:r>
        <w:instrText xml:space="preserve"> HYPERLINK "https://idg.org.br/download/arquivo/Relat%C3%B3rio+de+Gest%C3%A3o+CG+881+de+2020+ano+5+2Q+%28mai-2025+a+ago-2025%29.pdf?id=5646" \h </w:instrText>
      </w:r>
      <w:r>
        <w:fldChar w:fldCharType="separate"/>
      </w:r>
      <w:r>
        <w:rPr>
          <w:rStyle w:val="13"/>
          <w:color w:val="0563C1"/>
        </w:rPr>
        <w:t>[59,265]. Relatório de Atividades Museu do Amanhã</w:t>
      </w:r>
      <w:r>
        <w:rPr>
          <w:rStyle w:val="13"/>
          <w:color w:val="0563C1"/>
        </w:rPr>
        <w:fldChar w:fldCharType="end"/>
      </w:r>
    </w:p>
    <w:p w14:paraId="39DF0A9B">
      <w:pPr>
        <w:spacing w:after="200" w:line="400" w:lineRule="atLeast"/>
      </w:pPr>
      <w:r>
        <w:fldChar w:fldCharType="begin"/>
      </w:r>
      <w:r>
        <w:instrText xml:space="preserve"> HYPERLINK "https://server.ceaglobalinitiative.com/uploads/article/20250515/1747277834_ffefa7aae8831fdc3a0a.pdf" \h </w:instrText>
      </w:r>
      <w:r>
        <w:fldChar w:fldCharType="separate"/>
      </w:r>
      <w:r>
        <w:rPr>
          <w:rStyle w:val="13"/>
          <w:color w:val="0563C1"/>
        </w:rPr>
        <w:t>[61,66]. Museums in Motion: 2025 China Report by the China-Europe-America Museums Cooperation Initiative</w:t>
      </w:r>
      <w:r>
        <w:rPr>
          <w:rStyle w:val="13"/>
          <w:color w:val="0563C1"/>
        </w:rPr>
        <w:fldChar w:fldCharType="end"/>
      </w:r>
    </w:p>
    <w:p w14:paraId="45D96C76">
      <w:pPr>
        <w:spacing w:after="200" w:line="400" w:lineRule="atLeast"/>
      </w:pPr>
      <w:r>
        <w:fldChar w:fldCharType="begin"/>
      </w:r>
      <w:r>
        <w:instrText xml:space="preserve"> HYPERLINK "https://media.bs.ch/original_file/26e6daf61fc26202cc997706059c2a2d0a05a2e1/budget-2025-0.pdf" \h </w:instrText>
      </w:r>
      <w:r>
        <w:fldChar w:fldCharType="separate"/>
      </w:r>
      <w:r>
        <w:rPr>
          <w:rStyle w:val="13"/>
          <w:color w:val="0563C1"/>
        </w:rPr>
        <w:t>[68]. Budgetbericht 2025</w:t>
      </w:r>
      <w:r>
        <w:rPr>
          <w:rStyle w:val="13"/>
          <w:color w:val="0563C1"/>
        </w:rPr>
        <w:fldChar w:fldCharType="end"/>
      </w:r>
    </w:p>
    <w:p w14:paraId="77CD1C47">
      <w:pPr>
        <w:spacing w:after="200" w:line="400" w:lineRule="atLeast"/>
      </w:pPr>
      <w:r>
        <w:fldChar w:fldCharType="begin"/>
      </w:r>
      <w:r>
        <w:instrText xml:space="preserve"> HYPERLINK "https://www.patrimoniocultural.gob.cl/sites/www.patrimoniocultural.gob.cl/files/2025-10/Informe%20Cuenta%20P%C3%BAblica%20Participativa%20SERPAT%202025.docx" \h </w:instrText>
      </w:r>
      <w:r>
        <w:fldChar w:fldCharType="separate"/>
      </w:r>
      <w:r>
        <w:rPr>
          <w:rStyle w:val="13"/>
          <w:color w:val="0563C1"/>
        </w:rPr>
        <w:t>[69]. CUENTA PÚBLICA PARTICIPATIVA 2025 SERVICIO NACIONAL DEL PATRIMONIO CULTURAL</w:t>
      </w:r>
      <w:r>
        <w:rPr>
          <w:rStyle w:val="13"/>
          <w:color w:val="0563C1"/>
        </w:rPr>
        <w:fldChar w:fldCharType="end"/>
      </w:r>
    </w:p>
    <w:p w14:paraId="1CB59D47">
      <w:pPr>
        <w:spacing w:after="200" w:line="400" w:lineRule="atLeast"/>
      </w:pPr>
      <w:r>
        <w:fldChar w:fldCharType="begin"/>
      </w:r>
      <w:r>
        <w:instrText xml:space="preserve"> HYPERLINK "https://www.mext.go.jp/content/20230825-kanseisk01-100000117-2023005.pdf" \h </w:instrText>
      </w:r>
      <w:r>
        <w:fldChar w:fldCharType="separate"/>
      </w:r>
      <w:r>
        <w:rPr>
          <w:rStyle w:val="13"/>
          <w:color w:val="0563C1"/>
        </w:rPr>
        <w:t>[70]. 独立行政法人国立文化財機構の令和5年度における業務の実績に関する評価</w:t>
      </w:r>
      <w:r>
        <w:rPr>
          <w:rStyle w:val="13"/>
          <w:color w:val="0563C1"/>
        </w:rPr>
        <w:fldChar w:fldCharType="end"/>
      </w:r>
    </w:p>
    <w:p w14:paraId="60807ED1">
      <w:pPr>
        <w:spacing w:after="200" w:line="400" w:lineRule="atLeast"/>
      </w:pPr>
      <w:r>
        <w:fldChar w:fldCharType="begin"/>
      </w:r>
      <w:r>
        <w:instrText xml:space="preserve"> HYPERLINK "https://files.metaso.cn/api/public-file/preview?fileName=8678649921291276288.pdf" \h </w:instrText>
      </w:r>
      <w:r>
        <w:fldChar w:fldCharType="separate"/>
      </w:r>
      <w:r>
        <w:rPr>
          <w:rStyle w:val="13"/>
          <w:color w:val="0563C1"/>
        </w:rPr>
        <w:t>[71,262,263]. 资料分析 1200题 解析篇</w:t>
      </w:r>
      <w:r>
        <w:rPr>
          <w:rStyle w:val="13"/>
          <w:color w:val="0563C1"/>
        </w:rPr>
        <w:fldChar w:fldCharType="end"/>
      </w:r>
    </w:p>
    <w:p w14:paraId="1B4E37AC">
      <w:pPr>
        <w:spacing w:after="200" w:line="400" w:lineRule="atLeast"/>
      </w:pPr>
      <w:r>
        <w:fldChar w:fldCharType="begin"/>
      </w:r>
      <w:r>
        <w:instrText xml:space="preserve"> HYPERLINK "https://files.metaso.cn/api/public-file/preview?fileName=8675906251137069056.pdf" \h </w:instrText>
      </w:r>
      <w:r>
        <w:fldChar w:fldCharType="separate"/>
      </w:r>
      <w:r>
        <w:rPr>
          <w:rStyle w:val="13"/>
          <w:color w:val="0563C1"/>
        </w:rPr>
        <w:t>[72,258,259,269,270]. 在中国式现代化建设中展现更大作为——习近平总书记在听取吉林省委和省政府工作汇报时的重要讲话引发热烈反响</w:t>
      </w:r>
      <w:r>
        <w:rPr>
          <w:rStyle w:val="13"/>
          <w:color w:val="0563C1"/>
        </w:rPr>
        <w:fldChar w:fldCharType="end"/>
      </w:r>
    </w:p>
    <w:p w14:paraId="71448068">
      <w:pPr>
        <w:spacing w:after="200" w:line="400" w:lineRule="atLeast"/>
      </w:pPr>
      <w:r>
        <w:fldChar w:fldCharType="begin"/>
      </w:r>
      <w:r>
        <w:instrText xml:space="preserve"> HYPERLINK "https://www.360doc.cn/article/3320305_1169627587.html" \h </w:instrText>
      </w:r>
      <w:r>
        <w:fldChar w:fldCharType="separate"/>
      </w:r>
      <w:r>
        <w:rPr>
          <w:rStyle w:val="13"/>
          <w:color w:val="0563C1"/>
        </w:rPr>
        <w:t>[75,274,276]. 美国博物馆2025年的发展趋势与启示</w:t>
      </w:r>
      <w:r>
        <w:rPr>
          <w:rStyle w:val="13"/>
          <w:color w:val="0563C1"/>
        </w:rPr>
        <w:fldChar w:fldCharType="end"/>
      </w:r>
    </w:p>
    <w:p w14:paraId="3D14E666">
      <w:pPr>
        <w:spacing w:after="200" w:line="400" w:lineRule="atLeast"/>
      </w:pPr>
      <w:r>
        <w:fldChar w:fldCharType="begin"/>
      </w:r>
      <w:r>
        <w:instrText xml:space="preserve"> HYPERLINK "https://midamericamuseum.org/wp-content/uploads/2025/03/2025-2027-Institutional-Plan.pdf" \h </w:instrText>
      </w:r>
      <w:r>
        <w:fldChar w:fldCharType="separate"/>
      </w:r>
      <w:r>
        <w:rPr>
          <w:rStyle w:val="13"/>
          <w:color w:val="0563C1"/>
        </w:rPr>
        <w:t>[76]. INSTITUTIONAL PLAN 2025 through 2027</w:t>
      </w:r>
      <w:r>
        <w:rPr>
          <w:rStyle w:val="13"/>
          <w:color w:val="0563C1"/>
        </w:rPr>
        <w:fldChar w:fldCharType="end"/>
      </w:r>
    </w:p>
    <w:p w14:paraId="7E995782">
      <w:pPr>
        <w:spacing w:after="200" w:line="400" w:lineRule="atLeast"/>
      </w:pPr>
      <w:r>
        <w:fldChar w:fldCharType="begin"/>
      </w:r>
      <w:r>
        <w:instrText xml:space="preserve"> HYPERLINK "https://pdfs.semanticscholar.org/4033/98aefcd436c043fa87efbb3e9a19137537f3.pdf" \h </w:instrText>
      </w:r>
      <w:r>
        <w:fldChar w:fldCharType="separate"/>
      </w:r>
      <w:r>
        <w:rPr>
          <w:rStyle w:val="13"/>
          <w:color w:val="0563C1"/>
        </w:rPr>
        <w:t>[78,282]. Museum-Based Distance Learning Programs: Current Practices and Future Research Opportunities</w:t>
      </w:r>
      <w:r>
        <w:rPr>
          <w:rStyle w:val="13"/>
          <w:color w:val="0563C1"/>
        </w:rPr>
        <w:fldChar w:fldCharType="end"/>
      </w:r>
    </w:p>
    <w:p w14:paraId="6F7FEB1C">
      <w:pPr>
        <w:spacing w:after="200" w:line="400" w:lineRule="atLeast"/>
      </w:pPr>
      <w:r>
        <w:fldChar w:fldCharType="begin"/>
      </w:r>
      <w:r>
        <w:instrText xml:space="preserve"> HYPERLINK "https://www.aamg-us.org/wp/wp-content/uploads/2023/04/AAMG-Operational-Data-Collections-Report-Incl-Data-Sheets.pdf" \h </w:instrText>
      </w:r>
      <w:r>
        <w:fldChar w:fldCharType="separate"/>
      </w:r>
      <w:r>
        <w:rPr>
          <w:rStyle w:val="13"/>
          <w:color w:val="0563C1"/>
        </w:rPr>
        <w:t>[80,81,82]. AAMG 2022 Operational Data Collection</w:t>
      </w:r>
      <w:r>
        <w:rPr>
          <w:rStyle w:val="13"/>
          <w:color w:val="0563C1"/>
        </w:rPr>
        <w:fldChar w:fldCharType="end"/>
      </w:r>
    </w:p>
    <w:p w14:paraId="1535B885">
      <w:pPr>
        <w:spacing w:after="200" w:line="400" w:lineRule="atLeast"/>
      </w:pPr>
      <w:r>
        <w:fldChar w:fldCharType="begin"/>
      </w:r>
      <w:r>
        <w:instrText xml:space="preserve"> HYPERLINK "https://scholarworks.calstate.edu/downloads/st74cw64j" \h </w:instrText>
      </w:r>
      <w:r>
        <w:fldChar w:fldCharType="separate"/>
      </w:r>
      <w:r>
        <w:rPr>
          <w:rStyle w:val="13"/>
          <w:color w:val="0563C1"/>
        </w:rPr>
        <w:t>[83]. DIVERSITY, EQUITY, ACCESSIBILITY, AND INCLUSION IN AMERICAN MUSEUMS: DEVELOPMENT, IMPLEMENTATION, AND EVALUATION</w:t>
      </w:r>
      <w:r>
        <w:rPr>
          <w:rStyle w:val="13"/>
          <w:color w:val="0563C1"/>
        </w:rPr>
        <w:fldChar w:fldCharType="end"/>
      </w:r>
    </w:p>
    <w:p w14:paraId="0F5D7595">
      <w:pPr>
        <w:spacing w:after="200" w:line="400" w:lineRule="atLeast"/>
      </w:pPr>
      <w:r>
        <w:fldChar w:fldCharType="begin"/>
      </w:r>
      <w:r>
        <w:instrText xml:space="preserve"> HYPERLINK "https://www.museum-ed.org/wp-content/uploads/2011/01/2003SurveyReportfinal.pdf" \h </w:instrText>
      </w:r>
      <w:r>
        <w:fldChar w:fldCharType="separate"/>
      </w:r>
      <w:r>
        <w:rPr>
          <w:rStyle w:val="13"/>
          <w:color w:val="0563C1"/>
        </w:rPr>
        <w:t>[84]. 2003 Art Museum Education Programs Survey</w:t>
      </w:r>
      <w:r>
        <w:rPr>
          <w:rStyle w:val="13"/>
          <w:color w:val="0563C1"/>
        </w:rPr>
        <w:fldChar w:fldCharType="end"/>
      </w:r>
    </w:p>
    <w:p w14:paraId="26A98B72">
      <w:pPr>
        <w:spacing w:after="200" w:line="400" w:lineRule="atLeast"/>
      </w:pPr>
      <w:r>
        <w:fldChar w:fldCharType="begin"/>
      </w:r>
      <w:r>
        <w:instrText xml:space="preserve"> HYPERLINK "https://hillstrategies.com/2016/09/28/building-the-future-of-education-museums-and-the-learning-ecosystem/" \h </w:instrText>
      </w:r>
      <w:r>
        <w:fldChar w:fldCharType="separate"/>
      </w:r>
      <w:r>
        <w:rPr>
          <w:rStyle w:val="13"/>
          <w:color w:val="0563C1"/>
        </w:rPr>
        <w:t>[85,281]. Building the Future of Education: Museums and the Learning Ecosystem</w:t>
      </w:r>
      <w:r>
        <w:rPr>
          <w:rStyle w:val="13"/>
          <w:color w:val="0563C1"/>
        </w:rPr>
        <w:fldChar w:fldCharType="end"/>
      </w:r>
    </w:p>
    <w:p w14:paraId="0A919CFE">
      <w:pPr>
        <w:spacing w:after="200" w:line="400" w:lineRule="atLeast"/>
      </w:pPr>
      <w:r>
        <w:fldChar w:fldCharType="begin"/>
      </w:r>
      <w:r>
        <w:instrText xml:space="preserve"> HYPERLINK "https://southwestmuseums.org.uk/wp-content/uploads/2025/05/Single-site-questions-Annual-Museum-Survey-2025.pdf" \h </w:instrText>
      </w:r>
      <w:r>
        <w:fldChar w:fldCharType="separate"/>
      </w:r>
      <w:r>
        <w:rPr>
          <w:rStyle w:val="13"/>
          <w:color w:val="0563C1"/>
        </w:rPr>
        <w:t>[86]. Annual Museum Survey 2025: Questions for single-site museums</w:t>
      </w:r>
      <w:r>
        <w:rPr>
          <w:rStyle w:val="13"/>
          <w:color w:val="0563C1"/>
        </w:rPr>
        <w:fldChar w:fldCharType="end"/>
      </w:r>
    </w:p>
    <w:p w14:paraId="15B72EE2">
      <w:pPr>
        <w:spacing w:after="200" w:line="400" w:lineRule="atLeast"/>
      </w:pPr>
      <w:r>
        <w:fldChar w:fldCharType="begin"/>
      </w:r>
      <w:r>
        <w:instrText xml:space="preserve"> HYPERLINK "https://www.ibermuseos.org/wp-content/uploads/2020/05/caderno-da-pnem-bra-compressed-1.pdf" \h </w:instrText>
      </w:r>
      <w:r>
        <w:fldChar w:fldCharType="separate"/>
      </w:r>
      <w:r>
        <w:rPr>
          <w:rStyle w:val="13"/>
          <w:color w:val="0563C1"/>
        </w:rPr>
        <w:t>[89,92,111,112,125,129,288]. Caderno da Política Nacional de Educação Museal</w:t>
      </w:r>
      <w:r>
        <w:rPr>
          <w:rStyle w:val="13"/>
          <w:color w:val="0563C1"/>
        </w:rPr>
        <w:fldChar w:fldCharType="end"/>
      </w:r>
    </w:p>
    <w:p w14:paraId="31C3B63D">
      <w:pPr>
        <w:spacing w:after="200" w:line="400" w:lineRule="atLeast"/>
      </w:pPr>
      <w:r>
        <w:fldChar w:fldCharType="begin"/>
      </w:r>
      <w:r>
        <w:instrText xml:space="preserve"> HYPERLINK "https://ciec.edu.co/wp-content/uploads/2023/01/Lifelong_learning_Aprendizaje_para_toda_la_vida_1673300462.pdf" \h </w:instrText>
      </w:r>
      <w:r>
        <w:fldChar w:fldCharType="separate"/>
      </w:r>
      <w:r>
        <w:rPr>
          <w:rStyle w:val="13"/>
          <w:color w:val="0563C1"/>
        </w:rPr>
        <w:t>[95,294,376]. Hacer del aprendizaje a lo largo de toda la vida una realidad: Un Manual</w:t>
      </w:r>
      <w:r>
        <w:rPr>
          <w:rStyle w:val="13"/>
          <w:color w:val="0563C1"/>
        </w:rPr>
        <w:fldChar w:fldCharType="end"/>
      </w:r>
    </w:p>
    <w:p w14:paraId="222D1DFA">
      <w:pPr>
        <w:spacing w:after="200" w:line="400" w:lineRule="atLeast"/>
      </w:pPr>
      <w:r>
        <w:fldChar w:fldCharType="begin"/>
      </w:r>
      <w:r>
        <w:instrText xml:space="preserve"> HYPERLINK "https://www.observal.es/images/easyblog_articles/281/232656eng.pdf" \h </w:instrText>
      </w:r>
      <w:r>
        <w:fldChar w:fldCharType="separate"/>
      </w:r>
      <w:r>
        <w:rPr>
          <w:rStyle w:val="13"/>
          <w:color w:val="0563C1"/>
        </w:rPr>
        <w:t>[96]. Recognition, Validation and Accreditation of Non-formal and Informal Learning in UNESCO Member States</w:t>
      </w:r>
      <w:r>
        <w:rPr>
          <w:rStyle w:val="13"/>
          <w:color w:val="0563C1"/>
        </w:rPr>
        <w:fldChar w:fldCharType="end"/>
      </w:r>
    </w:p>
    <w:p w14:paraId="4A2BB58D">
      <w:pPr>
        <w:spacing w:after="200" w:line="400" w:lineRule="atLeast"/>
      </w:pPr>
      <w:r>
        <w:fldChar w:fldCharType="begin"/>
      </w:r>
      <w:r>
        <w:instrText xml:space="preserve"> HYPERLINK "https://baike.baidu.com/item/%E5%8D%9A%E7%89%A9%E9%A6%86%E8%BF%90%E8%A1%8C%E8%AF%84%E4%BC%B0%E6%A0%87%E5%87%86/62333937" \h </w:instrText>
      </w:r>
      <w:r>
        <w:fldChar w:fldCharType="separate"/>
      </w:r>
      <w:r>
        <w:rPr>
          <w:rStyle w:val="13"/>
          <w:color w:val="0563C1"/>
        </w:rPr>
        <w:t>[100,291,304,305,316]. 《博物馆运行评估标准》</w:t>
      </w:r>
      <w:r>
        <w:rPr>
          <w:rStyle w:val="13"/>
          <w:color w:val="0563C1"/>
        </w:rPr>
        <w:fldChar w:fldCharType="end"/>
      </w:r>
    </w:p>
    <w:p w14:paraId="3EDBBC84">
      <w:pPr>
        <w:spacing w:after="200" w:line="400" w:lineRule="atLeast"/>
      </w:pPr>
      <w:r>
        <w:fldChar w:fldCharType="begin"/>
      </w:r>
      <w:r>
        <w:instrText xml:space="preserve"> HYPERLINK "https://inee.org/sites/default/files/resources/137522eng.pdf" \h </w:instrText>
      </w:r>
      <w:r>
        <w:fldChar w:fldCharType="separate"/>
      </w:r>
      <w:r>
        <w:rPr>
          <w:rStyle w:val="13"/>
          <w:color w:val="0563C1"/>
        </w:rPr>
        <w:t>[101,295,296,377]. Embracing Diversity: Toolkit for Creating Inclusive, Learning-Friendly Environments</w:t>
      </w:r>
      <w:r>
        <w:rPr>
          <w:rStyle w:val="13"/>
          <w:color w:val="0563C1"/>
        </w:rPr>
        <w:fldChar w:fldCharType="end"/>
      </w:r>
    </w:p>
    <w:p w14:paraId="03322D2B">
      <w:pPr>
        <w:spacing w:after="200" w:line="400" w:lineRule="atLeast"/>
      </w:pPr>
      <w:r>
        <w:fldChar w:fldCharType="begin"/>
      </w:r>
      <w:r>
        <w:instrText xml:space="preserve"> HYPERLINK "https://periodicos.apps.uern.br/index.php/RECEI/article/download/3352/2790" \h </w:instrText>
      </w:r>
      <w:r>
        <w:fldChar w:fldCharType="separate"/>
      </w:r>
      <w:r>
        <w:rPr>
          <w:rStyle w:val="13"/>
          <w:color w:val="0563C1"/>
        </w:rPr>
        <w:t>[114,121]. AS POLÍTICAS PÚBLICAS DA EDUCAÇÃO MUSEAL</w:t>
      </w:r>
      <w:r>
        <w:rPr>
          <w:rStyle w:val="13"/>
          <w:color w:val="0563C1"/>
        </w:rPr>
        <w:fldChar w:fldCharType="end"/>
      </w:r>
    </w:p>
    <w:p w14:paraId="318D22DE">
      <w:pPr>
        <w:spacing w:after="200" w:line="400" w:lineRule="atLeast"/>
      </w:pPr>
      <w:r>
        <w:fldChar w:fldCharType="begin"/>
      </w:r>
      <w:r>
        <w:instrText xml:space="preserve"> HYPERLINK "https://ceca.mini.icom.museum/wp-content/uploads/sites/5/2018/12/IcomCeca2011.pdf" \h </w:instrText>
      </w:r>
      <w:r>
        <w:fldChar w:fldCharType="separate"/>
      </w:r>
      <w:r>
        <w:rPr>
          <w:rStyle w:val="13"/>
          <w:color w:val="0563C1"/>
        </w:rPr>
        <w:t>[115]. OLD QUESTIONS, NEW ANSWERS: quality criteria for museum education</w:t>
      </w:r>
      <w:r>
        <w:rPr>
          <w:rStyle w:val="13"/>
          <w:color w:val="0563C1"/>
        </w:rPr>
        <w:fldChar w:fldCharType="end"/>
      </w:r>
    </w:p>
    <w:p w14:paraId="728D5FF2">
      <w:pPr>
        <w:spacing w:after="200" w:line="400" w:lineRule="atLeast"/>
      </w:pPr>
      <w:r>
        <w:fldChar w:fldCharType="begin"/>
      </w:r>
      <w:r>
        <w:instrText xml:space="preserve"> HYPERLINK "http://brightmindpublishing.com/index.php/EI/article/download/140/162" \h </w:instrText>
      </w:r>
      <w:r>
        <w:fldChar w:fldCharType="separate"/>
      </w:r>
      <w:r>
        <w:rPr>
          <w:rStyle w:val="13"/>
          <w:color w:val="0563C1"/>
        </w:rPr>
        <w:t>[117,132]. INTERNATIONAL COUNCIL OF MUSEUMS ICOM</w:t>
      </w:r>
      <w:r>
        <w:rPr>
          <w:rStyle w:val="13"/>
          <w:color w:val="0563C1"/>
        </w:rPr>
        <w:fldChar w:fldCharType="end"/>
      </w:r>
    </w:p>
    <w:p w14:paraId="5518115E">
      <w:pPr>
        <w:spacing w:after="200" w:line="400" w:lineRule="atLeast"/>
      </w:pPr>
      <w:r>
        <w:fldChar w:fldCharType="begin"/>
      </w:r>
      <w:r>
        <w:instrText xml:space="preserve"> HYPERLINK "https://files.metaso.cn/api/public-file/preview?fileName=8694310299568136192.pdf" \h </w:instrText>
      </w:r>
      <w:r>
        <w:fldChar w:fldCharType="separate"/>
      </w:r>
      <w:r>
        <w:rPr>
          <w:rStyle w:val="13"/>
          <w:color w:val="0563C1"/>
        </w:rPr>
        <w:t>[119,122,378]. 人工智能与文化研究报告</w:t>
      </w:r>
      <w:r>
        <w:rPr>
          <w:rStyle w:val="13"/>
          <w:color w:val="0563C1"/>
        </w:rPr>
        <w:fldChar w:fldCharType="end"/>
      </w:r>
    </w:p>
    <w:p w14:paraId="23896F63">
      <w:pPr>
        <w:spacing w:after="200" w:line="400" w:lineRule="atLeast"/>
      </w:pPr>
      <w:r>
        <w:fldChar w:fldCharType="begin"/>
      </w:r>
      <w:r>
        <w:instrText xml:space="preserve"> HYPERLINK "https://iite.unesco.org/files/policy_briefs/pdf/en/Museum%20Education.pdf" \h </w:instrText>
      </w:r>
      <w:r>
        <w:fldChar w:fldCharType="separate"/>
      </w:r>
      <w:r>
        <w:rPr>
          <w:rStyle w:val="13"/>
          <w:color w:val="0563C1"/>
        </w:rPr>
        <w:t>[120]. ICTs IN MUSEUM EDUCATION</w:t>
      </w:r>
      <w:r>
        <w:rPr>
          <w:rStyle w:val="13"/>
          <w:color w:val="0563C1"/>
        </w:rPr>
        <w:fldChar w:fldCharType="end"/>
      </w:r>
    </w:p>
    <w:p w14:paraId="252B55FC">
      <w:pPr>
        <w:spacing w:after="200" w:line="400" w:lineRule="atLeast"/>
      </w:pPr>
      <w:r>
        <w:fldChar w:fldCharType="begin"/>
      </w:r>
      <w:r>
        <w:instrText xml:space="preserve"> HYPERLINK "https://nckultur.org/wp-content/uploads/2013/06/Zipsane_Heritage-Learning_a-question-of-here-and-now.pdf" \h </w:instrText>
      </w:r>
      <w:r>
        <w:fldChar w:fldCharType="separate"/>
      </w:r>
      <w:r>
        <w:rPr>
          <w:rStyle w:val="13"/>
          <w:color w:val="0563C1"/>
        </w:rPr>
        <w:t>[124]. On the Future of Open Air Museums</w:t>
      </w:r>
      <w:r>
        <w:rPr>
          <w:rStyle w:val="13"/>
          <w:color w:val="0563C1"/>
        </w:rPr>
        <w:fldChar w:fldCharType="end"/>
      </w:r>
    </w:p>
    <w:p w14:paraId="224528A7">
      <w:pPr>
        <w:spacing w:after="200" w:line="400" w:lineRule="atLeast"/>
      </w:pPr>
      <w:r>
        <w:fldChar w:fldCharType="begin"/>
      </w:r>
      <w:r>
        <w:instrText xml:space="preserve"> HYPERLINK "https://ceca.mini.icom.museum/wp-content/uploads/sites/5/2021/06/BP_Book_no._3.pdf#page=129" \h </w:instrText>
      </w:r>
      <w:r>
        <w:fldChar w:fldCharType="separate"/>
      </w:r>
      <w:r>
        <w:rPr>
          <w:rStyle w:val="13"/>
          <w:color w:val="0563C1"/>
        </w:rPr>
        <w:t>[126]. BEST PRACTICE 3: A tool to improve museum education internationally</w:t>
      </w:r>
      <w:r>
        <w:rPr>
          <w:rStyle w:val="13"/>
          <w:color w:val="0563C1"/>
        </w:rPr>
        <w:fldChar w:fldCharType="end"/>
      </w:r>
    </w:p>
    <w:p w14:paraId="71027C81">
      <w:pPr>
        <w:spacing w:after="200" w:line="400" w:lineRule="atLeast"/>
      </w:pPr>
      <w:r>
        <w:fldChar w:fldCharType="begin"/>
      </w:r>
      <w:r>
        <w:instrText xml:space="preserve"> HYPERLINK "https://architecture-history.org/books/A%20Manual%20For%20the%2021st%20Century%20Art%20Institution%C2%A0.pdf" \h </w:instrText>
      </w:r>
      <w:r>
        <w:fldChar w:fldCharType="separate"/>
      </w:r>
      <w:r>
        <w:rPr>
          <w:rStyle w:val="13"/>
          <w:color w:val="0563C1"/>
        </w:rPr>
        <w:t>[130]. JUST WHAT IS IT THAT MAKES TODAY'S INSTITUTIONS SO DIFFERENT? SO APPEALING?</w:t>
      </w:r>
      <w:r>
        <w:rPr>
          <w:rStyle w:val="13"/>
          <w:color w:val="0563C1"/>
        </w:rPr>
        <w:fldChar w:fldCharType="end"/>
      </w:r>
    </w:p>
    <w:p w14:paraId="23FF762D">
      <w:pPr>
        <w:spacing w:after="200" w:line="400" w:lineRule="atLeast"/>
      </w:pPr>
      <w:r>
        <w:fldChar w:fldCharType="begin"/>
      </w:r>
      <w:r>
        <w:instrText xml:space="preserve"> HYPERLINK "https://pages.charlotte.edu/karen-cox/wp-content/uploads/sites/497/2017/08/Roleofmuseumstourism.pdf" \h </w:instrText>
      </w:r>
      <w:r>
        <w:fldChar w:fldCharType="separate"/>
      </w:r>
      <w:r>
        <w:rPr>
          <w:rStyle w:val="13"/>
          <w:color w:val="0563C1"/>
        </w:rPr>
        <w:t>[133]. ROLE OF MUSEUMS IN EDUCATION AND CULTURAL TOURISM DEVELOPMENT POLICY BRIEF Kyiv-2012</w:t>
      </w:r>
      <w:r>
        <w:rPr>
          <w:rStyle w:val="13"/>
          <w:color w:val="0563C1"/>
        </w:rPr>
        <w:fldChar w:fldCharType="end"/>
      </w:r>
    </w:p>
    <w:p w14:paraId="512BBF05">
      <w:pPr>
        <w:spacing w:after="200" w:line="400" w:lineRule="atLeast"/>
      </w:pPr>
      <w:r>
        <w:fldChar w:fldCharType="begin"/>
      </w:r>
      <w:r>
        <w:instrText xml:space="preserve"> HYPERLINK "https://www.statista.com/statistics/421692/museums-england-overseas-and-uk-visitor-distribution/?srsltid=AfmBOorWLQiK_ijaFUKMZOpyYCrG2BNtgIaCZeYgHJS3b-Hz5WZmerZN" \h </w:instrText>
      </w:r>
      <w:r>
        <w:fldChar w:fldCharType="separate"/>
      </w:r>
      <w:r>
        <w:rPr>
          <w:rStyle w:val="13"/>
          <w:color w:val="0563C1"/>
        </w:rPr>
        <w:t>[134,140,156]. Distribution of UK and overseas visitors to DCMS-sponsored museums in England in 2023/2024, by museum</w:t>
      </w:r>
      <w:r>
        <w:rPr>
          <w:rStyle w:val="13"/>
          <w:color w:val="0563C1"/>
        </w:rPr>
        <w:fldChar w:fldCharType="end"/>
      </w:r>
    </w:p>
    <w:p w14:paraId="54A26F22">
      <w:pPr>
        <w:spacing w:after="200" w:line="400" w:lineRule="atLeast"/>
      </w:pPr>
      <w:r>
        <w:fldChar w:fldCharType="begin"/>
      </w:r>
      <w:r>
        <w:instrText xml:space="preserve"> HYPERLINK "https://www.statista.com/statistics/298318/museum-visitor-numbers-england-uk-by-museum/?srsltid=AfmBOoqqA2HqGkyRLnzH6JqzJvlvtOnzdhjheVj5BmvusPIhPSh57HRT" \h </w:instrText>
      </w:r>
      <w:r>
        <w:fldChar w:fldCharType="separate"/>
      </w:r>
      <w:r>
        <w:rPr>
          <w:rStyle w:val="13"/>
          <w:color w:val="0563C1"/>
        </w:rPr>
        <w:t>[135,141,157]. Number of visitors to DCMS-sponsored museums in England from 2019 to 2024, by museum (in 1,000s)</w:t>
      </w:r>
      <w:r>
        <w:rPr>
          <w:rStyle w:val="13"/>
          <w:color w:val="0563C1"/>
        </w:rPr>
        <w:fldChar w:fldCharType="end"/>
      </w:r>
    </w:p>
    <w:p w14:paraId="360E1896">
      <w:pPr>
        <w:spacing w:after="200" w:line="400" w:lineRule="atLeast"/>
      </w:pPr>
      <w:r>
        <w:fldChar w:fldCharType="begin"/>
      </w:r>
      <w:r>
        <w:instrText xml:space="preserve"> HYPERLINK "https://www.statista.com/statistics/422369/museum-overseas-visitor-numbers-england-uk-by-museum/?srsltid=AfmBOoo1E1Pj8PwHI0NMk0znZKDvj5GlMAss9kO1FDXBbHRwyoaFoBJF" \h </w:instrText>
      </w:r>
      <w:r>
        <w:fldChar w:fldCharType="separate"/>
      </w:r>
      <w:r>
        <w:rPr>
          <w:rStyle w:val="13"/>
          <w:color w:val="0563C1"/>
        </w:rPr>
        <w:t>[136,142,158]. Number of overseas visitors to DCMS-sponsored museums in England from 2019 to 2024, by museum (in 1,000s)</w:t>
      </w:r>
      <w:r>
        <w:rPr>
          <w:rStyle w:val="13"/>
          <w:color w:val="0563C1"/>
        </w:rPr>
        <w:fldChar w:fldCharType="end"/>
      </w:r>
    </w:p>
    <w:p w14:paraId="3B63AFDF">
      <w:pPr>
        <w:spacing w:after="200" w:line="400" w:lineRule="atLeast"/>
      </w:pPr>
      <w:r>
        <w:fldChar w:fldCharType="begin"/>
      </w:r>
      <w:r>
        <w:instrText xml:space="preserve"> HYPERLINK "https://repository.ifla.org/bitstreams/3c4be88c-6cb2-4dc8-8efd-941460e3245e/download" \h </w:instrText>
      </w:r>
      <w:r>
        <w:fldChar w:fldCharType="separate"/>
      </w:r>
      <w:r>
        <w:rPr>
          <w:rStyle w:val="13"/>
          <w:color w:val="0563C1"/>
        </w:rPr>
        <w:t>[137,148]. Empowering African libraries for mental wellness: Advocating for trauma-informed librarianship</w:t>
      </w:r>
      <w:r>
        <w:rPr>
          <w:rStyle w:val="13"/>
          <w:color w:val="0563C1"/>
        </w:rPr>
        <w:fldChar w:fldCharType="end"/>
      </w:r>
    </w:p>
    <w:p w14:paraId="0055265F">
      <w:pPr>
        <w:spacing w:after="200" w:line="400" w:lineRule="atLeast"/>
      </w:pPr>
      <w:r>
        <w:fldChar w:fldCharType="begin"/>
      </w:r>
      <w:r>
        <w:instrText xml:space="preserve"> HYPERLINK "https://www.gov.uk/government/publications/statistical-work-plans/dcms-official-statistics-workplan-202223" \h </w:instrText>
      </w:r>
      <w:r>
        <w:fldChar w:fldCharType="separate"/>
      </w:r>
      <w:r>
        <w:rPr>
          <w:rStyle w:val="13"/>
          <w:color w:val="0563C1"/>
        </w:rPr>
        <w:t>[139,159]. DCMS Official Statistics Workplan 2022/23</w:t>
      </w:r>
      <w:r>
        <w:rPr>
          <w:rStyle w:val="13"/>
          <w:color w:val="0563C1"/>
        </w:rPr>
        <w:fldChar w:fldCharType="end"/>
      </w:r>
    </w:p>
    <w:p w14:paraId="1F244AF6">
      <w:pPr>
        <w:spacing w:after="200" w:line="400" w:lineRule="atLeast"/>
      </w:pPr>
      <w:r>
        <w:fldChar w:fldCharType="begin"/>
      </w:r>
      <w:r>
        <w:instrText xml:space="preserve"> HYPERLINK "https://www.gov.uk/government/statistics/dcms-sponsored-museums-and-galleries-annual-performance-indicators-202324/dcms-sponsored-museums-and-galleries-annual-performance-indicators-202324-headline-release" \h </w:instrText>
      </w:r>
      <w:r>
        <w:fldChar w:fldCharType="separate"/>
      </w:r>
      <w:r>
        <w:rPr>
          <w:rStyle w:val="13"/>
          <w:color w:val="0563C1"/>
        </w:rPr>
        <w:t>[143,147,349]. DCMS-sponsored museums and galleries annual performance indicators 2023/24: headline release</w:t>
      </w:r>
      <w:r>
        <w:rPr>
          <w:rStyle w:val="13"/>
          <w:color w:val="0563C1"/>
        </w:rPr>
        <w:fldChar w:fldCharType="end"/>
      </w:r>
    </w:p>
    <w:p w14:paraId="03DFB99E">
      <w:pPr>
        <w:spacing w:after="200" w:line="400" w:lineRule="atLeast"/>
      </w:pPr>
      <w:r>
        <w:fldChar w:fldCharType="begin"/>
      </w:r>
      <w:r>
        <w:instrText xml:space="preserve"> HYPERLINK "https://www.gov.uk/government/statistical-data-sets/museums-and-galleries-monthly-visits" \h </w:instrText>
      </w:r>
      <w:r>
        <w:fldChar w:fldCharType="separate"/>
      </w:r>
      <w:r>
        <w:rPr>
          <w:rStyle w:val="13"/>
          <w:color w:val="0563C1"/>
        </w:rPr>
        <w:t>[144,350]. Museums and galleries monthly visits</w:t>
      </w:r>
      <w:r>
        <w:rPr>
          <w:rStyle w:val="13"/>
          <w:color w:val="0563C1"/>
        </w:rPr>
        <w:fldChar w:fldCharType="end"/>
      </w:r>
    </w:p>
    <w:p w14:paraId="167DD1CD">
      <w:pPr>
        <w:spacing w:after="200" w:line="400" w:lineRule="atLeast"/>
      </w:pPr>
      <w:r>
        <w:fldChar w:fldCharType="begin"/>
      </w:r>
      <w:r>
        <w:instrText xml:space="preserve"> HYPERLINK "https://www.statista.com/statistics/418323/museum-galery-attendance-uk-england-by-age/?srsltid=AfmBOoqGNrEm71wX1HTRkosdY8IxUGyOSNWkyD42AuXzIKICWdR3GyLc" \h </w:instrText>
      </w:r>
      <w:r>
        <w:fldChar w:fldCharType="separate"/>
      </w:r>
      <w:r>
        <w:rPr>
          <w:rStyle w:val="13"/>
          <w:color w:val="0563C1"/>
        </w:rPr>
        <w:t>[145]. Share of adults who visited a museum or gallery in the past 12 months in England in 2023/2024 and 2024/2025, by age</w:t>
      </w:r>
      <w:r>
        <w:rPr>
          <w:rStyle w:val="13"/>
          <w:color w:val="0563C1"/>
        </w:rPr>
        <w:fldChar w:fldCharType="end"/>
      </w:r>
    </w:p>
    <w:p w14:paraId="4F58038D">
      <w:pPr>
        <w:spacing w:after="200" w:line="400" w:lineRule="atLeast"/>
      </w:pPr>
      <w:r>
        <w:fldChar w:fldCharType="begin"/>
      </w:r>
      <w:r>
        <w:instrText xml:space="preserve"> HYPERLINK "https://www.britishmuseum.org/sites/default/files/2025-11/Museum_Review_2024-25.pdf" \h </w:instrText>
      </w:r>
      <w:r>
        <w:fldChar w:fldCharType="separate"/>
      </w:r>
      <w:r>
        <w:rPr>
          <w:rStyle w:val="13"/>
          <w:color w:val="0563C1"/>
        </w:rPr>
        <w:t>[146]. A bright future</w:t>
      </w:r>
      <w:r>
        <w:rPr>
          <w:rStyle w:val="13"/>
          <w:color w:val="0563C1"/>
        </w:rPr>
        <w:fldChar w:fldCharType="end"/>
      </w:r>
    </w:p>
    <w:p w14:paraId="60679BC9">
      <w:pPr>
        <w:spacing w:after="200" w:line="400" w:lineRule="atLeast"/>
      </w:pPr>
      <w:r>
        <w:fldChar w:fldCharType="begin"/>
      </w:r>
      <w:r>
        <w:instrText xml:space="preserve"> HYPERLINK "https://digital.car.chula.ac.th/cgi/viewcontent.cgi?article=5095&amp;context=chulaetd" \h </w:instrText>
      </w:r>
      <w:r>
        <w:fldChar w:fldCharType="separate"/>
      </w:r>
      <w:r>
        <w:rPr>
          <w:rStyle w:val="13"/>
          <w:color w:val="0563C1"/>
        </w:rPr>
        <w:t>[149]. การออกแบบเรขาคณิตสำหรับพิพิธภัณฑ์เพื่อส่งเสริมการเรียนรู้ตลอดชีวิตในกลุ่มไทยดิจิทัลเนทพีฟ (GRAPHIC DESIGN FOR MUSEUMS TO ENHANCE LIFELONG LEARNING FOR THAI DIGITAL NATIVES)</w:t>
      </w:r>
      <w:r>
        <w:rPr>
          <w:rStyle w:val="13"/>
          <w:color w:val="0563C1"/>
        </w:rPr>
        <w:fldChar w:fldCharType="end"/>
      </w:r>
    </w:p>
    <w:p w14:paraId="2A3E614F">
      <w:pPr>
        <w:spacing w:after="200" w:line="400" w:lineRule="atLeast"/>
      </w:pPr>
      <w:r>
        <w:fldChar w:fldCharType="begin"/>
      </w:r>
      <w:r>
        <w:instrText xml:space="preserve"> HYPERLINK "https://www.statista.com/topics/8973/museums-in-the-united-kingdom-uk/?srsltid=AfmBOooWWJxS5tPlcjs10-4Zzd6QEFgj3JuYPeLuDm6Dbb0wLi7fmCLN" \h </w:instrText>
      </w:r>
      <w:r>
        <w:fldChar w:fldCharType="separate"/>
      </w:r>
      <w:r>
        <w:rPr>
          <w:rStyle w:val="13"/>
          <w:color w:val="0563C1"/>
        </w:rPr>
        <w:t>[151]. Topic: Museums in the United Kingdom (UK)</w:t>
      </w:r>
      <w:r>
        <w:rPr>
          <w:rStyle w:val="13"/>
          <w:color w:val="0563C1"/>
        </w:rPr>
        <w:fldChar w:fldCharType="end"/>
      </w:r>
    </w:p>
    <w:p w14:paraId="12272AE7">
      <w:pPr>
        <w:spacing w:after="200" w:line="400" w:lineRule="atLeast"/>
      </w:pPr>
      <w:r>
        <w:fldChar w:fldCharType="begin"/>
      </w:r>
      <w:r>
        <w:instrText xml:space="preserve"> HYPERLINK "https://www.mdpi.com/2079-9292/14/9/1884" \h </w:instrText>
      </w:r>
      <w:r>
        <w:fldChar w:fldCharType="separate"/>
      </w:r>
      <w:r>
        <w:rPr>
          <w:rStyle w:val="13"/>
          <w:color w:val="0563C1"/>
        </w:rPr>
        <w:t>[152,351]. Interactive Heritage: The Role of Artificial Intelligence in Digital Museums</w:t>
      </w:r>
      <w:r>
        <w:rPr>
          <w:rStyle w:val="13"/>
          <w:color w:val="0563C1"/>
        </w:rPr>
        <w:fldChar w:fldCharType="end"/>
      </w:r>
    </w:p>
    <w:p w14:paraId="20083E4F">
      <w:pPr>
        <w:spacing w:after="200" w:line="400" w:lineRule="atLeast"/>
      </w:pPr>
      <w:r>
        <w:fldChar w:fldCharType="begin"/>
      </w:r>
      <w:r>
        <w:instrText xml:space="preserve"> HYPERLINK "https://journals.ekb.eg/article_440698_649fcb8df4e8438148cf4ae61345d19d.pdf" \h </w:instrText>
      </w:r>
      <w:r>
        <w:fldChar w:fldCharType="separate"/>
      </w:r>
      <w:r>
        <w:rPr>
          <w:rStyle w:val="13"/>
          <w:color w:val="0563C1"/>
        </w:rPr>
        <w:t>[153,154,352]. Role of Digital Technologies in Enhancing Museum Interaction and Visitor Experience: Rijksmuseum in Amsterdam A Case Study</w:t>
      </w:r>
      <w:r>
        <w:rPr>
          <w:rStyle w:val="13"/>
          <w:color w:val="0563C1"/>
        </w:rPr>
        <w:fldChar w:fldCharType="end"/>
      </w:r>
    </w:p>
    <w:p w14:paraId="4F9DF039">
      <w:pPr>
        <w:spacing w:after="200" w:line="400" w:lineRule="atLeast"/>
      </w:pPr>
      <w:r>
        <w:fldChar w:fldCharType="begin"/>
      </w:r>
      <w:r>
        <w:instrText xml:space="preserve"> HYPERLINK "https://www.turisztikaitanulmanyok.hu/wp-content/uploads/2025/10/TVT_10evf_3szam.pdf" \h </w:instrText>
      </w:r>
      <w:r>
        <w:fldChar w:fldCharType="separate"/>
      </w:r>
      <w:r>
        <w:rPr>
          <w:rStyle w:val="13"/>
          <w:color w:val="0563C1"/>
        </w:rPr>
        <w:t>[155]. Turisztikai és Vidékfejlesztési Tanulmányok</w:t>
      </w:r>
      <w:r>
        <w:rPr>
          <w:rStyle w:val="13"/>
          <w:color w:val="0563C1"/>
        </w:rPr>
        <w:fldChar w:fldCharType="end"/>
      </w:r>
    </w:p>
    <w:p w14:paraId="1E0C9EB8">
      <w:pPr>
        <w:spacing w:after="200" w:line="400" w:lineRule="atLeast"/>
      </w:pPr>
      <w:r>
        <w:fldChar w:fldCharType="begin"/>
      </w:r>
      <w:r>
        <w:instrText xml:space="preserve"> HYPERLINK "https://www.assemblee-nationale.fr/dyn/contenu/visualisation/1090086/file/7-DPT2026_Jeunesse.pdf" \h </w:instrText>
      </w:r>
      <w:r>
        <w:fldChar w:fldCharType="separate"/>
      </w:r>
      <w:r>
        <w:rPr>
          <w:rStyle w:val="13"/>
          <w:color w:val="0563C1"/>
        </w:rPr>
        <w:t>[160,168]. Document de politique transversale</w:t>
      </w:r>
      <w:r>
        <w:rPr>
          <w:rStyle w:val="13"/>
          <w:color w:val="0563C1"/>
        </w:rPr>
        <w:fldChar w:fldCharType="end"/>
      </w:r>
    </w:p>
    <w:p w14:paraId="1A0C3A00">
      <w:pPr>
        <w:spacing w:after="200" w:line="400" w:lineRule="atLeast"/>
      </w:pPr>
      <w:r>
        <w:fldChar w:fldCharType="begin"/>
      </w:r>
      <w:r>
        <w:instrText xml:space="preserve"> HYPERLINK "https://www.senat.fr/questions/jopdf/2025/2025-07-31_seq_20250031_0001_p000.pdf" \h </w:instrText>
      </w:r>
      <w:r>
        <w:fldChar w:fldCharType="separate"/>
      </w:r>
      <w:r>
        <w:rPr>
          <w:rStyle w:val="13"/>
          <w:color w:val="0563C1"/>
        </w:rPr>
        <w:t>[161,163,174,175,178,353,357]. SÉNAT DÉBATS PARLEMENTAIRES</w:t>
      </w:r>
      <w:r>
        <w:rPr>
          <w:rStyle w:val="13"/>
          <w:color w:val="0563C1"/>
        </w:rPr>
        <w:fldChar w:fldCharType="end"/>
      </w:r>
    </w:p>
    <w:p w14:paraId="5E311917">
      <w:pPr>
        <w:spacing w:after="200" w:line="400" w:lineRule="atLeast"/>
      </w:pPr>
      <w:r>
        <w:fldChar w:fldCharType="begin"/>
      </w:r>
      <w:r>
        <w:instrText xml:space="preserve"> HYPERLINK "https://www.culture.gouv.fr/Media/medias-creation-rapide/202505_lettre_bdnc.pdf" \h </w:instrText>
      </w:r>
      <w:r>
        <w:fldChar w:fldCharType="separate"/>
      </w:r>
      <w:r>
        <w:rPr>
          <w:rStyle w:val="13"/>
          <w:color w:val="0563C1"/>
        </w:rPr>
        <w:t>[162,164,354]. Lettre d'information du 02 mai 2025</w:t>
      </w:r>
      <w:r>
        <w:rPr>
          <w:rStyle w:val="13"/>
          <w:color w:val="0563C1"/>
        </w:rPr>
        <w:fldChar w:fldCharType="end"/>
      </w:r>
    </w:p>
    <w:p w14:paraId="605612CE">
      <w:pPr>
        <w:spacing w:after="200" w:line="400" w:lineRule="atLeast"/>
      </w:pPr>
      <w:r>
        <w:fldChar w:fldCharType="begin"/>
      </w:r>
      <w:r>
        <w:instrText xml:space="preserve"> HYPERLINK "https://www.vie-publique.fr/files/rapport/pdf/300860.pdf" \h </w:instrText>
      </w:r>
      <w:r>
        <w:fldChar w:fldCharType="separate"/>
      </w:r>
      <w:r>
        <w:rPr>
          <w:rStyle w:val="13"/>
          <w:color w:val="0563C1"/>
        </w:rPr>
        <w:t>[165,166,172,179]. CARTOGRAPHIE DES STATISTIQUES CULTURELLES</w:t>
      </w:r>
      <w:r>
        <w:rPr>
          <w:rStyle w:val="13"/>
          <w:color w:val="0563C1"/>
        </w:rPr>
        <w:fldChar w:fldCharType="end"/>
      </w:r>
    </w:p>
    <w:p w14:paraId="3D7878D3">
      <w:pPr>
        <w:spacing w:after="200" w:line="400" w:lineRule="atLeast"/>
      </w:pPr>
      <w:r>
        <w:fldChar w:fldCharType="begin"/>
      </w:r>
      <w:r>
        <w:instrText xml:space="preserve"> HYPERLINK "https://www.assemblee-nationale.fr/dyn/contenu/visualisation/1090035/file/26-Jaune2026_Politiques_Enfance.pdf" \h </w:instrText>
      </w:r>
      <w:r>
        <w:fldChar w:fldCharType="separate"/>
      </w:r>
      <w:r>
        <w:rPr>
          <w:rStyle w:val="13"/>
          <w:color w:val="0563C1"/>
        </w:rPr>
        <w:t>[167,355]. Rapport relatif aux politiques de l'enfance</w:t>
      </w:r>
      <w:r>
        <w:rPr>
          <w:rStyle w:val="13"/>
          <w:color w:val="0563C1"/>
        </w:rPr>
        <w:fldChar w:fldCharType="end"/>
      </w:r>
    </w:p>
    <w:p w14:paraId="5E6D6FD6">
      <w:pPr>
        <w:spacing w:after="200" w:line="400" w:lineRule="atLeast"/>
      </w:pPr>
      <w:r>
        <w:fldChar w:fldCharType="begin"/>
      </w:r>
      <w:r>
        <w:instrText xml:space="preserve"> HYPERLINK "https://issraacreations.com/wp-content/uploads/2025/07/DossierFinal_BORDEAUX-Explorer.pdf" \h </w:instrText>
      </w:r>
      <w:r>
        <w:fldChar w:fldCharType="separate"/>
      </w:r>
      <w:r>
        <w:rPr>
          <w:rStyle w:val="13"/>
          <w:color w:val="0563C1"/>
        </w:rPr>
        <w:t>[169,171,180,356]. BORDEAUX EXPLORER</w:t>
      </w:r>
      <w:r>
        <w:rPr>
          <w:rStyle w:val="13"/>
          <w:color w:val="0563C1"/>
        </w:rPr>
        <w:fldChar w:fldCharType="end"/>
      </w:r>
    </w:p>
    <w:p w14:paraId="2C1E72B5">
      <w:pPr>
        <w:spacing w:after="200" w:line="400" w:lineRule="atLeast"/>
      </w:pPr>
      <w:r>
        <w:fldChar w:fldCharType="begin"/>
      </w:r>
      <w:r>
        <w:instrText xml:space="preserve"> HYPERLINK "https://museeholocauste.ca/app/uploads/2024/11/brochure-donnons-une-voix-22-novembre-2024_compressed-compresse.pdf" \h </w:instrText>
      </w:r>
      <w:r>
        <w:fldChar w:fldCharType="separate"/>
      </w:r>
      <w:r>
        <w:rPr>
          <w:rStyle w:val="13"/>
          <w:color w:val="0563C1"/>
        </w:rPr>
        <w:t>[170]. DONNONS UNE VOIX UNE INVITATION À AGIR</w:t>
      </w:r>
      <w:r>
        <w:rPr>
          <w:rStyle w:val="13"/>
          <w:color w:val="0563C1"/>
        </w:rPr>
        <w:fldChar w:fldCharType="end"/>
      </w:r>
    </w:p>
    <w:p w14:paraId="38397116">
      <w:pPr>
        <w:spacing w:after="200" w:line="400" w:lineRule="atLeast"/>
      </w:pPr>
      <w:r>
        <w:fldChar w:fldCharType="begin"/>
      </w:r>
      <w:r>
        <w:instrText xml:space="preserve"> HYPERLINK "https://www.museums.ch/admin/data/files/media/file_fr/689/programm-lange-version_f_final.pdf?lm=1755679118" \h </w:instrText>
      </w:r>
      <w:r>
        <w:fldChar w:fldCharType="separate"/>
      </w:r>
      <w:r>
        <w:rPr>
          <w:rStyle w:val="13"/>
          <w:color w:val="0563C1"/>
        </w:rPr>
        <w:t>[173]. Les musées à l'ère du numérique</w:t>
      </w:r>
      <w:r>
        <w:rPr>
          <w:rStyle w:val="13"/>
          <w:color w:val="0563C1"/>
        </w:rPr>
        <w:fldChar w:fldCharType="end"/>
      </w:r>
    </w:p>
    <w:p w14:paraId="0B21B633">
      <w:pPr>
        <w:spacing w:after="200" w:line="400" w:lineRule="atLeast"/>
      </w:pPr>
      <w:r>
        <w:fldChar w:fldCharType="begin"/>
      </w:r>
      <w:r>
        <w:instrText xml:space="preserve"> HYPERLINK "https://www.wonderfulmuseums.com/museum/museum-2-0/" \h </w:instrText>
      </w:r>
      <w:r>
        <w:fldChar w:fldCharType="separate"/>
      </w:r>
      <w:r>
        <w:rPr>
          <w:rStyle w:val="13"/>
          <w:color w:val="0563C1"/>
        </w:rPr>
        <w:t>[176]. Museum 2.0: A Cultural Transformation</w:t>
      </w:r>
      <w:r>
        <w:rPr>
          <w:rStyle w:val="13"/>
          <w:color w:val="0563C1"/>
        </w:rPr>
        <w:fldChar w:fldCharType="end"/>
      </w:r>
    </w:p>
    <w:p w14:paraId="6AA3530F">
      <w:pPr>
        <w:spacing w:after="200" w:line="400" w:lineRule="atLeast"/>
      </w:pPr>
      <w:r>
        <w:fldChar w:fldCharType="begin"/>
      </w:r>
      <w:r>
        <w:instrText xml:space="preserve"> HYPERLINK "https://dante.univ-tlse2.fr/files/original/ce7ae472407b9de06ffb52de9e816462c6119391.pdf" \h </w:instrText>
      </w:r>
      <w:r>
        <w:fldChar w:fldCharType="separate"/>
      </w:r>
      <w:r>
        <w:rPr>
          <w:rStyle w:val="13"/>
          <w:color w:val="0563C1"/>
        </w:rPr>
        <w:t>[177]. Du rôle passif à l'engagement actif : l'appropriation du patrimoine historique à travers des technologies numériques. Étude de cas « Oh là là Toulouse »</w:t>
      </w:r>
      <w:r>
        <w:rPr>
          <w:rStyle w:val="13"/>
          <w:color w:val="0563C1"/>
        </w:rPr>
        <w:fldChar w:fldCharType="end"/>
      </w:r>
    </w:p>
    <w:p w14:paraId="31F6A86D">
      <w:pPr>
        <w:spacing w:after="200" w:line="400" w:lineRule="atLeast"/>
      </w:pPr>
      <w:r>
        <w:fldChar w:fldCharType="begin"/>
      </w:r>
      <w:r>
        <w:instrText xml:space="preserve"> HYPERLINK "https://www.smb.museum/fileadmin/website/Institute/Institut_fuer_Museumsforschung/Publikationen/Materialien/Zahlen-aus-dem-Institut-fuer-Museumsforschung-2023.pdf" \h </w:instrText>
      </w:r>
      <w:r>
        <w:fldChar w:fldCharType="separate"/>
      </w:r>
      <w:r>
        <w:rPr>
          <w:rStyle w:val="13"/>
          <w:color w:val="0563C1"/>
        </w:rPr>
        <w:t>[181,182,183,184,358,359,360,361]. Heft 79: Statistische Gesamterhebung an den Museen der Bundesrepublik Deutschland 2023</w:t>
      </w:r>
      <w:r>
        <w:rPr>
          <w:rStyle w:val="13"/>
          <w:color w:val="0563C1"/>
        </w:rPr>
        <w:fldChar w:fldCharType="end"/>
      </w:r>
    </w:p>
    <w:p w14:paraId="2920B48D">
      <w:pPr>
        <w:spacing w:after="200" w:line="400" w:lineRule="atLeast"/>
      </w:pPr>
      <w:r>
        <w:fldChar w:fldCharType="begin"/>
      </w:r>
      <w:r>
        <w:instrText xml:space="preserve"> HYPERLINK "https://www.parlament.gv.at/dokument/BR/III-BR/899/imfname_1713156.pdf" \h </w:instrText>
      </w:r>
      <w:r>
        <w:fldChar w:fldCharType="separate"/>
      </w:r>
      <w:r>
        <w:rPr>
          <w:rStyle w:val="13"/>
          <w:color w:val="0563C1"/>
        </w:rPr>
        <w:t>[185]. Kunst- und Kulturbericht 2024</w:t>
      </w:r>
      <w:r>
        <w:rPr>
          <w:rStyle w:val="13"/>
          <w:color w:val="0563C1"/>
        </w:rPr>
        <w:fldChar w:fldCharType="end"/>
      </w:r>
    </w:p>
    <w:p w14:paraId="773F2D28">
      <w:pPr>
        <w:spacing w:after="200" w:line="400" w:lineRule="atLeast"/>
      </w:pPr>
      <w:r>
        <w:fldChar w:fldCharType="begin"/>
      </w:r>
      <w:r>
        <w:instrText xml:space="preserve"> HYPERLINK "https://files.metaso.cn/api/public-file/preview?fileName=8710112557574103040.pdf" \h </w:instrText>
      </w:r>
      <w:r>
        <w:fldChar w:fldCharType="separate"/>
      </w:r>
      <w:r>
        <w:rPr>
          <w:rStyle w:val="13"/>
          <w:color w:val="0563C1"/>
        </w:rPr>
        <w:t>[186,187]. 信息传播专业新媒体能力与新媒体可能性</w:t>
      </w:r>
      <w:r>
        <w:rPr>
          <w:rStyle w:val="13"/>
          <w:color w:val="0563C1"/>
        </w:rPr>
        <w:fldChar w:fldCharType="end"/>
      </w:r>
    </w:p>
    <w:p w14:paraId="087A3A87">
      <w:pPr>
        <w:spacing w:after="200" w:line="400" w:lineRule="atLeast"/>
      </w:pPr>
      <w:r>
        <w:fldChar w:fldCharType="begin"/>
      </w:r>
      <w:r>
        <w:instrText xml:space="preserve"> HYPERLINK "https://www.nich.go.jp/wp-content/uploads/2015/11/gaiyo2007.pdf" \h </w:instrText>
      </w:r>
      <w:r>
        <w:fldChar w:fldCharType="separate"/>
      </w:r>
      <w:r>
        <w:rPr>
          <w:rStyle w:val="13"/>
          <w:color w:val="0563C1"/>
        </w:rPr>
        <w:t>[188,195]. Outline of the National Institutes for Cultural Heritage 2007</w:t>
      </w:r>
      <w:r>
        <w:rPr>
          <w:rStyle w:val="13"/>
          <w:color w:val="0563C1"/>
        </w:rPr>
        <w:fldChar w:fldCharType="end"/>
      </w:r>
    </w:p>
    <w:p w14:paraId="68D6A524">
      <w:pPr>
        <w:spacing w:after="200" w:line="400" w:lineRule="atLeast"/>
      </w:pPr>
      <w:r>
        <w:fldChar w:fldCharType="begin"/>
      </w:r>
      <w:r>
        <w:instrText xml:space="preserve"> HYPERLINK "https://www.nich.go.jp/wp-content/uploads/2015/11/gaiyo2009.pdf" \h </w:instrText>
      </w:r>
      <w:r>
        <w:fldChar w:fldCharType="separate"/>
      </w:r>
      <w:r>
        <w:rPr>
          <w:rStyle w:val="13"/>
          <w:color w:val="0563C1"/>
        </w:rPr>
        <w:t>[189,196]. 国立文化財機構概要 2009</w:t>
      </w:r>
      <w:r>
        <w:rPr>
          <w:rStyle w:val="13"/>
          <w:color w:val="0563C1"/>
        </w:rPr>
        <w:fldChar w:fldCharType="end"/>
      </w:r>
    </w:p>
    <w:p w14:paraId="044C1A6F">
      <w:pPr>
        <w:spacing w:after="200" w:line="400" w:lineRule="atLeast"/>
      </w:pPr>
      <w:r>
        <w:fldChar w:fldCharType="begin"/>
      </w:r>
      <w:r>
        <w:instrText xml:space="preserve"> HYPERLINK "https://www.city.sakurai.lg.jp/material/files/group/54/10thcontents_3.pdf" \h </w:instrText>
      </w:r>
      <w:r>
        <w:fldChar w:fldCharType="separate"/>
      </w:r>
      <w:r>
        <w:rPr>
          <w:rStyle w:val="13"/>
          <w:color w:val="0563C1"/>
        </w:rPr>
        <w:t>[190,364]. 辰王と卑弥呼</w:t>
      </w:r>
      <w:r>
        <w:rPr>
          <w:rStyle w:val="13"/>
          <w:color w:val="0563C1"/>
        </w:rPr>
        <w:fldChar w:fldCharType="end"/>
      </w:r>
    </w:p>
    <w:p w14:paraId="2FF00C4F">
      <w:pPr>
        <w:spacing w:after="200" w:line="400" w:lineRule="atLeast"/>
      </w:pPr>
      <w:r>
        <w:fldChar w:fldCharType="begin"/>
      </w:r>
      <w:r>
        <w:instrText xml:space="preserve"> HYPERLINK "https://www.statista.com/statistics/1037656/japan-total-number-museum-visitors/?srsltid=AfmBOopqOgRaSNS0o4m-hSrU4FVLGjTk6cYwM9Ex0aRXTPTnUo_ea482" \h </w:instrText>
      </w:r>
      <w:r>
        <w:fldChar w:fldCharType="separate"/>
      </w:r>
      <w:r>
        <w:rPr>
          <w:rStyle w:val="13"/>
          <w:color w:val="0563C1"/>
        </w:rPr>
        <w:t>[191,204,362]. Number of visitors to museums in Japan from fiscal year 2001 to 2020 (in millions)</w:t>
      </w:r>
      <w:r>
        <w:rPr>
          <w:rStyle w:val="13"/>
          <w:color w:val="0563C1"/>
        </w:rPr>
        <w:fldChar w:fldCharType="end"/>
      </w:r>
    </w:p>
    <w:p w14:paraId="33183CDA">
      <w:pPr>
        <w:spacing w:after="200" w:line="400" w:lineRule="atLeast"/>
      </w:pPr>
      <w:r>
        <w:fldChar w:fldCharType="begin"/>
      </w:r>
      <w:r>
        <w:instrText xml:space="preserve"> HYPERLINK "https://www.bunka.go.jp/tokei_hakusho_shuppan/hakusho_nenjihokokusho/archive/pdf/r1402577_30.pdf" \h </w:instrText>
      </w:r>
      <w:r>
        <w:fldChar w:fldCharType="separate"/>
      </w:r>
      <w:r>
        <w:rPr>
          <w:rStyle w:val="13"/>
          <w:color w:val="0563C1"/>
        </w:rPr>
        <w:t>[192]. 現代文化政策データファイル</w:t>
      </w:r>
      <w:r>
        <w:rPr>
          <w:rStyle w:val="13"/>
          <w:color w:val="0563C1"/>
        </w:rPr>
        <w:fldChar w:fldCharType="end"/>
      </w:r>
    </w:p>
    <w:p w14:paraId="35AD322C">
      <w:pPr>
        <w:spacing w:after="200" w:line="400" w:lineRule="atLeast"/>
      </w:pPr>
      <w:r>
        <w:fldChar w:fldCharType="begin"/>
      </w:r>
      <w:r>
        <w:instrText xml:space="preserve"> HYPERLINK "http://museumdata.ne.jp/pdf/MD68.pdf" \h </w:instrText>
      </w:r>
      <w:r>
        <w:fldChar w:fldCharType="separate"/>
      </w:r>
      <w:r>
        <w:rPr>
          <w:rStyle w:val="13"/>
          <w:color w:val="0563C1"/>
        </w:rPr>
        <w:t>[193,201,365,368]. Museum Data</w:t>
      </w:r>
      <w:r>
        <w:rPr>
          <w:rStyle w:val="13"/>
          <w:color w:val="0563C1"/>
        </w:rPr>
        <w:fldChar w:fldCharType="end"/>
      </w:r>
    </w:p>
    <w:p w14:paraId="4E11C0F1">
      <w:pPr>
        <w:spacing w:after="200" w:line="400" w:lineRule="atLeast"/>
      </w:pPr>
      <w:r>
        <w:fldChar w:fldCharType="begin"/>
      </w:r>
      <w:r>
        <w:instrText xml:space="preserve"> HYPERLINK "https://baike.baidu.com/item/%25E6%2596%2587%25E5%258C%2596%25E7%25BB%259F%25E8%25AE%25A1/12754695" \h </w:instrText>
      </w:r>
      <w:r>
        <w:fldChar w:fldCharType="separate"/>
      </w:r>
      <w:r>
        <w:rPr>
          <w:rStyle w:val="13"/>
          <w:color w:val="0563C1"/>
        </w:rPr>
        <w:t>[194,205,363]. 文化统计</w:t>
      </w:r>
      <w:r>
        <w:rPr>
          <w:rStyle w:val="13"/>
          <w:color w:val="0563C1"/>
        </w:rPr>
        <w:fldChar w:fldCharType="end"/>
      </w:r>
    </w:p>
    <w:p w14:paraId="0ECE6560">
      <w:pPr>
        <w:spacing w:after="200" w:line="400" w:lineRule="atLeast"/>
      </w:pPr>
      <w:r>
        <w:fldChar w:fldCharType="begin"/>
      </w:r>
      <w:r>
        <w:instrText xml:space="preserve"> HYPERLINK "https://www.bunka.go.jp/bunkacho/shokan_hojin/pdf/94110704_01.pdf" \h </w:instrText>
      </w:r>
      <w:r>
        <w:fldChar w:fldCharType="separate"/>
      </w:r>
      <w:r>
        <w:rPr>
          <w:rStyle w:val="13"/>
          <w:color w:val="0563C1"/>
        </w:rPr>
        <w:t>[197]. 独立行政法人国立科学博物館の令和5年度における業務の実績に関する評価</w:t>
      </w:r>
      <w:r>
        <w:rPr>
          <w:rStyle w:val="13"/>
          <w:color w:val="0563C1"/>
        </w:rPr>
        <w:fldChar w:fldCharType="end"/>
      </w:r>
    </w:p>
    <w:p w14:paraId="3655C9BA">
      <w:pPr>
        <w:spacing w:after="200" w:line="400" w:lineRule="atLeast"/>
      </w:pPr>
      <w:r>
        <w:fldChar w:fldCharType="begin"/>
      </w:r>
      <w:r>
        <w:instrText xml:space="preserve"> HYPERLINK "https://www.kahaku.go.jp/disclosure/duties/imgs/zikohyouka_R06.pdf" \h </w:instrText>
      </w:r>
      <w:r>
        <w:fldChar w:fldCharType="separate"/>
      </w:r>
      <w:r>
        <w:rPr>
          <w:rStyle w:val="13"/>
          <w:color w:val="0563C1"/>
        </w:rPr>
        <w:t>[198]. 独立行政法人国立科学博物館の令和6年度における業務の実績に関する評価</w:t>
      </w:r>
      <w:r>
        <w:rPr>
          <w:rStyle w:val="13"/>
          <w:color w:val="0563C1"/>
        </w:rPr>
        <w:fldChar w:fldCharType="end"/>
      </w:r>
    </w:p>
    <w:p w14:paraId="22FD2C2C">
      <w:pPr>
        <w:spacing w:after="200" w:line="400" w:lineRule="atLeast"/>
      </w:pPr>
      <w:r>
        <w:fldChar w:fldCharType="begin"/>
      </w:r>
      <w:r>
        <w:instrText xml:space="preserve"> HYPERLINK "https://www.renrendoc.com/paper/503676645.html" \h </w:instrText>
      </w:r>
      <w:r>
        <w:fldChar w:fldCharType="separate"/>
      </w:r>
      <w:r>
        <w:rPr>
          <w:rStyle w:val="13"/>
          <w:color w:val="0563C1"/>
        </w:rPr>
        <w:t>[199,367]. 2026年文化领域数字博物馆建设报告</w:t>
      </w:r>
      <w:r>
        <w:rPr>
          <w:rStyle w:val="13"/>
          <w:color w:val="0563C1"/>
        </w:rPr>
        <w:fldChar w:fldCharType="end"/>
      </w:r>
    </w:p>
    <w:p w14:paraId="3EC6A2ED">
      <w:pPr>
        <w:spacing w:after="200" w:line="400" w:lineRule="atLeast"/>
      </w:pPr>
      <w:r>
        <w:fldChar w:fldCharType="begin"/>
      </w:r>
      <w:r>
        <w:instrText xml:space="preserve"> HYPERLINK "http://www.seinan-gu.ac.jp/museum/wp-content/uploads/2021/publish/kiyou10.pdf" \h </w:instrText>
      </w:r>
      <w:r>
        <w:fldChar w:fldCharType="separate"/>
      </w:r>
      <w:r>
        <w:rPr>
          <w:rStyle w:val="13"/>
          <w:color w:val="0563C1"/>
        </w:rPr>
        <w:t>[200,366]. 西南学院大学博物館研究紀要 第10号</w:t>
      </w:r>
      <w:r>
        <w:rPr>
          <w:rStyle w:val="13"/>
          <w:color w:val="0563C1"/>
        </w:rPr>
        <w:fldChar w:fldCharType="end"/>
      </w:r>
    </w:p>
    <w:p w14:paraId="5823F44C">
      <w:pPr>
        <w:spacing w:after="200" w:line="400" w:lineRule="atLeast"/>
      </w:pPr>
      <w:r>
        <w:fldChar w:fldCharType="begin"/>
      </w:r>
      <w:r>
        <w:instrText xml:space="preserve"> HYPERLINK "https://www.nich.go.jp/wp-content/uploads/2022/09/2021_monka_hyoka.pdf" \h </w:instrText>
      </w:r>
      <w:r>
        <w:fldChar w:fldCharType="separate"/>
      </w:r>
      <w:r>
        <w:rPr>
          <w:rStyle w:val="13"/>
          <w:color w:val="0563C1"/>
        </w:rPr>
        <w:t>[202]. 独立行政法人国立文化財機構の令和3年度における業務の実績に関する評価</w:t>
      </w:r>
      <w:r>
        <w:rPr>
          <w:rStyle w:val="13"/>
          <w:color w:val="0563C1"/>
        </w:rPr>
        <w:fldChar w:fldCharType="end"/>
      </w:r>
    </w:p>
    <w:p w14:paraId="3578376D">
      <w:pPr>
        <w:spacing w:after="200" w:line="400" w:lineRule="atLeast"/>
      </w:pPr>
      <w:r>
        <w:fldChar w:fldCharType="begin"/>
      </w:r>
      <w:r>
        <w:instrText xml:space="preserve"> HYPERLINK "https://www.mext.go.jp/a_menu/nihongo_kyoiku/kyoiku/taikai/r01_kyoto/91949503.html" \h </w:instrText>
      </w:r>
      <w:r>
        <w:fldChar w:fldCharType="separate"/>
      </w:r>
      <w:r>
        <w:rPr>
          <w:rStyle w:val="13"/>
          <w:color w:val="0563C1"/>
        </w:rPr>
        <w:t>[203]. 令和元年度「文化庁日本語教育大会・京都大会」（大会報告） - 文部科学省</w:t>
      </w:r>
      <w:r>
        <w:rPr>
          <w:rStyle w:val="13"/>
          <w:color w:val="0563C1"/>
        </w:rPr>
        <w:fldChar w:fldCharType="end"/>
      </w:r>
    </w:p>
    <w:p w14:paraId="7579D53D">
      <w:pPr>
        <w:spacing w:after="200" w:line="400" w:lineRule="atLeast"/>
      </w:pPr>
      <w:r>
        <w:fldChar w:fldCharType="begin"/>
      </w:r>
      <w:r>
        <w:instrText xml:space="preserve"> HYPERLINK "https://jcsm.jp/.wps/wp-content/uploads/2024/03/20240307shiryou.pdf" \h </w:instrText>
      </w:r>
      <w:r>
        <w:fldChar w:fldCharType="separate"/>
      </w:r>
      <w:r>
        <w:rPr>
          <w:rStyle w:val="13"/>
          <w:color w:val="0563C1"/>
        </w:rPr>
        <w:t>[206]. 博物館振興について</w:t>
      </w:r>
      <w:r>
        <w:rPr>
          <w:rStyle w:val="13"/>
          <w:color w:val="0563C1"/>
        </w:rPr>
        <w:fldChar w:fldCharType="end"/>
      </w:r>
    </w:p>
    <w:p w14:paraId="64B3045C">
      <w:pPr>
        <w:spacing w:after="200" w:line="400" w:lineRule="atLeast"/>
      </w:pPr>
      <w:r>
        <w:fldChar w:fldCharType="begin"/>
      </w:r>
      <w:r>
        <w:instrText xml:space="preserve"> HYPERLINK "https://www.yunnanforestry.cn/uploadDir/pdf/20230420/1681975731051.pdf" \h </w:instrText>
      </w:r>
      <w:r>
        <w:fldChar w:fldCharType="separate"/>
      </w:r>
      <w:r>
        <w:rPr>
          <w:rStyle w:val="13"/>
          <w:color w:val="0563C1"/>
        </w:rPr>
        <w:t>[207,210,212,215,332]. 林业调查规划</w:t>
      </w:r>
      <w:r>
        <w:rPr>
          <w:rStyle w:val="13"/>
          <w:color w:val="0563C1"/>
        </w:rPr>
        <w:fldChar w:fldCharType="end"/>
      </w:r>
    </w:p>
    <w:p w14:paraId="58CD6E02">
      <w:pPr>
        <w:spacing w:after="200" w:line="400" w:lineRule="atLeast"/>
      </w:pPr>
      <w:r>
        <w:fldChar w:fldCharType="begin"/>
      </w:r>
      <w:r>
        <w:instrText xml:space="preserve"> HYPERLINK "http://cdn.xuansiwei.com/wenme11935/1758250958314/daoyoujichuzhishi-muluyangzhang%E3%80%81ban.pdf" \h </w:instrText>
      </w:r>
      <w:r>
        <w:fldChar w:fldCharType="separate"/>
      </w:r>
      <w:r>
        <w:rPr>
          <w:rStyle w:val="13"/>
          <w:color w:val="0563C1"/>
        </w:rPr>
        <w:t>[208,213,216,221,333]. 导游基础知识</w:t>
      </w:r>
      <w:r>
        <w:rPr>
          <w:rStyle w:val="13"/>
          <w:color w:val="0563C1"/>
        </w:rPr>
        <w:fldChar w:fldCharType="end"/>
      </w:r>
    </w:p>
    <w:p w14:paraId="6DFDE967">
      <w:pPr>
        <w:spacing w:after="200" w:line="400" w:lineRule="atLeast"/>
      </w:pPr>
      <w:r>
        <w:fldChar w:fldCharType="begin"/>
      </w:r>
      <w:r>
        <w:instrText xml:space="preserve"> HYPERLINK "https://weibo.com/ttarticle/p/show?id=2309634818063651373287" \h </w:instrText>
      </w:r>
      <w:r>
        <w:fldChar w:fldCharType="separate"/>
      </w:r>
      <w:r>
        <w:rPr>
          <w:rStyle w:val="13"/>
          <w:color w:val="0563C1"/>
        </w:rPr>
        <w:t>[209,211,218,222,236]. 博物馆类型划分的意义、依据及中国博物馆分类标准制度建设的思考</w:t>
      </w:r>
      <w:r>
        <w:rPr>
          <w:rStyle w:val="13"/>
          <w:color w:val="0563C1"/>
        </w:rPr>
        <w:fldChar w:fldCharType="end"/>
      </w:r>
    </w:p>
    <w:p w14:paraId="62F7F415">
      <w:pPr>
        <w:spacing w:after="200" w:line="400" w:lineRule="atLeast"/>
      </w:pPr>
      <w:r>
        <w:fldChar w:fldCharType="begin"/>
      </w:r>
      <w:r>
        <w:instrText xml:space="preserve"> HYPERLINK "https://www.jianshu.com/p/3edb65b6c8d6" \h </w:instrText>
      </w:r>
      <w:r>
        <w:fldChar w:fldCharType="separate"/>
      </w:r>
      <w:r>
        <w:rPr>
          <w:rStyle w:val="13"/>
          <w:color w:val="0563C1"/>
        </w:rPr>
        <w:t>[214]. 博物馆学发展史</w:t>
      </w:r>
      <w:r>
        <w:rPr>
          <w:rStyle w:val="13"/>
          <w:color w:val="0563C1"/>
        </w:rPr>
        <w:fldChar w:fldCharType="end"/>
      </w:r>
    </w:p>
    <w:p w14:paraId="79FF86C8">
      <w:pPr>
        <w:spacing w:after="200" w:line="400" w:lineRule="atLeast"/>
      </w:pPr>
      <w:r>
        <w:fldChar w:fldCharType="begin"/>
      </w:r>
      <w:r>
        <w:instrText xml:space="preserve"> HYPERLINK "http://www.zhangzhou.gov.cn/cms/html/zzsrmzfbgsgfxwjk/2024-01-03/1737607393.html" \h </w:instrText>
      </w:r>
      <w:r>
        <w:fldChar w:fldCharType="separate"/>
      </w:r>
      <w:r>
        <w:rPr>
          <w:rStyle w:val="13"/>
          <w:color w:val="0563C1"/>
        </w:rPr>
        <w:t>[217,220,334]. 常见问题解答</w:t>
      </w:r>
      <w:r>
        <w:rPr>
          <w:rStyle w:val="13"/>
          <w:color w:val="0563C1"/>
        </w:rPr>
        <w:fldChar w:fldCharType="end"/>
      </w:r>
    </w:p>
    <w:p w14:paraId="1A751348">
      <w:pPr>
        <w:spacing w:after="200" w:line="400" w:lineRule="atLeast"/>
      </w:pPr>
      <w:r>
        <w:fldChar w:fldCharType="begin"/>
      </w:r>
      <w:r>
        <w:instrText xml:space="preserve"> HYPERLINK "https://www.jiandati.com/q/fw2h8xjb" \h </w:instrText>
      </w:r>
      <w:r>
        <w:fldChar w:fldCharType="separate"/>
      </w:r>
      <w:r>
        <w:rPr>
          <w:rStyle w:val="13"/>
          <w:color w:val="0563C1"/>
        </w:rPr>
        <w:t>[219]. 中国博物馆按藏品和基本陈列内容为分类依据可分为()。</w:t>
      </w:r>
      <w:r>
        <w:rPr>
          <w:rStyle w:val="13"/>
          <w:color w:val="0563C1"/>
        </w:rPr>
        <w:fldChar w:fldCharType="end"/>
      </w:r>
    </w:p>
    <w:p w14:paraId="504B9EC3">
      <w:pPr>
        <w:spacing w:after="200" w:line="400" w:lineRule="atLeast"/>
      </w:pPr>
      <w:r>
        <w:fldChar w:fldCharType="begin"/>
      </w:r>
      <w:r>
        <w:instrText xml:space="preserve"> HYPERLINK "https://www.chinabaogao.com/pdf/50/20/635020.pdf" \h </w:instrText>
      </w:r>
      <w:r>
        <w:fldChar w:fldCharType="separate"/>
      </w:r>
      <w:r>
        <w:rPr>
          <w:rStyle w:val="13"/>
          <w:color w:val="0563C1"/>
        </w:rPr>
        <w:t>[223,226]. 中国博物馆行业现状深度分析与投资趋势研究报告（2023-2030年）</w:t>
      </w:r>
      <w:r>
        <w:rPr>
          <w:rStyle w:val="13"/>
          <w:color w:val="0563C1"/>
        </w:rPr>
        <w:fldChar w:fldCharType="end"/>
      </w:r>
    </w:p>
    <w:p w14:paraId="40FE77F7">
      <w:pPr>
        <w:spacing w:after="200" w:line="400" w:lineRule="atLeast"/>
      </w:pPr>
      <w:r>
        <w:fldChar w:fldCharType="begin"/>
      </w:r>
      <w:r>
        <w:instrText xml:space="preserve"> HYPERLINK "https://koreascience.or.kr/article/JAKO201208439036797.pdf" \h </w:instrText>
      </w:r>
      <w:r>
        <w:fldChar w:fldCharType="separate"/>
      </w:r>
      <w:r>
        <w:rPr>
          <w:rStyle w:val="13"/>
          <w:color w:val="0563C1"/>
        </w:rPr>
        <w:t>[224,230]. 2000년 이후 중국 뮤지엄의 공간구조 변화에 관한 사회적 의미 연구</w:t>
      </w:r>
      <w:r>
        <w:rPr>
          <w:rStyle w:val="13"/>
          <w:color w:val="0563C1"/>
        </w:rPr>
        <w:fldChar w:fldCharType="end"/>
      </w:r>
    </w:p>
    <w:p w14:paraId="2C23FCE3">
      <w:pPr>
        <w:spacing w:after="200" w:line="400" w:lineRule="atLeast"/>
      </w:pPr>
      <w:r>
        <w:fldChar w:fldCharType="begin"/>
      </w:r>
      <w:r>
        <w:instrText xml:space="preserve"> HYPERLINK "https://repositorio.upt.edu.pe/bitstream/handle/20.500.12969/464/Patina_Vega_Jimy.pdf?sequence=1" \h </w:instrText>
      </w:r>
      <w:r>
        <w:fldChar w:fldCharType="separate"/>
      </w:r>
      <w:r>
        <w:rPr>
          <w:rStyle w:val="13"/>
          <w:color w:val="0563C1"/>
        </w:rPr>
        <w:t>[225]. CENTRO DE INTERPRETACIÓN EMPLEANDO EL CONTEXTO COMO RECURSO PARA LA CONSERVACIÓN Y DIFUSIÓN DEL SITIO ARQUEOLÓGICO MOQI, DISTRITO DE ILABAYA – 2017</w:t>
      </w:r>
      <w:r>
        <w:rPr>
          <w:rStyle w:val="13"/>
          <w:color w:val="0563C1"/>
        </w:rPr>
        <w:fldChar w:fldCharType="end"/>
      </w:r>
    </w:p>
    <w:p w14:paraId="3C6E6FF7">
      <w:pPr>
        <w:spacing w:after="200" w:line="400" w:lineRule="atLeast"/>
      </w:pPr>
      <w:r>
        <w:fldChar w:fldCharType="begin"/>
      </w:r>
      <w:r>
        <w:instrText xml:space="preserve"> HYPERLINK "https://new.qq.com/rain/a/20231221A0ACW300" \h </w:instrText>
      </w:r>
      <w:r>
        <w:fldChar w:fldCharType="separate"/>
      </w:r>
      <w:r>
        <w:rPr>
          <w:rStyle w:val="13"/>
          <w:color w:val="0563C1"/>
        </w:rPr>
        <w:t>[227,231,234,335,337]. 第4091期文化产业评论</w:t>
      </w:r>
      <w:r>
        <w:rPr>
          <w:rStyle w:val="13"/>
          <w:color w:val="0563C1"/>
        </w:rPr>
        <w:fldChar w:fldCharType="end"/>
      </w:r>
    </w:p>
    <w:p w14:paraId="7909F19F">
      <w:pPr>
        <w:spacing w:after="200" w:line="400" w:lineRule="atLeast"/>
      </w:pPr>
      <w:r>
        <w:fldChar w:fldCharType="begin"/>
      </w:r>
      <w:r>
        <w:instrText xml:space="preserve"> HYPERLINK "https://wwj.beijing.gov.cn/bjww/resource/cms/article/bjww_362762/10853233/2020082409135937451.pdf" \h </w:instrText>
      </w:r>
      <w:r>
        <w:fldChar w:fldCharType="separate"/>
      </w:r>
      <w:r>
        <w:rPr>
          <w:rStyle w:val="13"/>
          <w:color w:val="0563C1"/>
        </w:rPr>
        <w:t>[228,232,336,339]. 北京文博</w:t>
      </w:r>
      <w:r>
        <w:rPr>
          <w:rStyle w:val="13"/>
          <w:color w:val="0563C1"/>
        </w:rPr>
        <w:fldChar w:fldCharType="end"/>
      </w:r>
    </w:p>
    <w:p w14:paraId="2927FD7C">
      <w:pPr>
        <w:spacing w:after="200" w:line="400" w:lineRule="atLeast"/>
      </w:pPr>
      <w:r>
        <w:fldChar w:fldCharType="begin"/>
      </w:r>
      <w:r>
        <w:instrText xml:space="preserve"> HYPERLINK "https://www.zora.uzh.ch/id/eprint/180940/1/Bollo_Zhang_2017_Policy_and_Impact_of_Public_Museums_in_China-_Exploring_New_Trends_and_Challenges_Museum_International_L.pdf" \h </w:instrText>
      </w:r>
      <w:r>
        <w:fldChar w:fldCharType="separate"/>
      </w:r>
      <w:r>
        <w:rPr>
          <w:rStyle w:val="13"/>
          <w:color w:val="0563C1"/>
        </w:rPr>
        <w:t>[229]. Policy and impact of public museums in China : exploring new trends and challenges</w:t>
      </w:r>
      <w:r>
        <w:rPr>
          <w:rStyle w:val="13"/>
          <w:color w:val="0563C1"/>
        </w:rPr>
        <w:fldChar w:fldCharType="end"/>
      </w:r>
    </w:p>
    <w:p w14:paraId="36A8C9B4">
      <w:pPr>
        <w:spacing w:after="200" w:line="400" w:lineRule="atLeast"/>
      </w:pPr>
      <w:r>
        <w:fldChar w:fldCharType="begin"/>
      </w:r>
      <w:r>
        <w:instrText xml:space="preserve"> HYPERLINK "https://max.book118.com/html/2020/1206/5010134014003040.shtm" \h </w:instrText>
      </w:r>
      <w:r>
        <w:fldChar w:fldCharType="separate"/>
      </w:r>
      <w:r>
        <w:rPr>
          <w:rStyle w:val="13"/>
          <w:color w:val="0563C1"/>
        </w:rPr>
        <w:t>[233,338]. 博物馆分级标准</w:t>
      </w:r>
      <w:r>
        <w:rPr>
          <w:rStyle w:val="13"/>
          <w:color w:val="0563C1"/>
        </w:rPr>
        <w:fldChar w:fldCharType="end"/>
      </w:r>
    </w:p>
    <w:p w14:paraId="6B0A2E74">
      <w:pPr>
        <w:spacing w:after="200" w:line="400" w:lineRule="atLeast"/>
      </w:pPr>
      <w:r>
        <w:fldChar w:fldCharType="begin"/>
      </w:r>
      <w:r>
        <w:instrText xml:space="preserve"> HYPERLINK "https://www.chinamuseum.org.cn/cma/detailss.html?id=19&amp;contentId=9392#%3A~%3Atext%3D6%EF%BC%8E1%20%E5%8D%9A%E7%89%A9%E9%A6%86%E5%88%92%E5%88%86%E4%B8%BA%2C%E5%B1%80%E7%BB%9F%E4%B8%80%E5%88%B6%E4%BD%9C%E5%92%8C%E9%A2%81%E5%8F%91%E3%80%82%26text%3D%E6%B3%95%E4%BA%BA%E6%B2%BB%E7%90%86%E7%BB%93%E6%9E%84%E5%AE%8C%E5%96%84%EF%BC%8C%E6%9C%89%2C%E6%B4%BB%E5%8A%A8%EF%BC%8C%E8%BF%90%E8%A1%8C%E6%9C%BA%E5%88%B6%E6%95%88%E7%8E%87%E9%AB%98%E3%80%82" \h </w:instrText>
      </w:r>
      <w:r>
        <w:fldChar w:fldCharType="separate"/>
      </w:r>
      <w:r>
        <w:rPr>
          <w:rStyle w:val="13"/>
          <w:color w:val="0563C1"/>
        </w:rPr>
        <w:t>[235]. 博物馆等级划分条件</w:t>
      </w:r>
      <w:r>
        <w:rPr>
          <w:rStyle w:val="13"/>
          <w:color w:val="0563C1"/>
        </w:rPr>
        <w:fldChar w:fldCharType="end"/>
      </w:r>
    </w:p>
    <w:p w14:paraId="2627FF5F">
      <w:pPr>
        <w:spacing w:after="200" w:line="400" w:lineRule="atLeast"/>
      </w:pPr>
      <w:r>
        <w:fldChar w:fldCharType="begin"/>
      </w:r>
      <w:r>
        <w:instrText xml:space="preserve"> HYPERLINK "https://www.sohu.com/a/588450391_121107011#%3A~%3Atext%3D%E8%AF%A5%E5%9B%BD%E9%99%85%E6%A0%87%E5%87%86%E5%B0%86%E5%8D%9A%E7%89%A9%E9%A6%86%2C15%E7%A7%8D%E7%B1%BB%E5%9E%8B%5B4%5D%E3%80%82" \h </w:instrText>
      </w:r>
      <w:r>
        <w:fldChar w:fldCharType="separate"/>
      </w:r>
      <w:r>
        <w:rPr>
          <w:rStyle w:val="13"/>
          <w:color w:val="0563C1"/>
        </w:rPr>
        <w:t>[237,238]. 浅谈博物馆类型划分依据及分类标准制度建设的思考</w:t>
      </w:r>
      <w:r>
        <w:rPr>
          <w:rStyle w:val="13"/>
          <w:color w:val="0563C1"/>
        </w:rPr>
        <w:fldChar w:fldCharType="end"/>
      </w:r>
    </w:p>
    <w:p w14:paraId="3087AE75">
      <w:pPr>
        <w:spacing w:after="200" w:line="400" w:lineRule="atLeast"/>
      </w:pPr>
      <w:r>
        <w:fldChar w:fldCharType="begin"/>
      </w:r>
      <w:r>
        <w:instrText xml:space="preserve"> HYPERLINK "https://www.gecekitapligi.com/Webkontrol/uploads/Fck/38_Mimarlik_-_T%C3%BCrk%C3%A7e_-_ekim_-_v2.pdf" \h </w:instrText>
      </w:r>
      <w:r>
        <w:fldChar w:fldCharType="separate"/>
      </w:r>
      <w:r>
        <w:rPr>
          <w:rStyle w:val="13"/>
          <w:color w:val="0563C1"/>
        </w:rPr>
        <w:t>[239]. Mimarlık Alanında Uluslararası Araştırmalar ve Değerlendirmeler</w:t>
      </w:r>
      <w:r>
        <w:rPr>
          <w:rStyle w:val="13"/>
          <w:color w:val="0563C1"/>
        </w:rPr>
        <w:fldChar w:fldCharType="end"/>
      </w:r>
    </w:p>
    <w:p w14:paraId="74584C53">
      <w:pPr>
        <w:spacing w:after="200" w:line="400" w:lineRule="atLeast"/>
      </w:pPr>
      <w:r>
        <w:fldChar w:fldCharType="begin"/>
      </w:r>
      <w:r>
        <w:instrText xml:space="preserve"> HYPERLINK "http://www.l-h.cat/gdocs/d3785220.pdf" \h </w:instrText>
      </w:r>
      <w:r>
        <w:fldChar w:fldCharType="separate"/>
      </w:r>
      <w:r>
        <w:rPr>
          <w:rStyle w:val="13"/>
          <w:color w:val="0563C1"/>
        </w:rPr>
        <w:t>[240,242,370,371]. STEAM: A NEW WAY OF INTERACTING IN SCHOOLS AND MUSEUMS.</w:t>
      </w:r>
      <w:r>
        <w:rPr>
          <w:rStyle w:val="13"/>
          <w:color w:val="0563C1"/>
        </w:rPr>
        <w:fldChar w:fldCharType="end"/>
      </w:r>
    </w:p>
    <w:p w14:paraId="2F142E4F">
      <w:pPr>
        <w:spacing w:after="200" w:line="400" w:lineRule="atLeast"/>
      </w:pPr>
      <w:r>
        <w:fldChar w:fldCharType="begin"/>
      </w:r>
      <w:r>
        <w:instrText xml:space="preserve"> HYPERLINK "http://elar.kpnu.edu.ua:8081/xmlui/bitstream/handle/123456789/9309/Paur-I.V.-Osnovy-muzeinoi-spravy-2025.pdf?sequence=1" \h </w:instrText>
      </w:r>
      <w:r>
        <w:fldChar w:fldCharType="separate"/>
      </w:r>
      <w:r>
        <w:rPr>
          <w:rStyle w:val="13"/>
          <w:color w:val="0563C1"/>
        </w:rPr>
        <w:t>[241,252]. Основи музейної справи</w:t>
      </w:r>
      <w:r>
        <w:rPr>
          <w:rStyle w:val="13"/>
          <w:color w:val="0563C1"/>
        </w:rPr>
        <w:fldChar w:fldCharType="end"/>
      </w:r>
    </w:p>
    <w:p w14:paraId="386591FF">
      <w:pPr>
        <w:spacing w:after="200" w:line="400" w:lineRule="atLeast"/>
      </w:pPr>
      <w:r>
        <w:fldChar w:fldCharType="begin"/>
      </w:r>
      <w:r>
        <w:instrText xml:space="preserve"> HYPERLINK "https://ceca.mini.icom.museum/wp-content/uploads/sites/5/2021/06/best_practice_8_book_aout2019.pdf" \h </w:instrText>
      </w:r>
      <w:r>
        <w:fldChar w:fldCharType="separate"/>
      </w:r>
      <w:r>
        <w:rPr>
          <w:rStyle w:val="13"/>
          <w:color w:val="0563C1"/>
        </w:rPr>
        <w:t>[243,372]. BEST PRACTICE 8: A tool to improve museum education internationally</w:t>
      </w:r>
      <w:r>
        <w:rPr>
          <w:rStyle w:val="13"/>
          <w:color w:val="0563C1"/>
        </w:rPr>
        <w:fldChar w:fldCharType="end"/>
      </w:r>
    </w:p>
    <w:p w14:paraId="61181C8A">
      <w:pPr>
        <w:spacing w:after="200" w:line="400" w:lineRule="atLeast"/>
      </w:pPr>
      <w:r>
        <w:fldChar w:fldCharType="begin"/>
      </w:r>
      <w:r>
        <w:instrText xml:space="preserve"> HYPERLINK "https://epub.jku.at/download/pdf/10237304.pdf" \h </w:instrText>
      </w:r>
      <w:r>
        <w:fldChar w:fldCharType="separate"/>
      </w:r>
      <w:r>
        <w:rPr>
          <w:rStyle w:val="13"/>
          <w:color w:val="0563C1"/>
        </w:rPr>
        <w:t>[244]. STEAM practices connecting mathematics, arts, architecture, culture and history in a non-formal learning environment of a museum</w:t>
      </w:r>
      <w:r>
        <w:rPr>
          <w:rStyle w:val="13"/>
          <w:color w:val="0563C1"/>
        </w:rPr>
        <w:fldChar w:fldCharType="end"/>
      </w:r>
    </w:p>
    <w:p w14:paraId="382C91BD">
      <w:pPr>
        <w:spacing w:after="200" w:line="400" w:lineRule="atLeast"/>
      </w:pPr>
      <w:r>
        <w:fldChar w:fldCharType="begin"/>
      </w:r>
      <w:r>
        <w:instrText xml:space="preserve"> HYPERLINK "https://www.shizuhaku.net/uploads/research/5e8831a92eea0e5884c26e397e6a0c440eda9cfe.pdf" \h </w:instrText>
      </w:r>
      <w:r>
        <w:fldChar w:fldCharType="separate"/>
      </w:r>
      <w:r>
        <w:rPr>
          <w:rStyle w:val="13"/>
          <w:color w:val="0563C1"/>
        </w:rPr>
        <w:t>[245,248,369]. 博物館連携によるSTEAM教育プログラムの開発と実践－考古学と科学の視点を取り入れて－</w:t>
      </w:r>
      <w:r>
        <w:rPr>
          <w:rStyle w:val="13"/>
          <w:color w:val="0563C1"/>
        </w:rPr>
        <w:fldChar w:fldCharType="end"/>
      </w:r>
    </w:p>
    <w:p w14:paraId="7ACC4624">
      <w:pPr>
        <w:spacing w:after="200" w:line="400" w:lineRule="atLeast"/>
      </w:pPr>
      <w:r>
        <w:fldChar w:fldCharType="begin"/>
      </w:r>
      <w:r>
        <w:instrText xml:space="preserve"> HYPERLINK "https://www.aam-us.org/programs/advocacy/policy-issues/issue-stem-education/" \h </w:instrText>
      </w:r>
      <w:r>
        <w:fldChar w:fldCharType="separate"/>
      </w:r>
      <w:r>
        <w:rPr>
          <w:rStyle w:val="13"/>
          <w:color w:val="0563C1"/>
        </w:rPr>
        <w:t>[246,373]. Lifelong STEM Engagement</w:t>
      </w:r>
      <w:r>
        <w:rPr>
          <w:rStyle w:val="13"/>
          <w:color w:val="0563C1"/>
        </w:rPr>
        <w:fldChar w:fldCharType="end"/>
      </w:r>
    </w:p>
    <w:p w14:paraId="22DD2DB7">
      <w:pPr>
        <w:spacing w:after="200" w:line="400" w:lineRule="atLeast"/>
      </w:pPr>
      <w:r>
        <w:fldChar w:fldCharType="begin"/>
      </w:r>
      <w:r>
        <w:instrText xml:space="preserve"> HYPERLINK "https://exarc.net/sites/default/files/HandbookLLL%20in%20museums.pdf" \h </w:instrText>
      </w:r>
      <w:r>
        <w:fldChar w:fldCharType="separate"/>
      </w:r>
      <w:r>
        <w:rPr>
          <w:rStyle w:val="13"/>
          <w:color w:val="0563C1"/>
        </w:rPr>
        <w:t>[247,374]. Lifelong Learning in Museums: A European Handbook</w:t>
      </w:r>
      <w:r>
        <w:rPr>
          <w:rStyle w:val="13"/>
          <w:color w:val="0563C1"/>
        </w:rPr>
        <w:fldChar w:fldCharType="end"/>
      </w:r>
    </w:p>
    <w:p w14:paraId="11506F06">
      <w:pPr>
        <w:spacing w:after="200" w:line="400" w:lineRule="atLeast"/>
      </w:pPr>
      <w:r>
        <w:fldChar w:fldCharType="begin"/>
      </w:r>
      <w:r>
        <w:instrText xml:space="preserve"> HYPERLINK "http://woasfedu.ru/bulletin/magazinetopdf?idd=75" \h </w:instrText>
      </w:r>
      <w:r>
        <w:fldChar w:fldCharType="separate"/>
      </w:r>
      <w:r>
        <w:rPr>
          <w:rStyle w:val="13"/>
          <w:color w:val="0563C1"/>
        </w:rPr>
        <w:t>[249]. THE WORLD OF ACADEMIA: CULTURE, EDUCATION</w:t>
      </w:r>
      <w:r>
        <w:rPr>
          <w:rStyle w:val="13"/>
          <w:color w:val="0563C1"/>
        </w:rPr>
        <w:fldChar w:fldCharType="end"/>
      </w:r>
    </w:p>
    <w:p w14:paraId="6EEA29C0">
      <w:pPr>
        <w:spacing w:after="200" w:line="400" w:lineRule="atLeast"/>
      </w:pPr>
      <w:r>
        <w:fldChar w:fldCharType="begin"/>
      </w:r>
      <w:r>
        <w:instrText xml:space="preserve"> HYPERLINK "https://mp.weixin.qq.com/s?__biz=Mzg5NTcyOTY5NA==&amp;mid=2247484500&amp;idx=1&amp;sn=f55d90ab4246e3e52952bd65ab8a8b96&amp;chksm=c00aad25f77d2433506e15244679481121b56c71c041c59f8f53c918da2c4e672cf13a39fdc8&amp;scene=27" \h </w:instrText>
      </w:r>
      <w:r>
        <w:fldChar w:fldCharType="separate"/>
      </w:r>
      <w:r>
        <w:rPr>
          <w:rStyle w:val="13"/>
          <w:color w:val="0563C1"/>
        </w:rPr>
        <w:t>[250]. 活动·课程| 基于STEAM教育理念博物馆教育项目的构建 ——以...</w:t>
      </w:r>
      <w:r>
        <w:rPr>
          <w:rStyle w:val="13"/>
          <w:color w:val="0563C1"/>
        </w:rPr>
        <w:fldChar w:fldCharType="end"/>
      </w:r>
    </w:p>
    <w:p w14:paraId="4406B8B1">
      <w:pPr>
        <w:spacing w:after="200" w:line="400" w:lineRule="atLeast"/>
      </w:pPr>
      <w:r>
        <w:fldChar w:fldCharType="begin"/>
      </w:r>
      <w:r>
        <w:instrText xml:space="preserve"> HYPERLINK "https://erasmuse.liedm.net/pluginfile.php/1025/mod_resource/content/7/io3_Erasmuse_Handbook%28website%20version%29.pdf" \h </w:instrText>
      </w:r>
      <w:r>
        <w:fldChar w:fldCharType="separate"/>
      </w:r>
      <w:r>
        <w:rPr>
          <w:rStyle w:val="13"/>
          <w:color w:val="0563C1"/>
        </w:rPr>
        <w:t>[251]. Era's muse HANDBOOK New Era’s Museums: STEAM teaching Environments for Secondary School Education</w:t>
      </w:r>
      <w:r>
        <w:rPr>
          <w:rStyle w:val="13"/>
          <w:color w:val="0563C1"/>
        </w:rPr>
        <w:fldChar w:fldCharType="end"/>
      </w:r>
    </w:p>
    <w:p w14:paraId="6B431BA0">
      <w:pPr>
        <w:spacing w:after="200" w:line="400" w:lineRule="atLeast"/>
      </w:pPr>
      <w:r>
        <w:fldChar w:fldCharType="begin"/>
      </w:r>
      <w:r>
        <w:instrText xml:space="preserve"> HYPERLINK "https://steam-japan.com/education/" \h </w:instrText>
      </w:r>
      <w:r>
        <w:fldChar w:fldCharType="separate"/>
      </w:r>
      <w:r>
        <w:rPr>
          <w:rStyle w:val="13"/>
          <w:color w:val="0563C1"/>
        </w:rPr>
        <w:t>[253]. 世界のSTEAM教育</w:t>
      </w:r>
      <w:r>
        <w:rPr>
          <w:rStyle w:val="13"/>
          <w:color w:val="0563C1"/>
        </w:rPr>
        <w:fldChar w:fldCharType="end"/>
      </w:r>
    </w:p>
    <w:p w14:paraId="1B4D7B6B">
      <w:pPr>
        <w:spacing w:after="200" w:line="400" w:lineRule="atLeast"/>
      </w:pPr>
      <w:r>
        <w:fldChar w:fldCharType="begin"/>
      </w:r>
      <w:r>
        <w:instrText xml:space="preserve"> HYPERLINK "http://www.cnhubei.com/content/2022-07/23/content_14927635.html" \h </w:instrText>
      </w:r>
      <w:r>
        <w:fldChar w:fldCharType="separate"/>
      </w:r>
      <w:r>
        <w:rPr>
          <w:rStyle w:val="13"/>
          <w:color w:val="0563C1"/>
        </w:rPr>
        <w:t>[254,256,271]. 国家文物局:博物馆数量十年增长60% 接待观众数量增长119%</w:t>
      </w:r>
      <w:r>
        <w:rPr>
          <w:rStyle w:val="13"/>
          <w:color w:val="0563C1"/>
        </w:rPr>
        <w:fldChar w:fldCharType="end"/>
      </w:r>
    </w:p>
    <w:p w14:paraId="049A04EC">
      <w:pPr>
        <w:spacing w:after="200" w:line="400" w:lineRule="atLeast"/>
      </w:pPr>
      <w:r>
        <w:fldChar w:fldCharType="begin"/>
      </w:r>
      <w:r>
        <w:instrText xml:space="preserve"> HYPERLINK "http://ent.people.com.cn/n1/2022/0723/c1012-32483780.html" \h </w:instrText>
      </w:r>
      <w:r>
        <w:fldChar w:fldCharType="separate"/>
      </w:r>
      <w:r>
        <w:rPr>
          <w:rStyle w:val="13"/>
          <w:color w:val="0563C1"/>
        </w:rPr>
        <w:t>[255,257,272]. 国家文物局：博物馆数量十年增长60% 接待观众数量增长119%</w:t>
      </w:r>
      <w:r>
        <w:rPr>
          <w:rStyle w:val="13"/>
          <w:color w:val="0563C1"/>
        </w:rPr>
        <w:fldChar w:fldCharType="end"/>
      </w:r>
    </w:p>
    <w:p w14:paraId="4737E240">
      <w:pPr>
        <w:spacing w:after="200" w:line="400" w:lineRule="atLeast"/>
      </w:pPr>
      <w:r>
        <w:fldChar w:fldCharType="begin"/>
      </w:r>
      <w:r>
        <w:instrText xml:space="preserve"> HYPERLINK "http://cpc.people.com.cn/n1/2025/0524/c64387-40486762.html" \h </w:instrText>
      </w:r>
      <w:r>
        <w:fldChar w:fldCharType="separate"/>
      </w:r>
      <w:r>
        <w:rPr>
          <w:rStyle w:val="13"/>
          <w:color w:val="0563C1"/>
        </w:rPr>
        <w:t>[260,261,328]. 国家文物局发布2024年我国博物馆事业发展最新数据</w:t>
      </w:r>
      <w:r>
        <w:rPr>
          <w:rStyle w:val="13"/>
          <w:color w:val="0563C1"/>
        </w:rPr>
        <w:fldChar w:fldCharType="end"/>
      </w:r>
    </w:p>
    <w:p w14:paraId="5906A9AE">
      <w:pPr>
        <w:spacing w:after="200" w:line="400" w:lineRule="atLeast"/>
      </w:pPr>
      <w:r>
        <w:fldChar w:fldCharType="begin"/>
      </w:r>
      <w:r>
        <w:instrText xml:space="preserve"> HYPERLINK "https://catalogus.boekman.nl/pub/93-291.pdf" \h </w:instrText>
      </w:r>
      <w:r>
        <w:fldChar w:fldCharType="separate"/>
      </w:r>
      <w:r>
        <w:rPr>
          <w:rStyle w:val="13"/>
          <w:color w:val="0563C1"/>
        </w:rPr>
        <w:t>[266]. Museums: Building a Future as Solid as the Past</w:t>
      </w:r>
      <w:r>
        <w:rPr>
          <w:rStyle w:val="13"/>
          <w:color w:val="0563C1"/>
        </w:rPr>
        <w:fldChar w:fldCharType="end"/>
      </w:r>
    </w:p>
    <w:p w14:paraId="15414970">
      <w:pPr>
        <w:spacing w:after="200" w:line="400" w:lineRule="atLeast"/>
      </w:pPr>
      <w:r>
        <w:fldChar w:fldCharType="begin"/>
      </w:r>
      <w:r>
        <w:instrText xml:space="preserve"> HYPERLINK "https://www.aam-us.org/2025/11/11/national-survey-reveals-alarming-downturn-museums-face-worst-financial-outlook-since-pandemic/#%3A~%3Atext%3DNearly%20one-third%20%2829%25%29%2Cfrom%2057%25%20the%20previous%20year" \h </w:instrText>
      </w:r>
      <w:r>
        <w:fldChar w:fldCharType="separate"/>
      </w:r>
      <w:r>
        <w:rPr>
          <w:rStyle w:val="13"/>
          <w:color w:val="0563C1"/>
        </w:rPr>
        <w:t>[278,287,346]. AAM Annual Report on the Current State of United States Museums</w:t>
      </w:r>
      <w:r>
        <w:rPr>
          <w:rStyle w:val="13"/>
          <w:color w:val="0563C1"/>
        </w:rPr>
        <w:fldChar w:fldCharType="end"/>
      </w:r>
    </w:p>
    <w:p w14:paraId="426B03B5">
      <w:pPr>
        <w:spacing w:after="200" w:line="400" w:lineRule="atLeast"/>
      </w:pPr>
      <w:r>
        <w:fldChar w:fldCharType="begin"/>
      </w:r>
      <w:r>
        <w:instrText xml:space="preserve"> HYPERLINK "http://www.aam-us.org/about-us/what-we-do/museums-k12" \h </w:instrText>
      </w:r>
      <w:r>
        <w:fldChar w:fldCharType="separate"/>
      </w:r>
      <w:r>
        <w:rPr>
          <w:rStyle w:val="13"/>
          <w:color w:val="0563C1"/>
        </w:rPr>
        <w:t>[279]. Museums and Education Policy</w:t>
      </w:r>
      <w:r>
        <w:rPr>
          <w:rStyle w:val="13"/>
          <w:color w:val="0563C1"/>
        </w:rPr>
        <w:fldChar w:fldCharType="end"/>
      </w:r>
    </w:p>
    <w:p w14:paraId="36B47AC0">
      <w:pPr>
        <w:spacing w:after="200" w:line="400" w:lineRule="atLeast"/>
      </w:pPr>
      <w:r>
        <w:fldChar w:fldCharType="begin"/>
      </w:r>
      <w:r>
        <w:instrText xml:space="preserve"> HYPERLINK "https://live-aam-2017.alleydev.com/programs/museums-and-p-12-education/" \h </w:instrText>
      </w:r>
      <w:r>
        <w:fldChar w:fldCharType="separate"/>
      </w:r>
      <w:r>
        <w:rPr>
          <w:rStyle w:val="13"/>
          <w:color w:val="0563C1"/>
        </w:rPr>
        <w:t>[280]. Museums and P-12 Education</w:t>
      </w:r>
      <w:r>
        <w:rPr>
          <w:rStyle w:val="13"/>
          <w:color w:val="0563C1"/>
        </w:rPr>
        <w:fldChar w:fldCharType="end"/>
      </w:r>
    </w:p>
    <w:p w14:paraId="20D809EB">
      <w:pPr>
        <w:spacing w:after="200" w:line="400" w:lineRule="atLeast"/>
      </w:pPr>
      <w:r>
        <w:fldChar w:fldCharType="begin"/>
      </w:r>
      <w:r>
        <w:instrText xml:space="preserve"> HYPERLINK "https://www.aam-us.org/2024/11/29/imaginative-learning-in-museums-part-1-a-2024-annual-survey-of-museum-goers-data-story/" \h </w:instrText>
      </w:r>
      <w:r>
        <w:fldChar w:fldCharType="separate"/>
      </w:r>
      <w:r>
        <w:rPr>
          <w:rStyle w:val="13"/>
          <w:color w:val="0563C1"/>
        </w:rPr>
        <w:t>[286]. Imaginative Learning in Museums: Part 1 - Data Story 2024</w:t>
      </w:r>
      <w:r>
        <w:rPr>
          <w:rStyle w:val="13"/>
          <w:color w:val="0563C1"/>
        </w:rPr>
        <w:fldChar w:fldCharType="end"/>
      </w:r>
    </w:p>
    <w:p w14:paraId="2847D125">
      <w:pPr>
        <w:spacing w:after="200" w:line="400" w:lineRule="atLeast"/>
      </w:pPr>
      <w:r>
        <w:fldChar w:fldCharType="begin"/>
      </w:r>
      <w:r>
        <w:instrText xml:space="preserve"> HYPERLINK "https://fiuc.mileva-ai.ch/dashboards/5MTJzxj68NA6Gxa/news/dig_5f2ca0933f455530353386398b33a9a7.pdf" \h </w:instrText>
      </w:r>
      <w:r>
        <w:fldChar w:fldCharType="separate"/>
      </w:r>
      <w:r>
        <w:rPr>
          <w:rStyle w:val="13"/>
          <w:color w:val="0563C1"/>
        </w:rPr>
        <w:t>[293,375]. Ensuring Quality Education and Good Learning Environments for Students</w:t>
      </w:r>
      <w:r>
        <w:rPr>
          <w:rStyle w:val="13"/>
          <w:color w:val="0563C1"/>
        </w:rPr>
        <w:fldChar w:fldCharType="end"/>
      </w:r>
    </w:p>
    <w:p w14:paraId="66C7F5F0">
      <w:pPr>
        <w:spacing w:after="400" w:line="400" w:lineRule="atLeast"/>
      </w:pPr>
      <w:r>
        <w:rPr>
          <w:i/>
        </w:rPr>
        <w:t>以下来源未被直接引用</w:t>
      </w:r>
    </w:p>
    <w:p w14:paraId="42E7966A">
      <w:pPr>
        <w:spacing w:after="200" w:line="400" w:lineRule="atLeast"/>
      </w:pPr>
      <w:r>
        <w:fldChar w:fldCharType="begin"/>
      </w:r>
      <w:r>
        <w:instrText xml:space="preserve"> HYPERLINK "https://files.metaso.cn/api/public-file/preview?fileName=8686285908690173952.pdf" \h </w:instrText>
      </w:r>
      <w:r>
        <w:fldChar w:fldCharType="separate"/>
      </w:r>
      <w:r>
        <w:rPr>
          <w:rStyle w:val="13"/>
          <w:color w:val="0563C1"/>
        </w:rPr>
        <w:t>中央政策：文旅类项目开发，补助资金100%</w:t>
      </w:r>
      <w:r>
        <w:rPr>
          <w:rStyle w:val="13"/>
          <w:color w:val="0563C1"/>
        </w:rPr>
        <w:fldChar w:fldCharType="end"/>
      </w:r>
    </w:p>
    <w:p w14:paraId="3582F978">
      <w:pPr>
        <w:spacing w:after="200" w:line="400" w:lineRule="atLeast"/>
      </w:pPr>
      <w:r>
        <w:fldChar w:fldCharType="begin"/>
      </w:r>
      <w:r>
        <w:instrText xml:space="preserve"> HYPERLINK "https://www.sohu.com/a/141554553_114731" \h </w:instrText>
      </w:r>
      <w:r>
        <w:fldChar w:fldCharType="separate"/>
      </w:r>
      <w:r>
        <w:rPr>
          <w:rStyle w:val="13"/>
          <w:color w:val="0563C1"/>
        </w:rPr>
        <w:t>2016年,我国博物馆接待观众8.5亿人次,同比增长8.9%</w:t>
      </w:r>
      <w:r>
        <w:rPr>
          <w:rStyle w:val="13"/>
          <w:color w:val="0563C1"/>
        </w:rPr>
        <w:fldChar w:fldCharType="end"/>
      </w:r>
    </w:p>
    <w:p w14:paraId="10BB98E6">
      <w:pPr>
        <w:spacing w:after="200" w:line="400" w:lineRule="atLeast"/>
      </w:pPr>
      <w:r>
        <w:fldChar w:fldCharType="begin"/>
      </w:r>
      <w:r>
        <w:instrText xml:space="preserve"> HYPERLINK "https://old.nsi.bg/sites/default/files/files/publications/StatBook2025_en.pdf" \h </w:instrText>
      </w:r>
      <w:r>
        <w:fldChar w:fldCharType="separate"/>
      </w:r>
      <w:r>
        <w:rPr>
          <w:rStyle w:val="13"/>
          <w:color w:val="0563C1"/>
        </w:rPr>
        <w:t>Statistical Reference Book 2025</w:t>
      </w:r>
      <w:r>
        <w:rPr>
          <w:rStyle w:val="13"/>
          <w:color w:val="0563C1"/>
        </w:rPr>
        <w:fldChar w:fldCharType="end"/>
      </w:r>
    </w:p>
    <w:p w14:paraId="13BEB052">
      <w:pPr>
        <w:spacing w:after="200" w:line="400" w:lineRule="atLeast"/>
      </w:pPr>
      <w:r>
        <w:fldChar w:fldCharType="begin"/>
      </w:r>
      <w:r>
        <w:instrText xml:space="preserve"> HYPERLINK "http://www.jinchangdaily.com/epaper/pc/att/202505/20/da931c1f-d46d-4fbc-87ab-5ae5c5475079.pdf" \h </w:instrText>
      </w:r>
      <w:r>
        <w:fldChar w:fldCharType="separate"/>
      </w:r>
      <w:r>
        <w:rPr>
          <w:rStyle w:val="13"/>
          <w:color w:val="0563C1"/>
        </w:rPr>
        <w:t>新顶流！一年14.9亿人次打卡博物馆</w:t>
      </w:r>
      <w:r>
        <w:rPr>
          <w:rStyle w:val="13"/>
          <w:color w:val="0563C1"/>
        </w:rPr>
        <w:fldChar w:fldCharType="end"/>
      </w:r>
    </w:p>
    <w:p w14:paraId="67A089D4">
      <w:pPr>
        <w:spacing w:after="200" w:line="400" w:lineRule="atLeast"/>
      </w:pPr>
      <w:r>
        <w:fldChar w:fldCharType="begin"/>
      </w:r>
      <w:r>
        <w:instrText xml:space="preserve"> HYPERLINK "http://paper.people.com.cn/rmrb/pc/attachement/202510/14/d4bee21e-6a94-4c63-a128-34ad498b039a.pdf" \h </w:instrText>
      </w:r>
      <w:r>
        <w:fldChar w:fldCharType="separate"/>
      </w:r>
      <w:r>
        <w:rPr>
          <w:rStyle w:val="13"/>
          <w:color w:val="0563C1"/>
        </w:rPr>
        <w:t>博物馆如何加速成长</w:t>
      </w:r>
      <w:r>
        <w:rPr>
          <w:rStyle w:val="13"/>
          <w:color w:val="0563C1"/>
        </w:rPr>
        <w:fldChar w:fldCharType="end"/>
      </w:r>
    </w:p>
    <w:p w14:paraId="729D54DF">
      <w:pPr>
        <w:spacing w:after="200" w:line="400" w:lineRule="atLeast"/>
      </w:pPr>
      <w:r>
        <w:fldChar w:fldCharType="begin"/>
      </w:r>
      <w:r>
        <w:instrText xml:space="preserve"> HYPERLINK "https://scholars.csus.edu/esploro/fulltext/graduate/Sacramento-Pullman-Strike-of-1894-Traveling/99258255997601671?repId=12295520320001671&amp;mId=13295520310001671&amp;institution=01CALS_USL" \h </w:instrText>
      </w:r>
      <w:r>
        <w:fldChar w:fldCharType="separate"/>
      </w:r>
      <w:r>
        <w:rPr>
          <w:rStyle w:val="13"/>
          <w:color w:val="0563C1"/>
        </w:rPr>
        <w:t>SACRAMENTO PULLMAN STRIKE OF 1894: TRAVELING TRUNKS AND BRINGING LOCAL LABOR HISTORY TO THE CLASSROOM</w:t>
      </w:r>
      <w:r>
        <w:rPr>
          <w:rStyle w:val="13"/>
          <w:color w:val="0563C1"/>
        </w:rPr>
        <w:fldChar w:fldCharType="end"/>
      </w:r>
    </w:p>
    <w:p w14:paraId="71C57798">
      <w:pPr>
        <w:spacing w:after="200" w:line="400" w:lineRule="atLeast"/>
      </w:pPr>
      <w:r>
        <w:fldChar w:fldCharType="begin"/>
      </w:r>
      <w:r>
        <w:instrText xml:space="preserve"> HYPERLINK "https://files.metaso.cn/api/public-file/preview?fileName=8687069636585500672.pdf" \h </w:instrText>
      </w:r>
      <w:r>
        <w:fldChar w:fldCharType="separate"/>
      </w:r>
      <w:r>
        <w:rPr>
          <w:rStyle w:val="13"/>
          <w:color w:val="0563C1"/>
        </w:rPr>
        <w:t>可持续旅游：社区韧性发展新路径</w:t>
      </w:r>
      <w:r>
        <w:rPr>
          <w:rStyle w:val="13"/>
          <w:color w:val="0563C1"/>
        </w:rPr>
        <w:fldChar w:fldCharType="end"/>
      </w:r>
    </w:p>
    <w:p w14:paraId="14BA5977">
      <w:pPr>
        <w:spacing w:after="200" w:line="400" w:lineRule="atLeast"/>
      </w:pPr>
      <w:r>
        <w:fldChar w:fldCharType="begin"/>
      </w:r>
      <w:r>
        <w:instrText xml:space="preserve"> HYPERLINK "https://www.aam-us.org/2022/02/08/museum-field-experiencing-compounding-financial-losses-new-survey-reveals/" \h </w:instrText>
      </w:r>
      <w:r>
        <w:fldChar w:fldCharType="separate"/>
      </w:r>
      <w:r>
        <w:rPr>
          <w:rStyle w:val="13"/>
          <w:color w:val="0563C1"/>
        </w:rPr>
        <w:t>The American Alliance of Museums Releases Survey Findings on the Impact of the Pandemic on the Museum Field</w:t>
      </w:r>
      <w:r>
        <w:rPr>
          <w:rStyle w:val="13"/>
          <w:color w:val="0563C1"/>
        </w:rPr>
        <w:fldChar w:fldCharType="end"/>
      </w:r>
    </w:p>
    <w:p w14:paraId="34FDB2C1">
      <w:pPr>
        <w:spacing w:after="200" w:line="400" w:lineRule="atLeast"/>
      </w:pPr>
      <w:r>
        <w:fldChar w:fldCharType="begin"/>
      </w:r>
      <w:r>
        <w:instrText xml:space="preserve"> HYPERLINK "https://collection.sina.cn/yejie/2020-07-27/detail-iivhvpwx7663418.d.html?vt=4&amp;wm=1829100" \h </w:instrText>
      </w:r>
      <w:r>
        <w:fldChar w:fldCharType="separate"/>
      </w:r>
      <w:r>
        <w:rPr>
          <w:rStyle w:val="13"/>
          <w:color w:val="0563C1"/>
        </w:rPr>
        <w:t>美国博物馆联盟（AAM）调查报告</w:t>
      </w:r>
      <w:r>
        <w:rPr>
          <w:rStyle w:val="13"/>
          <w:color w:val="0563C1"/>
        </w:rPr>
        <w:fldChar w:fldCharType="end"/>
      </w:r>
    </w:p>
    <w:p w14:paraId="5FBF7672">
      <w:pPr>
        <w:spacing w:after="200" w:line="400" w:lineRule="atLeast"/>
      </w:pPr>
      <w:r>
        <w:fldChar w:fldCharType="begin"/>
      </w:r>
      <w:r>
        <w:instrText xml:space="preserve"> HYPERLINK "https://github.com/humana-fragilitas/museum-alert" \h </w:instrText>
      </w:r>
      <w:r>
        <w:fldChar w:fldCharType="separate"/>
      </w:r>
      <w:r>
        <w:rPr>
          <w:rStyle w:val="13"/>
          <w:color w:val="0563C1"/>
        </w:rPr>
        <w:t>Museum Alert</w:t>
      </w:r>
      <w:r>
        <w:rPr>
          <w:rStyle w:val="13"/>
          <w:color w:val="0563C1"/>
        </w:rPr>
        <w:fldChar w:fldCharType="end"/>
      </w:r>
    </w:p>
    <w:p w14:paraId="7A734B68">
      <w:pPr>
        <w:spacing w:after="200" w:line="400" w:lineRule="atLeast"/>
      </w:pPr>
      <w:r>
        <w:fldChar w:fldCharType="begin"/>
      </w:r>
      <w:r>
        <w:instrText xml:space="preserve"> HYPERLINK "https://www.mext.go.jp/a_menu/ikusei/chousa/__icsFiles/afieldfile/2014/10/10/1350085_01.pdf" \h </w:instrText>
      </w:r>
      <w:r>
        <w:fldChar w:fldCharType="separate"/>
      </w:r>
      <w:r>
        <w:rPr>
          <w:rStyle w:val="13"/>
          <w:color w:val="0563C1"/>
        </w:rPr>
        <w:t>諸外国の博物館政策に関する調査研究報告書</w:t>
      </w:r>
      <w:r>
        <w:rPr>
          <w:rStyle w:val="13"/>
          <w:color w:val="0563C1"/>
        </w:rPr>
        <w:fldChar w:fldCharType="end"/>
      </w:r>
    </w:p>
    <w:p w14:paraId="7BD0F1AA">
      <w:pPr>
        <w:spacing w:after="200" w:line="400" w:lineRule="atLeast"/>
      </w:pPr>
      <w:r>
        <w:fldChar w:fldCharType="begin"/>
      </w:r>
      <w:r>
        <w:instrText xml:space="preserve"> HYPERLINK "https://www.statista.com/statistics/422343/british-museum-visitor-numbers-uk/?srsltid=AfmBOoqFnmD2nCk2g5ZnnHOYkUap7UDMh5sNiKo8DbB21r48Td9Lu7_N" \h </w:instrText>
      </w:r>
      <w:r>
        <w:fldChar w:fldCharType="separate"/>
      </w:r>
      <w:r>
        <w:rPr>
          <w:rStyle w:val="13"/>
          <w:color w:val="0563C1"/>
        </w:rPr>
        <w:t>Number of visitors to the British Museum in London, England from 2011 to 2024 (in 1,000s)</w:t>
      </w:r>
      <w:r>
        <w:rPr>
          <w:rStyle w:val="13"/>
          <w:color w:val="0563C1"/>
        </w:rPr>
        <w:fldChar w:fldCharType="end"/>
      </w:r>
    </w:p>
    <w:p w14:paraId="6B943A29">
      <w:pPr>
        <w:spacing w:after="200" w:line="400" w:lineRule="atLeast"/>
      </w:pPr>
      <w:r>
        <w:fldChar w:fldCharType="begin"/>
      </w:r>
      <w:r>
        <w:instrText xml:space="preserve"> HYPERLINK "https://wp.wpi.edu/london/files/2025/03/BM_Report-2.pdf" \h </w:instrText>
      </w:r>
      <w:r>
        <w:fldChar w:fldCharType="separate"/>
      </w:r>
      <w:r>
        <w:rPr>
          <w:rStyle w:val="13"/>
          <w:color w:val="0563C1"/>
        </w:rPr>
        <w:t>International Tour Groups at the British Museum</w:t>
      </w:r>
      <w:r>
        <w:rPr>
          <w:rStyle w:val="13"/>
          <w:color w:val="0563C1"/>
        </w:rPr>
        <w:fldChar w:fldCharType="end"/>
      </w:r>
    </w:p>
    <w:p w14:paraId="3E0DFD89">
      <w:pPr>
        <w:spacing w:after="200" w:line="400" w:lineRule="atLeast"/>
      </w:pPr>
      <w:r>
        <w:fldChar w:fldCharType="begin"/>
      </w:r>
      <w:r>
        <w:instrText xml:space="preserve"> HYPERLINK "https://files.metaso.cn/api/public-file/preview?fileName=8683744274572439552.pdf" \h </w:instrText>
      </w:r>
      <w:r>
        <w:fldChar w:fldCharType="separate"/>
      </w:r>
      <w:r>
        <w:rPr>
          <w:rStyle w:val="13"/>
          <w:color w:val="0563C1"/>
        </w:rPr>
        <w:t>The arts in the UK: Seeing the big picture</w:t>
      </w:r>
      <w:r>
        <w:rPr>
          <w:rStyle w:val="13"/>
          <w:color w:val="0563C1"/>
        </w:rPr>
        <w:fldChar w:fldCharType="end"/>
      </w:r>
    </w:p>
    <w:p w14:paraId="7CD25BAA">
      <w:pPr>
        <w:spacing w:after="200" w:line="400" w:lineRule="atLeast"/>
      </w:pPr>
      <w:r>
        <w:fldChar w:fldCharType="begin"/>
      </w:r>
      <w:r>
        <w:instrText xml:space="preserve"> HYPERLINK "https://www.gov.uk/government/statistics/participation-survey-october-to-december-2024-publication/participation-survey-october-to-december-2024-technical-report" \h </w:instrText>
      </w:r>
      <w:r>
        <w:fldChar w:fldCharType="separate"/>
      </w:r>
      <w:r>
        <w:rPr>
          <w:rStyle w:val="13"/>
          <w:color w:val="0563C1"/>
        </w:rPr>
        <w:t>Participation Survey October to December 2024 Technical Report</w:t>
      </w:r>
      <w:r>
        <w:rPr>
          <w:rStyle w:val="13"/>
          <w:color w:val="0563C1"/>
        </w:rPr>
        <w:fldChar w:fldCharType="end"/>
      </w:r>
    </w:p>
    <w:p w14:paraId="37457AC0">
      <w:pPr>
        <w:spacing w:after="200" w:line="400" w:lineRule="atLeast"/>
      </w:pPr>
      <w:r>
        <w:fldChar w:fldCharType="begin"/>
      </w:r>
      <w:r>
        <w:instrText xml:space="preserve"> HYPERLINK "https://www.gov.uk/government/organisations/department-for-culture-media-and-sport#%3A~%3Atext%3DThe%20department%20champions%20sport%20for%2C42%20agencies%20and%20public%20bodies." \h </w:instrText>
      </w:r>
      <w:r>
        <w:fldChar w:fldCharType="separate"/>
      </w:r>
      <w:r>
        <w:rPr>
          <w:rStyle w:val="13"/>
          <w:color w:val="0563C1"/>
        </w:rPr>
        <w:t>Department for Culture, Media and Sport</w:t>
      </w:r>
      <w:r>
        <w:rPr>
          <w:rStyle w:val="13"/>
          <w:color w:val="0563C1"/>
        </w:rPr>
        <w:fldChar w:fldCharType="end"/>
      </w:r>
    </w:p>
    <w:p w14:paraId="5EACA790">
      <w:pPr>
        <w:spacing w:after="200" w:line="400" w:lineRule="atLeast"/>
      </w:pPr>
      <w:r>
        <w:fldChar w:fldCharType="begin"/>
      </w:r>
      <w:r>
        <w:instrText xml:space="preserve"> HYPERLINK "https://fr.eddiwan.dz/wp-content/uploads/2026/02/Fr-20.pdf" \h </w:instrText>
      </w:r>
      <w:r>
        <w:fldChar w:fldCharType="separate"/>
      </w:r>
      <w:r>
        <w:rPr>
          <w:rStyle w:val="13"/>
          <w:color w:val="0563C1"/>
        </w:rPr>
        <w:t>[PDF] L'Armée déjoue deux tentatives de trafic de cocaïne et de kif traité page 3</w:t>
      </w:r>
      <w:r>
        <w:rPr>
          <w:rStyle w:val="13"/>
          <w:color w:val="0563C1"/>
        </w:rPr>
        <w:fldChar w:fldCharType="end"/>
      </w:r>
    </w:p>
    <w:p w14:paraId="03AA1B9B">
      <w:pPr>
        <w:spacing w:after="200" w:line="400" w:lineRule="atLeast"/>
      </w:pPr>
      <w:r>
        <w:fldChar w:fldCharType="begin"/>
      </w:r>
      <w:r>
        <w:instrText xml:space="preserve"> HYPERLINK "https://pedagogie.ac-strasbourg.fr/ecogestion/usages-du-numerique/la-lettre-edu-num/" \h </w:instrText>
      </w:r>
      <w:r>
        <w:fldChar w:fldCharType="separate"/>
      </w:r>
      <w:r>
        <w:rPr>
          <w:rStyle w:val="13"/>
          <w:color w:val="0563C1"/>
        </w:rPr>
        <w:t>La lettre ÉDU_NUM</w:t>
      </w:r>
      <w:r>
        <w:rPr>
          <w:rStyle w:val="13"/>
          <w:color w:val="0563C1"/>
        </w:rPr>
        <w:fldChar w:fldCharType="end"/>
      </w:r>
    </w:p>
    <w:p w14:paraId="746938B1">
      <w:pPr>
        <w:spacing w:after="200" w:line="400" w:lineRule="atLeast"/>
      </w:pPr>
      <w:r>
        <w:fldChar w:fldCharType="begin"/>
      </w:r>
      <w:r>
        <w:instrText xml:space="preserve"> HYPERLINK "https://www.smb.museum/fileadmin/website/Institute/Institut_fuer_Museumsforschung/Publikationen/Mitteilungen/MIT054.pdf" \h </w:instrText>
      </w:r>
      <w:r>
        <w:fldChar w:fldCharType="separate"/>
      </w:r>
      <w:r>
        <w:rPr>
          <w:rStyle w:val="13"/>
          <w:color w:val="0563C1"/>
        </w:rPr>
        <w:t>Synopse Freier Eintritt, Ermäßigungen und Eintrittspreise der Museen in Deutschland</w:t>
      </w:r>
      <w:r>
        <w:rPr>
          <w:rStyle w:val="13"/>
          <w:color w:val="0563C1"/>
        </w:rPr>
        <w:fldChar w:fldCharType="end"/>
      </w:r>
    </w:p>
    <w:p w14:paraId="11B778A8">
      <w:pPr>
        <w:spacing w:after="200" w:line="400" w:lineRule="atLeast"/>
      </w:pPr>
      <w:r>
        <w:fldChar w:fldCharType="begin"/>
      </w:r>
      <w:r>
        <w:instrText xml:space="preserve"> HYPERLINK "https://stat.ee/en/find-statistics/methodology-and-quality/esms-metadata/40407" \h </w:instrText>
      </w:r>
      <w:r>
        <w:fldChar w:fldCharType="separate"/>
      </w:r>
      <w:r>
        <w:rPr>
          <w:rStyle w:val="13"/>
          <w:color w:val="0563C1"/>
        </w:rPr>
        <w:t>Museums and their branches by type and type of ownership; number of employees, attendance, number of exhibitions and museum events, income and expenditures, museum space, collection, and information and communication technology used in museums</w:t>
      </w:r>
      <w:r>
        <w:rPr>
          <w:rStyle w:val="13"/>
          <w:color w:val="0563C1"/>
        </w:rPr>
        <w:fldChar w:fldCharType="end"/>
      </w:r>
    </w:p>
    <w:p w14:paraId="220978CD">
      <w:pPr>
        <w:spacing w:after="200" w:line="400" w:lineRule="atLeast"/>
      </w:pPr>
      <w:r>
        <w:fldChar w:fldCharType="begin"/>
      </w:r>
      <w:r>
        <w:instrText xml:space="preserve"> HYPERLINK "https://ndltd.ncl.edu.tw/cgi-bin/gs32/gsweb.cgi/login?o=dnclcdr&amp;s=id=%22111CHPI068B007%22.&amp;searchmode=basic" \h </w:instrText>
      </w:r>
      <w:r>
        <w:fldChar w:fldCharType="separate"/>
      </w:r>
      <w:r>
        <w:rPr>
          <w:rStyle w:val="13"/>
          <w:color w:val="0563C1"/>
        </w:rPr>
        <w:t>文化統計-文化相關機關參觀人次</w:t>
      </w:r>
      <w:r>
        <w:rPr>
          <w:rStyle w:val="13"/>
          <w:color w:val="0563C1"/>
        </w:rPr>
        <w:fldChar w:fldCharType="end"/>
      </w:r>
    </w:p>
    <w:p w14:paraId="7F52EE3B">
      <w:pPr>
        <w:spacing w:after="200" w:line="400" w:lineRule="atLeast"/>
      </w:pPr>
      <w:r>
        <w:fldChar w:fldCharType="begin"/>
      </w:r>
      <w:r>
        <w:instrText xml:space="preserve"> HYPERLINK "https://catalog.lib.kyushu-u.ac.jp/opac_download_md/1500739/design0178.pdf" \h </w:instrText>
      </w:r>
      <w:r>
        <w:fldChar w:fldCharType="separate"/>
      </w:r>
      <w:r>
        <w:rPr>
          <w:rStyle w:val="13"/>
          <w:color w:val="0563C1"/>
        </w:rPr>
        <w:t>Layout Design Study for the Medium-sized Historic Museum in China : Exhibition Space Layout Research of Museum Design</w:t>
      </w:r>
      <w:r>
        <w:rPr>
          <w:rStyle w:val="13"/>
          <w:color w:val="0563C1"/>
        </w:rPr>
        <w:fldChar w:fldCharType="end"/>
      </w:r>
    </w:p>
    <w:p w14:paraId="67DE7B6D">
      <w:pPr>
        <w:spacing w:after="200" w:line="400" w:lineRule="atLeast"/>
      </w:pPr>
      <w:r>
        <w:fldChar w:fldCharType="begin"/>
      </w:r>
      <w:r>
        <w:instrText xml:space="preserve"> HYPERLINK "https://news.sohu.com/a/582557401_121119019" \h </w:instrText>
      </w:r>
      <w:r>
        <w:fldChar w:fldCharType="separate"/>
      </w:r>
      <w:r>
        <w:rPr>
          <w:rStyle w:val="13"/>
          <w:color w:val="0563C1"/>
        </w:rPr>
        <w:t>博物馆类型划分依据及中国博物馆分类标准制度建设的思考</w:t>
      </w:r>
      <w:r>
        <w:rPr>
          <w:rStyle w:val="13"/>
          <w:color w:val="0563C1"/>
        </w:rPr>
        <w:fldChar w:fldCharType="end"/>
      </w:r>
    </w:p>
    <w:p w14:paraId="5E7C24E2">
      <w:pPr>
        <w:spacing w:after="200" w:line="400" w:lineRule="atLeast"/>
      </w:pPr>
      <w:r>
        <w:fldChar w:fldCharType="begin"/>
      </w:r>
      <w:r>
        <w:instrText xml:space="preserve"> HYPERLINK "https://openspaces.unk.edu/cgi/viewcontent.cgi?article=1003&amp;context=art-etd-895" \h </w:instrText>
      </w:r>
      <w:r>
        <w:fldChar w:fldCharType="separate"/>
      </w:r>
      <w:r>
        <w:rPr>
          <w:rStyle w:val="13"/>
          <w:color w:val="0563C1"/>
        </w:rPr>
        <w:t>Examining STEAM Education Programs within Art Museums: “A” is for Art Museums</w:t>
      </w:r>
      <w:r>
        <w:rPr>
          <w:rStyle w:val="13"/>
          <w:color w:val="0563C1"/>
        </w:rPr>
        <w:fldChar w:fldCharType="end"/>
      </w:r>
    </w:p>
    <w:p w14:paraId="2C5FC0A6">
      <w:pPr>
        <w:spacing w:after="200" w:line="400" w:lineRule="atLeast"/>
      </w:pPr>
      <w:r>
        <w:fldChar w:fldCharType="begin"/>
      </w:r>
      <w:r>
        <w:instrText xml:space="preserve"> HYPERLINK "https://m.douban.com/note/667990367" \h </w:instrText>
      </w:r>
      <w:r>
        <w:fldChar w:fldCharType="separate"/>
      </w:r>
      <w:r>
        <w:rPr>
          <w:rStyle w:val="13"/>
          <w:color w:val="0563C1"/>
        </w:rPr>
        <w:t>STEAM热潮下的博物馆教育思考</w:t>
      </w:r>
      <w:r>
        <w:rPr>
          <w:rStyle w:val="13"/>
          <w:color w:val="0563C1"/>
        </w:rPr>
        <w:fldChar w:fldCharType="end"/>
      </w:r>
    </w:p>
    <w:p w14:paraId="6CE5C155">
      <w:pPr>
        <w:spacing w:after="200" w:line="400" w:lineRule="atLeast"/>
      </w:pPr>
      <w:r>
        <w:fldChar w:fldCharType="begin"/>
      </w:r>
      <w:r>
        <w:instrText xml:space="preserve"> HYPERLINK "https://www.mdpi.com/2227-7102/12/1/30" \h </w:instrText>
      </w:r>
      <w:r>
        <w:fldChar w:fldCharType="separate"/>
      </w:r>
      <w:r>
        <w:rPr>
          <w:rStyle w:val="13"/>
          <w:color w:val="0563C1"/>
        </w:rPr>
        <w:t>STEAM Project-Based Learning Activities at the Science Museum as an Effective Training for Future Chemistry Teachers</w:t>
      </w:r>
      <w:r>
        <w:rPr>
          <w:rStyle w:val="13"/>
          <w:color w:val="0563C1"/>
        </w:rPr>
        <w:fldChar w:fldCharType="end"/>
      </w:r>
    </w:p>
    <w:p w14:paraId="2E8570B3">
      <w:pPr>
        <w:spacing w:after="200" w:line="400" w:lineRule="atLeast"/>
      </w:pPr>
      <w:r>
        <w:fldChar w:fldCharType="begin"/>
      </w:r>
      <w:r>
        <w:instrText xml:space="preserve"> HYPERLINK "https://museudapessoa.org/wp-content/uploads/2025/05/PLANO-MUSEOLOGICO-2025_museudapessoa_final_revisado-1.pdf" \h </w:instrText>
      </w:r>
      <w:r>
        <w:fldChar w:fldCharType="separate"/>
      </w:r>
      <w:r>
        <w:rPr>
          <w:rStyle w:val="13"/>
          <w:color w:val="0563C1"/>
        </w:rPr>
        <w:t>Plano Museológico 2025-2030</w:t>
      </w:r>
      <w:r>
        <w:rPr>
          <w:rStyle w:val="13"/>
          <w:color w:val="0563C1"/>
        </w:rPr>
        <w:fldChar w:fldCharType="end"/>
      </w:r>
    </w:p>
    <w:p w14:paraId="6CAA1159">
      <w:pPr>
        <w:spacing w:after="200" w:line="400" w:lineRule="atLeast"/>
      </w:pPr>
      <w:r>
        <w:fldChar w:fldCharType="begin"/>
      </w:r>
      <w:r>
        <w:instrText xml:space="preserve"> HYPERLINK "https://cef.org/wp-content/uploads/FY-2019-Budget-Book-FINAL.pdf" \h </w:instrText>
      </w:r>
      <w:r>
        <w:fldChar w:fldCharType="separate"/>
      </w:r>
      <w:r>
        <w:rPr>
          <w:rStyle w:val="13"/>
          <w:color w:val="0563C1"/>
        </w:rPr>
        <w:t>Education Matters: Investing in America's Future - Fiscal Year 2019 Budget Analysis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1389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E7A2F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7992</Words>
  <Characters>8680</Characters>
  <TotalTime>0</TotalTime>
  <ScaleCrop>false</ScaleCrop>
  <LinksUpToDate>false</LinksUpToDate>
  <CharactersWithSpaces>8815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2026-02-25T09:53:04Z</dcterms:created>
  <dc:creator>86188</dc:creator>
  <cp:lastModifiedBy>dyx</cp:lastModifiedBy>
  <dcterms:modified xsi:type="dcterms:W3CDTF">2026-02-25T09:53:18Z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c6913d076d3b4b541ad548803836ef4","ProduceID":"Metasota_docx_6968e1ac22e002cab2b2b924_1_ec5facb1-944f-4cf8-a120-c06d257df046","ReservedCode2":"dc6913d076d3b4b541ad548803836ef4","PropagateID":"Metasota_docx_6968e1ac22e002cab2b2b924_1_ec5facb1-944f-4cf8-a120-c06d257df046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1FBE8B3A23924CFBBF8CB8A320A83C6A_12</vt:lpwstr>
  </property>
</Properties>
</file>