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D95E6">
      <w:pPr>
        <w:spacing w:before="157" w:after="157" w:line="270" w:lineRule="auto"/>
        <w:jc w:val="left"/>
      </w:pPr>
      <w:bookmarkStart w:id="0" w:name="中外博物馆教育的现状与未来趋势"/>
      <w:r>
        <w:rPr>
          <w:rFonts w:ascii="Georgia" w:hAnsi="Georgia" w:eastAsia="Georgia" w:cs="Georgia"/>
          <w:b/>
          <w:color w:val="000000"/>
          <w:sz w:val="39"/>
        </w:rPr>
        <w:t>中外博物馆教育的现状与未来趋势</w:t>
      </w:r>
      <w:bookmarkEnd w:id="0"/>
    </w:p>
    <w:p w14:paraId="379DA980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10E52CA">
      <w:pPr>
        <w:spacing w:before="315" w:after="105" w:line="360" w:lineRule="auto"/>
        <w:ind w:left="-30"/>
        <w:jc w:val="left"/>
      </w:pPr>
      <w:bookmarkStart w:id="1" w:name="一_现状概述"/>
      <w:r>
        <w:rPr>
          <w:rFonts w:ascii="Georgia" w:hAnsi="Georgia" w:eastAsia="Georgia" w:cs="Georgia"/>
          <w:b/>
          <w:color w:val="000000"/>
          <w:sz w:val="24"/>
        </w:rPr>
        <w:t>一、现状概述</w:t>
      </w:r>
      <w:bookmarkEnd w:id="1"/>
    </w:p>
    <w:p w14:paraId="7DAAD2F6">
      <w:pPr>
        <w:spacing w:before="315" w:after="105" w:line="360" w:lineRule="auto"/>
        <w:ind w:left="-30"/>
        <w:jc w:val="left"/>
      </w:pPr>
      <w:bookmarkStart w:id="2" w:name="一_中国博物馆教育的基本情况"/>
      <w:r>
        <w:rPr>
          <w:rFonts w:ascii="Georgia" w:hAnsi="Georgia" w:eastAsia="Georgia" w:cs="Georgia"/>
          <w:b/>
          <w:color w:val="000000"/>
          <w:sz w:val="24"/>
        </w:rPr>
        <w:t>（一）中国博物馆教育的基本情况</w:t>
      </w:r>
      <w:bookmarkEnd w:id="2"/>
    </w:p>
    <w:p w14:paraId="64B88267">
      <w:pPr>
        <w:numPr>
          <w:ilvl w:val="0"/>
          <w:numId w:val="1"/>
        </w:numPr>
        <w:spacing w:after="210" w:line="360" w:lineRule="auto"/>
      </w:pPr>
      <w:r>
        <w:rPr>
          <w:rFonts w:ascii="Georgia" w:hAnsi="Georgia" w:eastAsia="Georgia" w:cs="Georgia"/>
          <w:color w:val="000000"/>
          <w:sz w:val="21"/>
        </w:rPr>
        <w:t>发展概况与定位</w:t>
      </w:r>
      <w:r>
        <w:rPr>
          <w:rFonts w:ascii="Georgia" w:hAnsi="Georgia" w:eastAsia="Georgia" w:cs="Georgia"/>
          <w:color w:val="000000"/>
          <w:sz w:val="21"/>
        </w:rPr>
        <w:br w:type="textWrapping"/>
      </w:r>
      <w:r>
        <w:rPr>
          <w:rFonts w:ascii="Georgia" w:hAnsi="Georgia" w:eastAsia="Georgia" w:cs="Georgia"/>
          <w:color w:val="000000"/>
          <w:sz w:val="21"/>
        </w:rPr>
        <w:t>改革开放以来，尤其是近二十年，中国博物馆逐渐从“以藏品、研究为中心”转向“兼具公共教育职能”的综合型文化机构，博物馆教育作为一门相对独立的专业领域开始确立。［］ 国家级综合性博物馆和重点美术馆（如中国国家博物馆、中国美术馆等）普遍设立公共教育部或社会教育部，形成专职教育团队，承担面向公众的教育与推广工作。［］</w:t>
      </w:r>
    </w:p>
    <w:p w14:paraId="592F2191">
      <w:pPr>
        <w:numPr>
          <w:ilvl w:val="0"/>
          <w:numId w:val="1"/>
        </w:numPr>
        <w:spacing w:after="210" w:line="360" w:lineRule="auto"/>
      </w:pPr>
      <w:r>
        <w:rPr>
          <w:rFonts w:ascii="Georgia" w:hAnsi="Georgia" w:eastAsia="Georgia" w:cs="Georgia"/>
          <w:color w:val="000000"/>
          <w:sz w:val="21"/>
        </w:rPr>
        <w:t>常见教育活动与做法</w:t>
      </w:r>
      <w:r>
        <w:rPr>
          <w:rFonts w:ascii="Georgia" w:hAnsi="Georgia" w:eastAsia="Georgia" w:cs="Georgia"/>
          <w:color w:val="000000"/>
          <w:sz w:val="21"/>
        </w:rPr>
        <w:br w:type="textWrapping"/>
      </w:r>
      <w:r>
        <w:rPr>
          <w:rFonts w:ascii="Georgia" w:hAnsi="Georgia" w:eastAsia="Georgia" w:cs="Georgia"/>
          <w:color w:val="000000"/>
          <w:sz w:val="21"/>
        </w:rPr>
        <w:t>目前中国博物馆较为普遍的教育形式主要包括：</w:t>
      </w:r>
    </w:p>
    <w:p w14:paraId="27F89B10">
      <w:pPr>
        <w:numPr>
          <w:ilvl w:val="0"/>
          <w:numId w:val="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讲解与导览：常设/特展配套的人工讲解、志愿者导览、多媒体导览等，是最基础也是参与人数最多的教育服务。［］</w:t>
      </w:r>
    </w:p>
    <w:p w14:paraId="778C2B2A">
      <w:pPr>
        <w:numPr>
          <w:ilvl w:val="0"/>
          <w:numId w:val="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讲座与学术活动：围绕展览主题或馆藏文物组织专家讲座、论坛、学术沙龙等，满足成年观众和专业人群的深度学习需求。［］</w:t>
      </w:r>
    </w:p>
    <w:p w14:paraId="789842AD">
      <w:pPr>
        <w:numPr>
          <w:ilvl w:val="0"/>
          <w:numId w:val="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校园合作与课程：与中小学和高校合作，组织学生研学、主题参观、课堂延伸课程等，逐步探索将博物馆资源融入学校课程体系。［］ 例如部分馆校合作项目包括：馆内课堂、教师培训、教学资源包等。［］</w:t>
      </w:r>
    </w:p>
    <w:p w14:paraId="6F47E98D">
      <w:pPr>
        <w:numPr>
          <w:ilvl w:val="0"/>
          <w:numId w:val="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少儿与家庭活动：面向儿童和家庭的工作坊、节庆活动、亲子讲堂等，强调体验与互动，有的博物馆还为儿童开发专门网站或栏目。［］</w:t>
      </w:r>
    </w:p>
    <w:p w14:paraId="1CB37729">
      <w:pPr>
        <w:numPr>
          <w:ilvl w:val="0"/>
          <w:numId w:val="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志愿者与社会参与：大中型博物馆普遍建立志愿者队伍，参与讲解、活动组织和公众服务，既是人力补充，也是公民教育的重要平台。［］</w:t>
      </w:r>
    </w:p>
    <w:p w14:paraId="232FF0CD">
      <w:pPr>
        <w:numPr>
          <w:ilvl w:val="0"/>
          <w:numId w:val="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数字与线上资源：部分国家级和省级博物馆建设了“线上展厅”“数字文物库”和在线教育资源，为教师和公众提供可下载课件、视频等材料。［］［］</w:t>
      </w:r>
    </w:p>
    <w:p w14:paraId="0BA0391F">
      <w:pPr>
        <w:numPr>
          <w:ilvl w:val="0"/>
          <w:numId w:val="3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当前面临的挑战</w:t>
      </w:r>
      <w:r>
        <w:rPr>
          <w:rFonts w:ascii="Georgia" w:hAnsi="Georgia" w:eastAsia="Georgia" w:cs="Georgia"/>
          <w:color w:val="000000"/>
          <w:sz w:val="21"/>
        </w:rPr>
        <w:br w:type="textWrapping"/>
      </w:r>
      <w:r>
        <w:rPr>
          <w:rFonts w:ascii="Georgia" w:hAnsi="Georgia" w:eastAsia="Georgia" w:cs="Georgia"/>
          <w:color w:val="000000"/>
          <w:sz w:val="21"/>
        </w:rPr>
        <w:t>研究指出，中国博物馆教育在快速发展同时，也面临若干共性问题：</w:t>
      </w:r>
    </w:p>
    <w:p w14:paraId="328547A5">
      <w:pPr>
        <w:numPr>
          <w:ilvl w:val="0"/>
          <w:numId w:val="4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受场地、经费和人员编制限制，教育空间与师资不足，难以长期、系统地开展多层次项目。［］</w:t>
      </w:r>
    </w:p>
    <w:p w14:paraId="3B6021E1">
      <w:pPr>
        <w:numPr>
          <w:ilvl w:val="0"/>
          <w:numId w:val="4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教育评价机制不健全，对项目效果的系统评估、数据积累和反馈改进仍较薄弱。［］</w:t>
      </w:r>
    </w:p>
    <w:p w14:paraId="32A17EF3">
      <w:pPr>
        <w:numPr>
          <w:ilvl w:val="0"/>
          <w:numId w:val="4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与学校教育衔接不够紧密，在“应试压力”环境下，教师组织博物馆学习的时间和资源有限。［］［］</w:t>
      </w:r>
    </w:p>
    <w:p w14:paraId="5B8176DE">
      <w:pPr>
        <w:numPr>
          <w:ilvl w:val="0"/>
          <w:numId w:val="4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中小城市与基层博物馆在教育专业人才、数字化能力方面与一线大馆差距明显，区域发展不均衡。［］［］</w:t>
      </w:r>
      <w:bookmarkStart w:id="26" w:name="_GoBack"/>
      <w:bookmarkEnd w:id="26"/>
    </w:p>
    <w:p w14:paraId="1FF2B53F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622D00D">
      <w:pPr>
        <w:spacing w:before="315" w:after="105" w:line="360" w:lineRule="auto"/>
        <w:ind w:left="-30"/>
        <w:jc w:val="left"/>
      </w:pPr>
      <w:bookmarkStart w:id="3" w:name="二_国外_以美国_英国为例_的博物馆教育实践"/>
      <w:r>
        <w:rPr>
          <w:rFonts w:ascii="Georgia" w:hAnsi="Georgia" w:eastAsia="Georgia" w:cs="Georgia"/>
          <w:b/>
          <w:color w:val="000000"/>
          <w:sz w:val="24"/>
        </w:rPr>
        <w:t>（二）国外（以美国、英国为例）的博物馆教育实践</w:t>
      </w:r>
      <w:bookmarkEnd w:id="3"/>
    </w:p>
    <w:p w14:paraId="4060AD80">
      <w:pPr>
        <w:numPr>
          <w:ilvl w:val="0"/>
          <w:numId w:val="5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美国博物馆教育的特点</w:t>
      </w:r>
    </w:p>
    <w:p w14:paraId="31ECF493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（1）重视体验式、探究式与“动手学习”</w:t>
      </w:r>
      <w:r>
        <w:rPr>
          <w:rFonts w:ascii="Georgia" w:hAnsi="Georgia" w:eastAsia="Georgia" w:cs="Georgia"/>
          <w:color w:val="000000"/>
        </w:rPr>
        <w:br w:type="textWrapping"/>
      </w:r>
      <w:r>
        <w:rPr>
          <w:rFonts w:ascii="Georgia" w:hAnsi="Georgia" w:eastAsia="Georgia" w:cs="Georgia"/>
          <w:color w:val="000000"/>
        </w:rPr>
        <w:t>美国博物馆教育高度强调“hands-on learning（动手学习）”和探究式学习，通过工作坊、互动展品和创作活动，让不同年龄的观众在实践中理解展品。［］ 例如达拉斯艺术博物馆的“创意连接中心”（C3）专门为各年龄观众设计绘画、制作和讨论活动，替代单一的文字说明。［］</w:t>
      </w:r>
    </w:p>
    <w:p w14:paraId="08ECC488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（2）服务于早期教育与社区教育</w:t>
      </w:r>
      <w:r>
        <w:rPr>
          <w:rFonts w:ascii="Georgia" w:hAnsi="Georgia" w:eastAsia="Georgia" w:cs="Georgia"/>
          <w:color w:val="000000"/>
        </w:rPr>
        <w:br w:type="textWrapping"/>
      </w:r>
      <w:r>
        <w:rPr>
          <w:rFonts w:ascii="Georgia" w:hAnsi="Georgia" w:eastAsia="Georgia" w:cs="Georgia"/>
          <w:color w:val="000000"/>
        </w:rPr>
        <w:t>美国博物馆深度参与早期儿童教育和家庭学习，被视为支持学前和义务教育的重要“非正规学习场所”。［］ 美国博物馆与图书馆服务研究所（IMLS）资助大量项目，用于 STEM、早期识字、家庭参与和自然教育等，强调通过自我导向、体验式、内容丰富的学习促进儿童的执行功能发展。［］</w:t>
      </w:r>
    </w:p>
    <w:p w14:paraId="6A252E99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（3）丰富的项目谱系与分龄设计</w:t>
      </w:r>
      <w:r>
        <w:rPr>
          <w:rFonts w:ascii="Georgia" w:hAnsi="Georgia" w:eastAsia="Georgia" w:cs="Georgia"/>
          <w:color w:val="000000"/>
        </w:rPr>
        <w:br w:type="textWrapping"/>
      </w:r>
      <w:r>
        <w:rPr>
          <w:rFonts w:ascii="Georgia" w:hAnsi="Georgia" w:eastAsia="Georgia" w:cs="Georgia"/>
          <w:color w:val="000000"/>
        </w:rPr>
        <w:t>很多美国博物馆的教育中心提供面向不同群体的系统项目，如面向儿童的“少年警长”“小小科学家”等主题体验，面向家庭的“亲子背包/Go Bag”活动包，面向学校的课程配套资源与线上模块。［］［］ 例如美国执法历史博物馆开发了“Jr. Marshal Program”“Investigation Station”等项目，结合历史、公民教育和 STEM。［］</w:t>
      </w:r>
    </w:p>
    <w:p w14:paraId="0365899A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（4）线上线下结合</w:t>
      </w:r>
      <w:r>
        <w:rPr>
          <w:rFonts w:ascii="Georgia" w:hAnsi="Georgia" w:eastAsia="Georgia" w:cs="Georgia"/>
          <w:color w:val="000000"/>
        </w:rPr>
        <w:br w:type="textWrapping"/>
      </w:r>
      <w:r>
        <w:rPr>
          <w:rFonts w:ascii="Georgia" w:hAnsi="Georgia" w:eastAsia="Georgia" w:cs="Georgia"/>
          <w:color w:val="000000"/>
        </w:rPr>
        <w:t>近年来，美国许多博物馆发展虚拟参观、在线课程和混合式（synchronous &amp; asynchronous）学习模块，为学校提供配套教材、视频和实时教学，拓展了传统实地参观的边界。［］［］</w:t>
      </w:r>
    </w:p>
    <w:p w14:paraId="4E2512E0">
      <w:pPr>
        <w:numPr>
          <w:ilvl w:val="0"/>
          <w:numId w:val="6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英国及欧洲的博物馆教育特点</w:t>
      </w:r>
    </w:p>
    <w:p w14:paraId="611B5613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（1）与国家课程紧密对接</w:t>
      </w:r>
      <w:r>
        <w:rPr>
          <w:rFonts w:ascii="Georgia" w:hAnsi="Georgia" w:eastAsia="Georgia" w:cs="Georgia"/>
          <w:color w:val="000000"/>
        </w:rPr>
        <w:br w:type="textWrapping"/>
      </w:r>
      <w:r>
        <w:rPr>
          <w:rFonts w:ascii="Georgia" w:hAnsi="Georgia" w:eastAsia="Georgia" w:cs="Georgia"/>
          <w:color w:val="000000"/>
        </w:rPr>
        <w:t>英国及苏格兰的博物馆普遍将教育资源与国家课程（如苏格兰的 Curriculum for Excellence）对接，开发与历史、艺术、STEM、气候变化和健康福祉等主题相关的学习资源包。［］ 这些资源可在课堂或家庭中使用，强调跨学科学习。［］</w:t>
      </w:r>
    </w:p>
    <w:p w14:paraId="34596D5C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（2）数字学习与远程资源</w:t>
      </w:r>
      <w:r>
        <w:rPr>
          <w:rFonts w:ascii="Georgia" w:hAnsi="Georgia" w:eastAsia="Georgia" w:cs="Georgia"/>
          <w:color w:val="000000"/>
        </w:rPr>
        <w:br w:type="textWrapping"/>
      </w:r>
      <w:r>
        <w:rPr>
          <w:rFonts w:ascii="Georgia" w:hAnsi="Georgia" w:eastAsia="Georgia" w:cs="Georgia"/>
          <w:color w:val="000000"/>
        </w:rPr>
        <w:t>疫情期间，英国大量博物馆开发了在线学习资源，如虚拟导览、可下载活动包、趣味测试和游戏等，这些资源在疫情后仍持续使用，成为博物馆教育的重要组成部分。［］［］ 例如大英博物馆开发了面向国际学生的数字学习工具，并通过项目评估其在提升学习参与度方面的有效性。［］</w:t>
      </w:r>
    </w:p>
    <w:p w14:paraId="2833178F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（3）系统的数字战略与受众研究</w:t>
      </w:r>
      <w:r>
        <w:rPr>
          <w:rFonts w:ascii="Georgia" w:hAnsi="Georgia" w:eastAsia="Georgia" w:cs="Georgia"/>
          <w:color w:val="000000"/>
        </w:rPr>
        <w:br w:type="textWrapping"/>
      </w:r>
      <w:r>
        <w:rPr>
          <w:rFonts w:ascii="Georgia" w:hAnsi="Georgia" w:eastAsia="Georgia" w:cs="Georgia"/>
          <w:color w:val="000000"/>
        </w:rPr>
        <w:t>如牛津大学 GLAM（花园、图书馆与博物馆）体系提出数字战略，通过数字化基础设施、在线藏品、数字保存、票务和 CRM 系统等，支持教学、研究和公众参与，并开展系统受众研究以了解线上线下观众特征。［］</w:t>
      </w:r>
    </w:p>
    <w:p w14:paraId="0AE9389A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（4）强调公共服务与终身学习</w:t>
      </w:r>
      <w:r>
        <w:rPr>
          <w:rFonts w:ascii="Georgia" w:hAnsi="Georgia" w:eastAsia="Georgia" w:cs="Georgia"/>
          <w:color w:val="000000"/>
        </w:rPr>
        <w:br w:type="textWrapping"/>
      </w:r>
      <w:r>
        <w:rPr>
          <w:rFonts w:ascii="Georgia" w:hAnsi="Georgia" w:eastAsia="Georgia" w:cs="Georgia"/>
          <w:color w:val="000000"/>
        </w:rPr>
        <w:t>英国博物馆通常把自己定位为“终身学习中心”，为学校、成人学习者、特殊群体等提供包容性教育项目，并通过贷款箱、移动展览和社区合作等方式将教育资源带出馆舍。［］</w:t>
      </w:r>
    </w:p>
    <w:p w14:paraId="5A051F6F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E34C99E">
      <w:pPr>
        <w:spacing w:before="315" w:after="105" w:line="360" w:lineRule="auto"/>
        <w:ind w:left="-30"/>
        <w:jc w:val="left"/>
      </w:pPr>
      <w:bookmarkStart w:id="4" w:name="二_博物馆类型与教育特点"/>
      <w:r>
        <w:rPr>
          <w:rFonts w:ascii="Georgia" w:hAnsi="Georgia" w:eastAsia="Georgia" w:cs="Georgia"/>
          <w:b/>
          <w:color w:val="000000"/>
          <w:sz w:val="24"/>
        </w:rPr>
        <w:t>二、博物馆类型与教育特点</w:t>
      </w:r>
      <w:bookmarkEnd w:id="4"/>
    </w:p>
    <w:p w14:paraId="777D66D2">
      <w:pPr>
        <w:spacing w:before="315" w:after="105" w:line="360" w:lineRule="auto"/>
        <w:ind w:left="-30"/>
        <w:jc w:val="left"/>
      </w:pPr>
      <w:bookmarkStart w:id="5" w:name="一_按性质与规模的基本分类"/>
      <w:r>
        <w:rPr>
          <w:rFonts w:ascii="Georgia" w:hAnsi="Georgia" w:eastAsia="Georgia" w:cs="Georgia"/>
          <w:b/>
          <w:color w:val="000000"/>
          <w:sz w:val="24"/>
        </w:rPr>
        <w:t>（一）按性质与规模的基本分类</w:t>
      </w:r>
      <w:bookmarkEnd w:id="5"/>
    </w:p>
    <w:p w14:paraId="0DD38D21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可以从几个维度对博物馆进行分类，并观察不同类别在教育上的差异：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96"/>
        <w:gridCol w:w="3189"/>
        <w:gridCol w:w="5755"/>
      </w:tblGrid>
      <w:tr w14:paraId="1B323C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E0FC1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分类维度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AC195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类型示例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53D8C6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教育特点概述</w:t>
            </w:r>
          </w:p>
        </w:tc>
      </w:tr>
      <w:tr w14:paraId="6D60A6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A9298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所有制与管理体制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46A37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国家级/中央级公立博物馆（如中国国家博物馆）、地方公立博物馆、大学博物馆、企业/私人博物馆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6372AE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国家级与大型公立馆教育部门专业化程度高、资源丰富，可承担全国性或区域性教育项目；大学博物馆多与高校教学科研深度融合；企业与私人博物馆更注重品牌故事与特定主题传播。［］［］［］</w:t>
            </w:r>
          </w:p>
        </w:tc>
      </w:tr>
      <w:tr w14:paraId="627E94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CB8EB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规模与功能定位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FD7A9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大型综合性博物馆、中型地方博物馆、小型社区/专题博物馆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8EC964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大型馆具备完整教育团队、专用教育空间与数字平台；中小博物馆更依赖志愿者和合作伙伴，教育活动相对灵活但受资源限制；社区馆更贴近本地历史与居民，适合深度社区教育。［］［］［］</w:t>
            </w:r>
          </w:p>
        </w:tc>
      </w:tr>
      <w:tr w14:paraId="2C897B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68BB73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专业类型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A9E78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历史与文化类、艺术类、科学技术与自然类、儿童博物馆等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A7D949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艺术馆更注重审美与创作体验；科学馆和儿童馆更强调动手实验、STEM；历史与人类学博物馆侧重叙事与批判性思维培养。［］［］［］［］</w:t>
            </w:r>
          </w:p>
        </w:tc>
      </w:tr>
    </w:tbl>
    <w:p w14:paraId="0C6DAAEA"/>
    <w:p w14:paraId="4540D918">
      <w:pPr>
        <w:spacing w:before="315" w:after="105" w:line="360" w:lineRule="auto"/>
        <w:ind w:left="-30"/>
        <w:jc w:val="left"/>
      </w:pPr>
      <w:bookmarkStart w:id="6" w:name="二_不同类别博物馆在教育上的差异体现"/>
      <w:r>
        <w:rPr>
          <w:rFonts w:ascii="Georgia" w:hAnsi="Georgia" w:eastAsia="Georgia" w:cs="Georgia"/>
          <w:b/>
          <w:color w:val="000000"/>
          <w:sz w:val="24"/>
        </w:rPr>
        <w:t>（二）不同类别博物馆在教育上的差异体现</w:t>
      </w:r>
      <w:bookmarkEnd w:id="6"/>
    </w:p>
    <w:p w14:paraId="0FF9F6B8">
      <w:pPr>
        <w:numPr>
          <w:ilvl w:val="0"/>
          <w:numId w:val="7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大型综合性公立博物馆</w:t>
      </w:r>
    </w:p>
    <w:p w14:paraId="7A6A989D">
      <w:pPr>
        <w:numPr>
          <w:ilvl w:val="0"/>
          <w:numId w:val="8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具有稳定的财政支持和较完备的人力资源，教育项目多样，包括大型公众讲座、学术活动、长期研学项目和全国巡展配套教育。［］［］</w:t>
      </w:r>
    </w:p>
    <w:p w14:paraId="5D9CEFEB">
      <w:pPr>
        <w:numPr>
          <w:ilvl w:val="0"/>
          <w:numId w:val="8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通常是数字化和虚拟展览的先行者，能够开发高质量线上资源和多语种内容，面向国内外观众。［］［］</w:t>
      </w:r>
    </w:p>
    <w:p w14:paraId="4B7BE27A">
      <w:pPr>
        <w:numPr>
          <w:ilvl w:val="0"/>
          <w:numId w:val="9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中小型地方与社区博物馆</w:t>
      </w:r>
    </w:p>
    <w:p w14:paraId="16CE30CB">
      <w:pPr>
        <w:numPr>
          <w:ilvl w:val="0"/>
          <w:numId w:val="10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以本地历史、民俗或特定主题为核心，与当地学校和社区联系紧密，重视口述历史、社区参与和地方认同教育。［］［］</w:t>
      </w:r>
    </w:p>
    <w:p w14:paraId="36FD7526">
      <w:pPr>
        <w:numPr>
          <w:ilvl w:val="0"/>
          <w:numId w:val="10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由于经费与技术条件限制，更常采用低成本、高参与度的方式，如手工活动、社区故事会、小型展览和贷款箱。［］［］</w:t>
      </w:r>
    </w:p>
    <w:p w14:paraId="62727F97">
      <w:pPr>
        <w:numPr>
          <w:ilvl w:val="0"/>
          <w:numId w:val="11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大学与专业博物馆</w:t>
      </w:r>
    </w:p>
    <w:p w14:paraId="3CD0780C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与高校课程高度结合，兼具教学实验室与公共博物馆双重角色，课程嵌入程度高，强调研究型学习。［］</w:t>
      </w:r>
    </w:p>
    <w:p w14:paraId="11B47447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更容易参与数字人文、开放数据和研究型展览，为学生提供博物馆教育实践与研究机会。［］</w:t>
      </w:r>
    </w:p>
    <w:p w14:paraId="4F969A61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私人和企业博物馆</w:t>
      </w:r>
    </w:p>
    <w:p w14:paraId="37AB54A0">
      <w:pPr>
        <w:numPr>
          <w:ilvl w:val="0"/>
          <w:numId w:val="14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教育活动往往与品牌形象或企业社会责任挂钩，如安全教育、环保教育、工艺与设计体验等。［］</w:t>
      </w:r>
    </w:p>
    <w:p w14:paraId="18EE505C">
      <w:pPr>
        <w:numPr>
          <w:ilvl w:val="0"/>
          <w:numId w:val="14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项目设计更市场化、体验化，注重叙事性和参观者满意度。［］</w:t>
      </w:r>
    </w:p>
    <w:p w14:paraId="24CE478F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E020EF2">
      <w:pPr>
        <w:spacing w:before="315" w:after="105" w:line="360" w:lineRule="auto"/>
        <w:ind w:left="-30"/>
        <w:jc w:val="left"/>
      </w:pPr>
      <w:bookmarkStart w:id="7" w:name="三_未来发展趋势"/>
      <w:r>
        <w:rPr>
          <w:rFonts w:ascii="Georgia" w:hAnsi="Georgia" w:eastAsia="Georgia" w:cs="Georgia"/>
          <w:b/>
          <w:color w:val="000000"/>
          <w:sz w:val="24"/>
        </w:rPr>
        <w:t>三、未来发展趋势</w:t>
      </w:r>
      <w:bookmarkEnd w:id="7"/>
    </w:p>
    <w:p w14:paraId="681F5A27">
      <w:pPr>
        <w:spacing w:before="315" w:after="105" w:line="360" w:lineRule="auto"/>
        <w:ind w:left="-30"/>
        <w:jc w:val="left"/>
      </w:pPr>
      <w:bookmarkStart w:id="8" w:name="一_总体趋势_科技与教育理念的交汇"/>
      <w:r>
        <w:rPr>
          <w:rFonts w:ascii="Georgia" w:hAnsi="Georgia" w:eastAsia="Georgia" w:cs="Georgia"/>
          <w:b/>
          <w:color w:val="000000"/>
          <w:sz w:val="24"/>
        </w:rPr>
        <w:t>（一）总体趋势：科技与教育理念的交汇</w:t>
      </w:r>
      <w:bookmarkEnd w:id="8"/>
    </w:p>
    <w:p w14:paraId="1AD0A186">
      <w:pPr>
        <w:numPr>
          <w:ilvl w:val="0"/>
          <w:numId w:val="15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数字技术与在线教育的常态化</w:t>
      </w:r>
      <w:r>
        <w:rPr>
          <w:rFonts w:ascii="Georgia" w:hAnsi="Georgia" w:eastAsia="Georgia" w:cs="Georgia"/>
          <w:color w:val="000000"/>
          <w:sz w:val="21"/>
        </w:rPr>
        <w:br w:type="textWrapping"/>
      </w:r>
      <w:r>
        <w:rPr>
          <w:rFonts w:ascii="Georgia" w:hAnsi="Georgia" w:eastAsia="Georgia" w:cs="Georgia"/>
          <w:color w:val="000000"/>
          <w:sz w:val="21"/>
        </w:rPr>
        <w:t>全球范围内，数字技术正在重塑博物馆教育：</w:t>
      </w:r>
    </w:p>
    <w:p w14:paraId="7D4480A7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虚拟展厅与 3D 导览：大英博物馆等通过虚拟游览和高清藏品图像，让观众在远程环境下探索展览内容。［］［］</w:t>
      </w:r>
    </w:p>
    <w:p w14:paraId="576E1559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博物馆 App 与多媒体导览：博物馆开发移动应用，提供自助导览、个性化路线、AR 叠加信息等，增强探究与互动体验。［］</w:t>
      </w:r>
    </w:p>
    <w:p w14:paraId="53C9A890">
      <w:pPr>
        <w:numPr>
          <w:ilvl w:val="0"/>
          <w:numId w:val="16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社交媒体与直播：通过短视频、直播讲解、播客等形式，博物馆在展厅之外与受众建立持续联系，实现“随时随地”的文化学习。［］</w:t>
      </w:r>
    </w:p>
    <w:p w14:paraId="081A84CF">
      <w:pPr>
        <w:numPr>
          <w:ilvl w:val="0"/>
          <w:numId w:val="17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虚拟现实（VR）、增强现实（AR）与沉浸式体验</w:t>
      </w:r>
      <w:r>
        <w:rPr>
          <w:rFonts w:ascii="Georgia" w:hAnsi="Georgia" w:eastAsia="Georgia" w:cs="Georgia"/>
          <w:color w:val="000000"/>
          <w:sz w:val="21"/>
        </w:rPr>
        <w:br w:type="textWrapping"/>
      </w:r>
      <w:r>
        <w:rPr>
          <w:rFonts w:ascii="Georgia" w:hAnsi="Georgia" w:eastAsia="Georgia" w:cs="Georgia"/>
          <w:color w:val="000000"/>
          <w:sz w:val="21"/>
        </w:rPr>
        <w:t>随着 VR/AR 技术和投影、沉浸式空间应用的成熟，博物馆教育逐步从“看展品”延伸到“进入情境”：</w:t>
      </w:r>
    </w:p>
    <w:p w14:paraId="4B5A04E6">
      <w:pPr>
        <w:numPr>
          <w:ilvl w:val="0"/>
          <w:numId w:val="18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模拟历史场景、实验环境或艺术创作过程，使观众在沉浸氛围中进行情感与认知双重体验。［］［］</w:t>
      </w:r>
    </w:p>
    <w:p w14:paraId="7D96E8ED">
      <w:pPr>
        <w:numPr>
          <w:ilvl w:val="0"/>
          <w:numId w:val="18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为行动不便者或远程观众提供替代性体验，扩展无障碍教育的边界。［］</w:t>
      </w:r>
    </w:p>
    <w:p w14:paraId="676F91C4">
      <w:pPr>
        <w:numPr>
          <w:ilvl w:val="0"/>
          <w:numId w:val="19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“动手学习”“探究学习”与跨学科教育</w:t>
      </w:r>
      <w:r>
        <w:rPr>
          <w:rFonts w:ascii="Georgia" w:hAnsi="Georgia" w:eastAsia="Georgia" w:cs="Georgia"/>
          <w:color w:val="000000"/>
          <w:sz w:val="21"/>
        </w:rPr>
        <w:br w:type="textWrapping"/>
      </w:r>
      <w:r>
        <w:rPr>
          <w:rFonts w:ascii="Georgia" w:hAnsi="Georgia" w:eastAsia="Georgia" w:cs="Georgia"/>
          <w:color w:val="000000"/>
          <w:sz w:val="21"/>
        </w:rPr>
        <w:t>新教育理念强调“以学习者为中心”的探究式和项目式学习，博物馆教育与之高度契合：</w:t>
      </w:r>
    </w:p>
    <w:p w14:paraId="17F2A6B7">
      <w:pPr>
        <w:numPr>
          <w:ilvl w:val="0"/>
          <w:numId w:val="20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通过工作坊、创客活动和问题驱动项目，引导不同年龄观众进行观察、提问、实验和创作。［］［］［］</w:t>
      </w:r>
    </w:p>
    <w:p w14:paraId="05981EB4">
      <w:pPr>
        <w:numPr>
          <w:ilvl w:val="0"/>
          <w:numId w:val="20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与学校课程特别是 STEM/STEAM、可持续发展教育等对接，通过馆校合作实现跨学科与情境化学习。［］［］</w:t>
      </w:r>
    </w:p>
    <w:p w14:paraId="5B3C1DB8">
      <w:pPr>
        <w:numPr>
          <w:ilvl w:val="0"/>
          <w:numId w:val="21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包容性与多元文化教育</w:t>
      </w:r>
      <w:r>
        <w:rPr>
          <w:rFonts w:ascii="Georgia" w:hAnsi="Georgia" w:eastAsia="Georgia" w:cs="Georgia"/>
          <w:color w:val="000000"/>
          <w:sz w:val="21"/>
        </w:rPr>
        <w:br w:type="textWrapping"/>
      </w:r>
      <w:r>
        <w:rPr>
          <w:rFonts w:ascii="Georgia" w:hAnsi="Georgia" w:eastAsia="Georgia" w:cs="Georgia"/>
          <w:color w:val="000000"/>
          <w:sz w:val="21"/>
        </w:rPr>
        <w:t>面向残障群体、少数族裔、移民社区等的包容性项目越来越受到重视，博物馆被视为促进社会凝聚和公民教育的重要空间。［］［］ 博物馆教育将更加强调多元视角、批判性思维与社会参与。［］</w:t>
      </w:r>
    </w:p>
    <w:p w14:paraId="5C8B7D8B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2A9C80E">
      <w:pPr>
        <w:spacing w:before="315" w:after="105" w:line="360" w:lineRule="auto"/>
        <w:ind w:left="-30"/>
        <w:jc w:val="left"/>
      </w:pPr>
      <w:bookmarkStart w:id="9" w:name="二_中国博物馆教育未来发展的可能方向"/>
      <w:r>
        <w:rPr>
          <w:rFonts w:ascii="Georgia" w:hAnsi="Georgia" w:eastAsia="Georgia" w:cs="Georgia"/>
          <w:b/>
          <w:color w:val="000000"/>
          <w:sz w:val="24"/>
        </w:rPr>
        <w:t>（二）中国博物馆教育未来发展的可能方向</w:t>
      </w:r>
      <w:bookmarkEnd w:id="9"/>
    </w:p>
    <w:p w14:paraId="6CBCD459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结合中国博物馆现状与教育需求，可从以下几个方面展望未来趋势：</w:t>
      </w:r>
    </w:p>
    <w:p w14:paraId="7F139D3A">
      <w:pPr>
        <w:numPr>
          <w:ilvl w:val="0"/>
          <w:numId w:val="2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从“活动型”向“课程型”与“体系化学习”转变</w:t>
      </w:r>
    </w:p>
    <w:p w14:paraId="40444278">
      <w:pPr>
        <w:numPr>
          <w:ilvl w:val="0"/>
          <w:numId w:val="23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目前许多博物馆教育仍以单次活动、节庆项目为主，未来有望更多发展与学校课程标准紧密对接的“课程化”项目，如系列馆校课程、学科主题单元和基于项目的长期学习计划。［］［］</w:t>
      </w:r>
    </w:p>
    <w:p w14:paraId="25CCA495">
      <w:pPr>
        <w:numPr>
          <w:ilvl w:val="0"/>
          <w:numId w:val="23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在政策层面，可进一步将博物馆教育纳入基础教育与终身教育体系，如在地方课程和综合实践中明确“博物馆学习”的内容与学时。［］</w:t>
      </w:r>
    </w:p>
    <w:p w14:paraId="15EF894C">
      <w:pPr>
        <w:numPr>
          <w:ilvl w:val="0"/>
          <w:numId w:val="24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数字化基础设施与资源共享平台建设</w:t>
      </w:r>
    </w:p>
    <w:p w14:paraId="1DB977B0">
      <w:pPr>
        <w:numPr>
          <w:ilvl w:val="0"/>
          <w:numId w:val="25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国家级与省级博物馆可发挥“数字资源中枢”作用，加快藏品数字化、在线展览和开放教学资源库建设，为中小博物馆和学校提供可复用的课程资源。［］［］</w:t>
      </w:r>
    </w:p>
    <w:p w14:paraId="4B3AFC2F">
      <w:pPr>
        <w:numPr>
          <w:ilvl w:val="0"/>
          <w:numId w:val="25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建立跨馆共享的平台，如统一的“国家博物馆教育资源平台”，提供标准化元数据、课件模板和在线培训，降低小馆开发成本。［］［］</w:t>
      </w:r>
    </w:p>
    <w:p w14:paraId="5EB7C2CC">
      <w:pPr>
        <w:numPr>
          <w:ilvl w:val="0"/>
          <w:numId w:val="26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深化 VR/AR、沉浸式技术与本土叙事的结合</w:t>
      </w:r>
    </w:p>
    <w:p w14:paraId="016D3F25">
      <w:pPr>
        <w:numPr>
          <w:ilvl w:val="0"/>
          <w:numId w:val="27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在数字技术应用上，不宜停留在“酷炫展示”，而要将 VR/AR 等技术与中国历史文化本身的叙事优势结合，如复原历史场景、非遗技艺过程、重大考古现场等。［］［］</w:t>
      </w:r>
    </w:p>
    <w:p w14:paraId="3117E109">
      <w:pPr>
        <w:numPr>
          <w:ilvl w:val="0"/>
          <w:numId w:val="27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可通过“虚拟研学”“云课堂”等形式，让偏远地区学生低门槛接触国家级博物馆资源，缩小城乡教育差距。［］［］</w:t>
      </w:r>
    </w:p>
    <w:p w14:paraId="0937D55B">
      <w:pPr>
        <w:numPr>
          <w:ilvl w:val="0"/>
          <w:numId w:val="28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强化博物馆教育专业人才培养与评价体系</w:t>
      </w:r>
    </w:p>
    <w:p w14:paraId="18ABB756">
      <w:pPr>
        <w:numPr>
          <w:ilvl w:val="0"/>
          <w:numId w:val="29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在高校层面，可进一步发展博物馆教育、文化遗产教育等相关专业或方向，培养具备教育学、博物馆学与数字媒介素养复合能力的人才。［］</w:t>
      </w:r>
    </w:p>
    <w:p w14:paraId="69F22C78">
      <w:pPr>
        <w:numPr>
          <w:ilvl w:val="0"/>
          <w:numId w:val="29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建立针对教育活动的系统评估机制，重视学习成效、受众反馈和长期影响，形成可供决策与改进的量化与质性数据基础。［］［］</w:t>
      </w:r>
    </w:p>
    <w:p w14:paraId="7E8DC0C2">
      <w:pPr>
        <w:numPr>
          <w:ilvl w:val="0"/>
          <w:numId w:val="30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拓展社区与家庭维度，构建“城市学习空间网络”</w:t>
      </w:r>
    </w:p>
    <w:p w14:paraId="56450120">
      <w:pPr>
        <w:numPr>
          <w:ilvl w:val="0"/>
          <w:numId w:val="31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利用博物馆、图书馆、文化馆等机构之间的协同，构建覆盖社区的公共文化教育网络，让博物馆成为居民日常生活中的“学习客厅”而非偶尔参观对象。［］</w:t>
      </w:r>
    </w:p>
    <w:p w14:paraId="7FA1936B">
      <w:pPr>
        <w:numPr>
          <w:ilvl w:val="0"/>
          <w:numId w:val="31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针对中国快速城市化与人口流动特点，加强对一线工人、新市民、老年人等群体的教育项目设计，推动博物馆成为提升文化素养和社区凝聚力的重要载体。［］</w:t>
      </w:r>
    </w:p>
    <w:p w14:paraId="3C91F80B">
      <w:pPr>
        <w:numPr>
          <w:ilvl w:val="0"/>
          <w:numId w:val="32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国际合作与本土创新并行</w:t>
      </w:r>
    </w:p>
    <w:p w14:paraId="5ABBF224">
      <w:pPr>
        <w:numPr>
          <w:ilvl w:val="0"/>
          <w:numId w:val="33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在借鉴美国、英国等成熟经验的同时，中国博物馆教育应基于自身文化传统和社会实际，形成具有本土特色的教育模式，如结合中华优秀传统文化、革命文化和多民族文化的综合教育项目。［］</w:t>
      </w:r>
    </w:p>
    <w:p w14:paraId="110B356D">
      <w:pPr>
        <w:numPr>
          <w:ilvl w:val="0"/>
          <w:numId w:val="33"/>
        </w:numPr>
        <w:spacing w:before="105" w:after="105" w:line="360" w:lineRule="auto"/>
      </w:pPr>
      <w:r>
        <w:rPr>
          <w:rFonts w:ascii="Georgia" w:hAnsi="Georgia" w:eastAsia="Georgia" w:cs="Georgia"/>
          <w:color w:val="000000"/>
          <w:sz w:val="21"/>
        </w:rPr>
        <w:t>加强与海外博物馆、大学的合作交流，在共同开发展览、共享数字资源、联合培训等方面探索多元合作机制。［］［］</w:t>
      </w:r>
    </w:p>
    <w:p w14:paraId="0B615AE0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02D9391">
      <w:pPr>
        <w:spacing w:before="315" w:after="105" w:line="360" w:lineRule="auto"/>
        <w:ind w:left="-30"/>
        <w:jc w:val="left"/>
      </w:pPr>
      <w:bookmarkStart w:id="10" w:name="结语"/>
      <w:r>
        <w:rPr>
          <w:rFonts w:ascii="Georgia" w:hAnsi="Georgia" w:eastAsia="Georgia" w:cs="Georgia"/>
          <w:b/>
          <w:color w:val="000000"/>
          <w:sz w:val="24"/>
        </w:rPr>
        <w:t>结语</w:t>
      </w:r>
      <w:bookmarkEnd w:id="10"/>
    </w:p>
    <w:p w14:paraId="41D7883F">
      <w:pPr>
        <w:spacing w:after="210" w:line="360" w:lineRule="auto"/>
      </w:pPr>
      <w:r>
        <w:rPr>
          <w:rFonts w:ascii="Georgia" w:hAnsi="Georgia" w:eastAsia="Georgia" w:cs="Georgia"/>
          <w:color w:val="000000"/>
        </w:rPr>
        <w:t>总体来看，中外博物馆教育正从“展览附属服务”逐步走向“面向全人群的终身学习平台”，其发展受到数字技术革新和教育理念变革的双重推动。中国在博物馆数量快速增长、公共文化服务不断加强的背景下，博物馆教育拥有广阔的发展空间。未来，通过课程化与体系化建设、数字化与沉浸式技术应用、专业人才培养与评价机制完善，以及与学校、社区和国际伙伴的深入合作，中国博物馆教育有望在保障文化传承的同时，更好地服务于公民素养提升与创新型社会建设。［］［］［］［］</w:t>
      </w:r>
      <w:r>
        <w:rPr>
          <w:rFonts w:ascii="Georgia" w:hAnsi="Georgia" w:eastAsia="Georgia" w:cs="Georgia"/>
          <w:color w:val="000000"/>
        </w:rPr>
        <w:br w:type="textWrapping"/>
      </w:r>
    </w:p>
    <w:p w14:paraId="77B8B5D2">
      <w:pPr>
        <w:spacing w:line="360" w:lineRule="auto"/>
      </w:pPr>
      <w:r>
        <w:rPr>
          <w:rFonts w:ascii="Georgia" w:hAnsi="Georgia" w:eastAsia="Georgia" w:cs="Georgia"/>
          <w:color w:val="000000"/>
        </w:rPr>
        <w:t>⁂</w:t>
      </w:r>
    </w:p>
    <w:p w14:paraId="47240C56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2E67DFF">
      <w:pPr>
        <w:numPr>
          <w:ilvl w:val="0"/>
          <w:numId w:val="34"/>
        </w:numPr>
        <w:spacing w:after="210" w:line="360" w:lineRule="auto"/>
      </w:pPr>
      <w:bookmarkStart w:id="11" w:name="fn1"/>
      <w:bookmarkEnd w:id="11"/>
      <w:r>
        <w:fldChar w:fldCharType="begin"/>
      </w:r>
      <w:r>
        <w:instrText xml:space="preserve"> HYPERLINK "https://www.insea.org/wp-content/uploads/2021/08/namoc-case-study-yang-yingshi.pdf"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https://www.insea.org/wp-content/uploads/2021/08/namoc-case-study-yang-yingshi.pdf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5DE13924">
      <w:pPr>
        <w:numPr>
          <w:ilvl w:val="0"/>
          <w:numId w:val="34"/>
        </w:numPr>
        <w:spacing w:after="210" w:line="360" w:lineRule="auto"/>
      </w:pPr>
      <w:bookmarkStart w:id="12" w:name="fn2"/>
      <w:bookmarkEnd w:id="12"/>
      <w:r>
        <w:fldChar w:fldCharType="begin"/>
      </w:r>
      <w:r>
        <w:instrText xml:space="preserve"> HYPERLINK "https://www.frontiersin.org/journals/psychology/articles/10.3389/fpsyg.2026.1738887/full"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https://www.frontiersin.org/journals/psychology/articles/10.3389/fpsyg.2026.1738887/full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461266A3">
      <w:pPr>
        <w:numPr>
          <w:ilvl w:val="0"/>
          <w:numId w:val="34"/>
        </w:numPr>
        <w:spacing w:after="210" w:line="360" w:lineRule="auto"/>
      </w:pPr>
      <w:bookmarkStart w:id="13" w:name="fn3"/>
      <w:bookmarkEnd w:id="13"/>
      <w:r>
        <w:fldChar w:fldCharType="begin"/>
      </w:r>
      <w:r>
        <w:instrText xml:space="preserve"> HYPERLINK "https://longislandmuseum.org/learn-and-explore/school-programs-overview/"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https://longislandmuseum.org/learn-and-explore/school-programs-overview/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31701ECF">
      <w:pPr>
        <w:numPr>
          <w:ilvl w:val="0"/>
          <w:numId w:val="34"/>
        </w:numPr>
        <w:spacing w:after="210" w:line="360" w:lineRule="auto"/>
      </w:pPr>
      <w:bookmarkStart w:id="14" w:name="fn4"/>
      <w:bookmarkEnd w:id="14"/>
      <w:r>
        <w:fldChar w:fldCharType="begin"/>
      </w:r>
      <w:r>
        <w:instrText xml:space="preserve"> HYPERLINK "https://www.museumnext.com/article/the-role-of-digital-engagement-in-museums/"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https://www.museumnext.com/article/the-role-of-digital-engagement-in-museums/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1C771395">
      <w:pPr>
        <w:numPr>
          <w:ilvl w:val="0"/>
          <w:numId w:val="34"/>
        </w:numPr>
        <w:spacing w:after="210" w:line="360" w:lineRule="auto"/>
      </w:pPr>
      <w:bookmarkStart w:id="15" w:name="fn5"/>
      <w:bookmarkEnd w:id="15"/>
      <w:r>
        <w:fldChar w:fldCharType="begin"/>
      </w:r>
      <w:r>
        <w:instrText xml:space="preserve"> HYPERLINK "https://en.chnmuseum.cn/education/"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https://en.chnmuseum.cn/education/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1C5AD01A">
      <w:pPr>
        <w:numPr>
          <w:ilvl w:val="0"/>
          <w:numId w:val="34"/>
        </w:numPr>
        <w:spacing w:after="210" w:line="360" w:lineRule="auto"/>
      </w:pPr>
      <w:bookmarkStart w:id="16" w:name="fn6"/>
      <w:bookmarkEnd w:id="16"/>
      <w:r>
        <w:fldChar w:fldCharType="begin"/>
      </w:r>
      <w:r>
        <w:instrText xml:space="preserve"> HYPERLINK "https://www.wonderfulmuseums.com/museum/museum-education-programs/"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https://www.wonderfulmuseums.com/museum/museum-education-programs/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12621EE1">
      <w:pPr>
        <w:numPr>
          <w:ilvl w:val="0"/>
          <w:numId w:val="34"/>
        </w:numPr>
        <w:spacing w:after="210" w:line="360" w:lineRule="auto"/>
      </w:pPr>
      <w:bookmarkStart w:id="17" w:name="fn7"/>
      <w:bookmarkEnd w:id="17"/>
      <w:r>
        <w:fldChar w:fldCharType="begin"/>
      </w:r>
      <w:r>
        <w:instrText xml:space="preserve"> HYPERLINK "https://www.glam.ox.ac.uk/digital-engagement-glam"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https://www.glam.ox.ac.uk/digital-engagement-glam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104DCC95">
      <w:pPr>
        <w:numPr>
          <w:ilvl w:val="0"/>
          <w:numId w:val="34"/>
        </w:numPr>
        <w:spacing w:after="210" w:line="360" w:lineRule="auto"/>
      </w:pPr>
      <w:bookmarkStart w:id="18" w:name="fn8"/>
      <w:bookmarkEnd w:id="18"/>
      <w:r>
        <w:fldChar w:fldCharType="begin"/>
      </w:r>
      <w:r>
        <w:instrText xml:space="preserve"> HYPERLINK "https://artmuseumteaching.com/2014/12/22/hands-on-learning-not-just-for-kids/"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https://artmuseumteaching.com/2014/12/22/hands-on-learning-not-just-for-kids/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4202465A">
      <w:pPr>
        <w:numPr>
          <w:ilvl w:val="0"/>
          <w:numId w:val="34"/>
        </w:numPr>
        <w:spacing w:after="210" w:line="360" w:lineRule="auto"/>
      </w:pPr>
      <w:bookmarkStart w:id="19" w:name="fn9"/>
      <w:bookmarkEnd w:id="19"/>
      <w:r>
        <w:fldChar w:fldCharType="begin"/>
      </w:r>
      <w:r>
        <w:instrText xml:space="preserve"> HYPERLINK "https://www.museumsgalleriesscotland.org.uk/advice-article/digital-learning-resources/"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https://www.museumsgalleriesscotland.org.uk/advice-article/digital-learning-resources/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3137C2F7">
      <w:pPr>
        <w:numPr>
          <w:ilvl w:val="0"/>
          <w:numId w:val="34"/>
        </w:numPr>
        <w:spacing w:after="210" w:line="360" w:lineRule="auto"/>
      </w:pPr>
      <w:bookmarkStart w:id="20" w:name="fn10"/>
      <w:bookmarkEnd w:id="20"/>
      <w:r>
        <w:fldChar w:fldCharType="begin"/>
      </w:r>
      <w:r>
        <w:instrText xml:space="preserve"> HYPERLINK "https://edcp.educ.ubc.ca/museum-education-in-china/"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https://edcp.educ.ubc.ca/museum-education-in-china/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4872EA86">
      <w:pPr>
        <w:numPr>
          <w:ilvl w:val="0"/>
          <w:numId w:val="34"/>
        </w:numPr>
        <w:spacing w:after="210" w:line="360" w:lineRule="auto"/>
      </w:pPr>
      <w:bookmarkStart w:id="21" w:name="fn11"/>
      <w:bookmarkEnd w:id="21"/>
      <w:r>
        <w:fldChar w:fldCharType="begin"/>
      </w:r>
      <w:r>
        <w:instrText xml:space="preserve"> HYPERLINK "https://usmmuseum.org/education/"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https://usmmuseum.org/education/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0BBC91AD">
      <w:pPr>
        <w:numPr>
          <w:ilvl w:val="0"/>
          <w:numId w:val="34"/>
        </w:numPr>
        <w:spacing w:after="210" w:line="360" w:lineRule="auto"/>
      </w:pPr>
      <w:bookmarkStart w:id="22" w:name="fn12"/>
      <w:bookmarkEnd w:id="22"/>
      <w:r>
        <w:fldChar w:fldCharType="begin"/>
      </w:r>
      <w:r>
        <w:instrText xml:space="preserve"> HYPERLINK "https://wp.wpi.edu/london/projects/2016-projects-spring/british-museum-d16/"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https://wp.wpi.edu/london/projects/2016-projects-spring/british-museum-d16/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11C45736">
      <w:pPr>
        <w:numPr>
          <w:ilvl w:val="0"/>
          <w:numId w:val="34"/>
        </w:numPr>
        <w:spacing w:after="210" w:line="360" w:lineRule="auto"/>
      </w:pPr>
      <w:bookmarkStart w:id="23" w:name="fn13"/>
      <w:bookmarkEnd w:id="23"/>
      <w:r>
        <w:fldChar w:fldCharType="begin"/>
      </w:r>
      <w:r>
        <w:instrText xml:space="preserve"> HYPERLINK "http://166.62.7.99/assets/default/article/2024/02/29/article_1709201306.pdf"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http://166.62.7.99/assets/default/article/2024/02/29/article_1709201306.pdf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78FB4887">
      <w:pPr>
        <w:numPr>
          <w:ilvl w:val="0"/>
          <w:numId w:val="34"/>
        </w:numPr>
        <w:spacing w:after="210" w:line="360" w:lineRule="auto"/>
      </w:pPr>
      <w:bookmarkStart w:id="24" w:name="fn14"/>
      <w:bookmarkEnd w:id="24"/>
      <w:r>
        <w:fldChar w:fldCharType="begin"/>
      </w:r>
      <w:r>
        <w:instrText xml:space="preserve"> HYPERLINK "https://www.imls.gov/blog/2017/06/museums-helping-museums-serve-their-youngest-learners"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https://www.imls.gov/blog/2017/06/museums-helping-museums-serve-their-youngest-learners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p w14:paraId="2749A52A">
      <w:pPr>
        <w:numPr>
          <w:ilvl w:val="0"/>
          <w:numId w:val="34"/>
        </w:numPr>
        <w:spacing w:after="210" w:line="360" w:lineRule="auto"/>
      </w:pPr>
      <w:bookmarkStart w:id="25" w:name="fn15"/>
      <w:bookmarkEnd w:id="25"/>
      <w:r>
        <w:fldChar w:fldCharType="begin"/>
      </w:r>
      <w:r>
        <w:instrText xml:space="preserve"> HYPERLINK "https://blog.mapspeople.com/the-museums-of-tomorrow-how-digital-engagement-supports-learning" \h </w:instrText>
      </w:r>
      <w:r>
        <w:fldChar w:fldCharType="separate"/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t>https://blog.mapspeople.com/the-museums-of-tomorrow-how-digital-engagement-supports-learning</w:t>
      </w:r>
      <w:r>
        <w:rPr>
          <w:rFonts w:ascii="helvetica neue" w:hAnsi="helvetica neue" w:eastAsia="helvetica neue" w:cs="helvetica neue"/>
          <w:color w:val="000000"/>
          <w:sz w:val="18"/>
          <w:u w:val="single"/>
        </w:rPr>
        <w:fldChar w:fldCharType="end"/>
      </w:r>
      <w:r>
        <w:rPr>
          <w:rFonts w:ascii="Georgia" w:hAnsi="Georgia" w:eastAsia="Georgia" w:cs="Georgia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8461FADE"/>
    <w:multiLevelType w:val="singleLevel"/>
    <w:tmpl w:val="8461FAD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9C8AC8EF"/>
    <w:multiLevelType w:val="singleLevel"/>
    <w:tmpl w:val="9C8AC8EF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">
    <w:nsid w:val="B0F1ACD9"/>
    <w:multiLevelType w:val="singleLevel"/>
    <w:tmpl w:val="B0F1ACD9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7">
    <w:nsid w:val="BE923771"/>
    <w:multiLevelType w:val="singleLevel"/>
    <w:tmpl w:val="BE92377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C8879AEF"/>
    <w:multiLevelType w:val="singleLevel"/>
    <w:tmpl w:val="C8879AEF"/>
    <w:lvl w:ilvl="0" w:tentative="0">
      <w:start w:val="4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0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D7F9FE59"/>
    <w:multiLevelType w:val="singleLevel"/>
    <w:tmpl w:val="D7F9FE5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2">
    <w:nsid w:val="DCBA6B53"/>
    <w:multiLevelType w:val="singleLevel"/>
    <w:tmpl w:val="DCBA6B53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3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6">
    <w:nsid w:val="03D62ECE"/>
    <w:multiLevelType w:val="singleLevel"/>
    <w:tmpl w:val="03D62ECE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7">
    <w:nsid w:val="0E640482"/>
    <w:multiLevelType w:val="singleLevel"/>
    <w:tmpl w:val="0E64048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8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9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0">
    <w:nsid w:val="2A8F537B"/>
    <w:multiLevelType w:val="singleLevel"/>
    <w:tmpl w:val="2A8F537B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1">
    <w:nsid w:val="39A0D9AC"/>
    <w:multiLevelType w:val="singleLevel"/>
    <w:tmpl w:val="39A0D9AC"/>
    <w:lvl w:ilvl="0" w:tentative="0">
      <w:start w:val="5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2">
    <w:nsid w:val="46A08BB8"/>
    <w:multiLevelType w:val="singleLevel"/>
    <w:tmpl w:val="46A08BB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3">
    <w:nsid w:val="4C1BAE26"/>
    <w:multiLevelType w:val="singleLevel"/>
    <w:tmpl w:val="4C1BAE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4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5">
    <w:nsid w:val="58765686"/>
    <w:multiLevelType w:val="singleLevel"/>
    <w:tmpl w:val="58765686"/>
    <w:lvl w:ilvl="0" w:tentative="0">
      <w:start w:val="6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7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8">
    <w:nsid w:val="60382F6E"/>
    <w:multiLevelType w:val="singleLevel"/>
    <w:tmpl w:val="60382F6E"/>
    <w:lvl w:ilvl="0" w:tentative="0">
      <w:start w:val="4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9">
    <w:nsid w:val="629F7852"/>
    <w:multiLevelType w:val="singleLevel"/>
    <w:tmpl w:val="629F7852"/>
    <w:lvl w:ilvl="0" w:tentative="0">
      <w:start w:val="4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0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1">
    <w:nsid w:val="77ECEA79"/>
    <w:multiLevelType w:val="singleLevel"/>
    <w:tmpl w:val="77ECEA79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2">
    <w:nsid w:val="7C246926"/>
    <w:multiLevelType w:val="singleLevel"/>
    <w:tmpl w:val="7C2469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3">
    <w:nsid w:val="7DEC2089"/>
    <w:multiLevelType w:val="singleLevel"/>
    <w:tmpl w:val="7DEC208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14"/>
  </w:num>
  <w:num w:numId="2">
    <w:abstractNumId w:val="10"/>
  </w:num>
  <w:num w:numId="3">
    <w:abstractNumId w:val="26"/>
  </w:num>
  <w:num w:numId="4">
    <w:abstractNumId w:val="8"/>
  </w:num>
  <w:num w:numId="5">
    <w:abstractNumId w:val="6"/>
  </w:num>
  <w:num w:numId="6">
    <w:abstractNumId w:val="16"/>
  </w:num>
  <w:num w:numId="7">
    <w:abstractNumId w:val="19"/>
  </w:num>
  <w:num w:numId="8">
    <w:abstractNumId w:val="30"/>
  </w:num>
  <w:num w:numId="9">
    <w:abstractNumId w:val="15"/>
  </w:num>
  <w:num w:numId="10">
    <w:abstractNumId w:val="2"/>
  </w:num>
  <w:num w:numId="11">
    <w:abstractNumId w:val="20"/>
  </w:num>
  <w:num w:numId="12">
    <w:abstractNumId w:val="27"/>
  </w:num>
  <w:num w:numId="13">
    <w:abstractNumId w:val="9"/>
  </w:num>
  <w:num w:numId="14">
    <w:abstractNumId w:val="24"/>
  </w:num>
  <w:num w:numId="15">
    <w:abstractNumId w:val="13"/>
  </w:num>
  <w:num w:numId="16">
    <w:abstractNumId w:val="18"/>
  </w:num>
  <w:num w:numId="17">
    <w:abstractNumId w:val="12"/>
  </w:num>
  <w:num w:numId="18">
    <w:abstractNumId w:val="11"/>
  </w:num>
  <w:num w:numId="19">
    <w:abstractNumId w:val="4"/>
  </w:num>
  <w:num w:numId="20">
    <w:abstractNumId w:val="23"/>
  </w:num>
  <w:num w:numId="21">
    <w:abstractNumId w:val="28"/>
  </w:num>
  <w:num w:numId="22">
    <w:abstractNumId w:val="17"/>
  </w:num>
  <w:num w:numId="23">
    <w:abstractNumId w:val="22"/>
  </w:num>
  <w:num w:numId="24">
    <w:abstractNumId w:val="5"/>
  </w:num>
  <w:num w:numId="25">
    <w:abstractNumId w:val="32"/>
  </w:num>
  <w:num w:numId="26">
    <w:abstractNumId w:val="31"/>
  </w:num>
  <w:num w:numId="27">
    <w:abstractNumId w:val="7"/>
  </w:num>
  <w:num w:numId="28">
    <w:abstractNumId w:val="29"/>
  </w:num>
  <w:num w:numId="29">
    <w:abstractNumId w:val="3"/>
  </w:num>
  <w:num w:numId="30">
    <w:abstractNumId w:val="21"/>
  </w:num>
  <w:num w:numId="31">
    <w:abstractNumId w:val="1"/>
  </w:num>
  <w:num w:numId="32">
    <w:abstractNumId w:val="25"/>
  </w:num>
  <w:num w:numId="33">
    <w:abstractNumId w:val="33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11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2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2812</Words>
  <Characters>2937</Characters>
  <TotalTime>0</TotalTime>
  <ScaleCrop>false</ScaleCrop>
  <LinksUpToDate>false</LinksUpToDate>
  <CharactersWithSpaces>2964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2026-02-25T09:51:00Z</dcterms:created>
  <dc:creator>html-to-docx</dc:creator>
  <cp:keywords>html-to-docx</cp:keywords>
  <cp:lastModifiedBy>dyx</cp:lastModifiedBy>
  <dcterms:modified xsi:type="dcterms:W3CDTF">2026-02-25T09:52:09Z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5C955E280A8B40DEAA0D362CD42BF532_12</vt:lpwstr>
  </property>
</Properties>
</file>