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E199E">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61472B6F">
      <w:pPr>
        <w:spacing w:before="157" w:after="157" w:line="270" w:lineRule="auto"/>
        <w:jc w:val="left"/>
      </w:pPr>
      <w:bookmarkStart w:id="0" w:name="中外博物馆教育的现状与未来趋势"/>
      <w:r>
        <w:rPr>
          <w:rFonts w:ascii="inter" w:hAnsi="inter" w:eastAsia="inter" w:cs="inter"/>
          <w:b/>
          <w:color w:val="000000"/>
          <w:sz w:val="39"/>
        </w:rPr>
        <w:t>中外博物馆教育的现状与未来趋势</w:t>
      </w:r>
      <w:bookmarkEnd w:id="0"/>
      <w:bookmarkStart w:id="125" w:name="_GoBack"/>
      <w:bookmarkEnd w:id="125"/>
    </w:p>
    <w:p w14:paraId="70AC8EB9">
      <w:pPr>
        <w:spacing w:after="210" w:line="360" w:lineRule="auto"/>
      </w:pPr>
      <w:r>
        <w:rPr>
          <w:rFonts w:ascii="inter" w:hAnsi="inter" w:eastAsia="inter" w:cs="inter"/>
          <w:color w:val="000000"/>
        </w:rPr>
        <w:t>——战略研究报告（要点稿）</w:t>
      </w:r>
    </w:p>
    <w:p w14:paraId="55CCBDA9">
      <w:pPr>
        <w:spacing w:before="315" w:after="105" w:line="360" w:lineRule="auto"/>
        <w:ind w:left="-30"/>
        <w:jc w:val="left"/>
      </w:pPr>
      <w:bookmarkStart w:id="1" w:name="一_研究背景与核心概念界定"/>
      <w:r>
        <w:rPr>
          <w:rFonts w:ascii="inter" w:hAnsi="inter" w:eastAsia="inter" w:cs="inter"/>
          <w:b/>
          <w:color w:val="000000"/>
          <w:sz w:val="24"/>
        </w:rPr>
        <w:t>一、研究背景与核心概念界定</w:t>
      </w:r>
      <w:bookmarkEnd w:id="1"/>
    </w:p>
    <w:p w14:paraId="1BBE75C9">
      <w:pPr>
        <w:spacing w:after="210" w:line="360" w:lineRule="auto"/>
      </w:pPr>
      <w:r>
        <w:rPr>
          <w:rFonts w:ascii="inter" w:hAnsi="inter" w:eastAsia="inter" w:cs="inter"/>
          <w:color w:val="000000"/>
        </w:rPr>
        <w:t>在全球知识社会与数字文明并行发展的背景下，博物馆教育在一定程度上正由“辅助功能”转向“核心使命”。联合国教科文组织（UNESCO）在《文化与艺术教育框架》中强调，博物馆等文化机构是联结正式教育、非正式学习环境与终身学习体系的重要枢纽，对促进包容性、文化多样性与跨文化理解具有关键作用。</w:t>
      </w:r>
      <w:bookmarkStart w:id="2" w:name="fnref1"/>
      <w:bookmarkEnd w:id="2"/>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3" w:name="fnref2"/>
      <w:bookmarkEnd w:id="3"/>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4D7327EE">
      <w:pPr>
        <w:spacing w:after="210" w:line="360" w:lineRule="auto"/>
      </w:pPr>
      <w:r>
        <w:rPr>
          <w:rFonts w:ascii="inter" w:hAnsi="inter" w:eastAsia="inter" w:cs="inter"/>
          <w:color w:val="000000"/>
        </w:rPr>
        <w:t>（一）核心术语界定</w:t>
      </w:r>
    </w:p>
    <w:p w14:paraId="5F00F85C">
      <w:pPr>
        <w:numPr>
          <w:ilvl w:val="0"/>
          <w:numId w:val="1"/>
        </w:numPr>
        <w:spacing w:after="210" w:line="360" w:lineRule="auto"/>
      </w:pPr>
      <w:r>
        <w:rPr>
          <w:rFonts w:ascii="inter" w:hAnsi="inter" w:eastAsia="inter" w:cs="inter"/>
          <w:b/>
          <w:color w:val="000000"/>
          <w:sz w:val="21"/>
        </w:rPr>
        <w:t>非正式学习环境</w:t>
      </w:r>
      <w:r>
        <w:rPr>
          <w:rFonts w:ascii="inter" w:hAnsi="inter" w:eastAsia="inter" w:cs="inter"/>
          <w:color w:val="000000"/>
          <w:sz w:val="21"/>
        </w:rPr>
        <w:br w:type="textWrapping"/>
      </w:r>
      <w:r>
        <w:rPr>
          <w:rFonts w:ascii="inter" w:hAnsi="inter" w:eastAsia="inter" w:cs="inter"/>
          <w:color w:val="000000"/>
          <w:sz w:val="21"/>
        </w:rPr>
        <w:t>非正式学习环境通常而言是指在学校体系之外，由博物馆、图书馆、科学中心、社区机构等提供的开放性、体验式、参与式学习空间，其特点是不以刚性课程标准为唯一依据，而强调兴趣驱动、情境体验与自我导向学习。</w:t>
      </w:r>
      <w:bookmarkStart w:id="4" w:name="fnref3"/>
      <w:bookmarkEnd w:id="4"/>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bookmarkStart w:id="5" w:name="fnref4"/>
      <w:bookmarkEnd w:id="5"/>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p>
    <w:p w14:paraId="11331219">
      <w:pPr>
        <w:numPr>
          <w:ilvl w:val="0"/>
          <w:numId w:val="1"/>
        </w:numPr>
        <w:spacing w:after="210" w:line="360" w:lineRule="auto"/>
      </w:pPr>
      <w:r>
        <w:rPr>
          <w:rFonts w:ascii="inter" w:hAnsi="inter" w:eastAsia="inter" w:cs="inter"/>
          <w:color w:val="000000"/>
          <w:sz w:val="21"/>
        </w:rPr>
        <w:t>教育性展览设计</w:t>
      </w:r>
      <w:r>
        <w:rPr>
          <w:rFonts w:ascii="inter" w:hAnsi="inter" w:eastAsia="inter" w:cs="inter"/>
          <w:color w:val="000000"/>
          <w:sz w:val="21"/>
        </w:rPr>
        <w:br w:type="textWrapping"/>
      </w:r>
      <w:r>
        <w:rPr>
          <w:rFonts w:ascii="inter" w:hAnsi="inter" w:eastAsia="inter" w:cs="inter"/>
          <w:color w:val="000000"/>
          <w:sz w:val="21"/>
        </w:rPr>
        <w:t>教育性展览设计是指以学习目标与观众发展需求为导向，通过展品选择、空间动线、多模态媒体与互动装置的综合配置，支持观众在参观过程中实现认知、情感与技能等多维度学习的展览策划与设计实践。</w:t>
      </w:r>
      <w:bookmarkStart w:id="6" w:name="fnref5"/>
      <w:bookmarkEnd w:id="6"/>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p>
    <w:p w14:paraId="0BD1114E">
      <w:pPr>
        <w:numPr>
          <w:ilvl w:val="0"/>
          <w:numId w:val="1"/>
        </w:numPr>
        <w:spacing w:after="210" w:line="360" w:lineRule="auto"/>
      </w:pPr>
      <w:r>
        <w:rPr>
          <w:rFonts w:ascii="inter" w:hAnsi="inter" w:eastAsia="inter" w:cs="inter"/>
          <w:color w:val="000000"/>
          <w:sz w:val="21"/>
        </w:rPr>
        <w:t>社会包容性</w:t>
      </w:r>
      <w:r>
        <w:rPr>
          <w:rFonts w:ascii="inter" w:hAnsi="inter" w:eastAsia="inter" w:cs="inter"/>
          <w:color w:val="000000"/>
          <w:sz w:val="21"/>
        </w:rPr>
        <w:br w:type="textWrapping"/>
      </w:r>
      <w:r>
        <w:rPr>
          <w:rFonts w:ascii="inter" w:hAnsi="inter" w:eastAsia="inter" w:cs="inter"/>
          <w:color w:val="000000"/>
          <w:sz w:val="21"/>
        </w:rPr>
        <w:t>社会包容性在博物馆领域通常指机构通过票价政策、无障碍设计、多语种与多文化叙事、参与式项目等方式，降低参与门槛、回应弱势与边缘群体需求，使更多社会成员在文化参与和学习机会方面获得相对公平的待遇。</w:t>
      </w:r>
      <w:bookmarkStart w:id="7" w:name="fnref6"/>
      <w:bookmarkEnd w:id="7"/>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8" w:name="fnref5_1"/>
      <w:bookmarkEnd w:id="8"/>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p>
    <w:p w14:paraId="1FF744BC">
      <w:pPr>
        <w:numPr>
          <w:ilvl w:val="0"/>
          <w:numId w:val="1"/>
        </w:numPr>
        <w:spacing w:after="210" w:line="360" w:lineRule="auto"/>
      </w:pPr>
      <w:r>
        <w:rPr>
          <w:rFonts w:ascii="inter" w:hAnsi="inter" w:eastAsia="inter" w:cs="inter"/>
          <w:color w:val="000000"/>
          <w:sz w:val="21"/>
        </w:rPr>
        <w:t>观众研究</w:t>
      </w:r>
      <w:r>
        <w:rPr>
          <w:rFonts w:ascii="inter" w:hAnsi="inter" w:eastAsia="inter" w:cs="inter"/>
          <w:color w:val="000000"/>
          <w:sz w:val="21"/>
        </w:rPr>
        <w:br w:type="textWrapping"/>
      </w:r>
      <w:r>
        <w:rPr>
          <w:rFonts w:ascii="inter" w:hAnsi="inter" w:eastAsia="inter" w:cs="inter"/>
          <w:color w:val="000000"/>
          <w:sz w:val="21"/>
        </w:rPr>
        <w:t>观众研究是对博物馆受众的特征、动机、行为模式、学习需求与满意度进行系统性调查和数据分析的实践，用于为展览策划、教育项目与公共服务提供证据基础。美国博物馆联盟（AAM）通过年度“博物馆观众调查”持续跟踪观众对社区联结、学习体验与社会价值的认知，以支持机构开展数据驱动的决策。</w:t>
      </w:r>
      <w:bookmarkStart w:id="9" w:name="fnref7"/>
      <w:bookmarkEnd w:id="9"/>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10" w:name="fnref8"/>
      <w:bookmarkEnd w:id="10"/>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0A8573C2">
      <w:pPr>
        <w:numPr>
          <w:ilvl w:val="0"/>
          <w:numId w:val="1"/>
        </w:numPr>
        <w:spacing w:after="210" w:line="360" w:lineRule="auto"/>
      </w:pPr>
      <w:r>
        <w:rPr>
          <w:rFonts w:ascii="inter" w:hAnsi="inter" w:eastAsia="inter" w:cs="inter"/>
          <w:color w:val="000000"/>
          <w:sz w:val="21"/>
        </w:rPr>
        <w:t>数字化叙事</w:t>
      </w:r>
      <w:r>
        <w:rPr>
          <w:rFonts w:ascii="inter" w:hAnsi="inter" w:eastAsia="inter" w:cs="inter"/>
          <w:color w:val="000000"/>
          <w:sz w:val="21"/>
        </w:rPr>
        <w:br w:type="textWrapping"/>
      </w:r>
      <w:r>
        <w:rPr>
          <w:rFonts w:ascii="inter" w:hAnsi="inter" w:eastAsia="inter" w:cs="inter"/>
          <w:color w:val="000000"/>
          <w:sz w:val="21"/>
        </w:rPr>
        <w:t>数字化叙事是指借助多媒体、交互界面、沉浸式技术与在线平台，以故事形式组织和呈现博物馆藏品与知识，支持观众在多终端、多场景中进行情境化、联想化和跨学科学习的数字传播方式。</w:t>
      </w:r>
      <w:bookmarkStart w:id="11" w:name="fnref9"/>
      <w:bookmarkEnd w:id="11"/>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bookmarkStart w:id="12" w:name="fnref10"/>
      <w:bookmarkEnd w:id="12"/>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p>
    <w:p w14:paraId="7AF711B3">
      <w:pPr>
        <w:numPr>
          <w:ilvl w:val="0"/>
          <w:numId w:val="1"/>
        </w:numPr>
        <w:spacing w:after="210" w:line="360" w:lineRule="auto"/>
      </w:pPr>
      <w:r>
        <w:rPr>
          <w:rFonts w:ascii="inter" w:hAnsi="inter" w:eastAsia="inter" w:cs="inter"/>
          <w:color w:val="000000"/>
          <w:sz w:val="21"/>
        </w:rPr>
        <w:t>跨学科学习与 STEAM</w:t>
      </w:r>
      <w:r>
        <w:rPr>
          <w:rFonts w:ascii="inter" w:hAnsi="inter" w:eastAsia="inter" w:cs="inter"/>
          <w:color w:val="000000"/>
          <w:sz w:val="21"/>
        </w:rPr>
        <w:br w:type="textWrapping"/>
      </w:r>
      <w:r>
        <w:rPr>
          <w:rFonts w:ascii="inter" w:hAnsi="inter" w:eastAsia="inter" w:cs="inter"/>
          <w:color w:val="000000"/>
          <w:sz w:val="21"/>
        </w:rPr>
        <w:t>跨学科学习强调打破学科壁垒，使学习者围绕真实问题综合运用科学、技术、工程、艺术和数学等多学科知识，形成综合解决能力。STEAM 教育作为代表性范式，注重通过项目制、探究式学习促进创造力与批判性思维，博物馆被认为是实施 STEAM 教育的重要非正式学习环境。</w:t>
      </w:r>
      <w:bookmarkStart w:id="13" w:name="fnref11"/>
      <w:bookmarkEnd w:id="13"/>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bookmarkStart w:id="14" w:name="fnref12"/>
      <w:bookmarkEnd w:id="14"/>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bookmarkStart w:id="15" w:name="fnref13"/>
      <w:bookmarkEnd w:id="15"/>
      <w:r>
        <w:fldChar w:fldCharType="begin"/>
      </w:r>
      <w:r>
        <w:instrText xml:space="preserve"> HYPERLINK \l "fn13" \h </w:instrText>
      </w:r>
      <w:r>
        <w:fldChar w:fldCharType="separate"/>
      </w:r>
      <w:r>
        <w:rPr>
          <w:rFonts w:ascii="inter" w:hAnsi="inter" w:eastAsia="inter" w:cs="inter"/>
          <w:color w:val="000000"/>
          <w:sz w:val="21"/>
          <w:u w:val="single"/>
          <w:vertAlign w:val="superscript"/>
        </w:rPr>
        <w:t>[13]</w:t>
      </w:r>
      <w:r>
        <w:rPr>
          <w:rFonts w:ascii="inter" w:hAnsi="inter" w:eastAsia="inter" w:cs="inter"/>
          <w:color w:val="000000"/>
          <w:sz w:val="21"/>
          <w:u w:val="single"/>
          <w:vertAlign w:val="superscript"/>
        </w:rPr>
        <w:fldChar w:fldCharType="end"/>
      </w:r>
      <w:bookmarkStart w:id="16" w:name="fnref14"/>
      <w:bookmarkEnd w:id="16"/>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p>
    <w:p w14:paraId="0FF3BFCF">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4FE91EB9">
      <w:pPr>
        <w:spacing w:before="315" w:after="105" w:line="360" w:lineRule="auto"/>
        <w:ind w:left="-30"/>
        <w:jc w:val="left"/>
      </w:pPr>
      <w:bookmarkStart w:id="17" w:name="二_全球博物馆教育的总体态势"/>
      <w:r>
        <w:rPr>
          <w:rFonts w:ascii="inter" w:hAnsi="inter" w:eastAsia="inter" w:cs="inter"/>
          <w:b/>
          <w:color w:val="000000"/>
          <w:sz w:val="24"/>
        </w:rPr>
        <w:t>二、全球博物馆教育的总体态势</w:t>
      </w:r>
      <w:bookmarkEnd w:id="17"/>
    </w:p>
    <w:p w14:paraId="2957411D">
      <w:pPr>
        <w:spacing w:after="210" w:line="360" w:lineRule="auto"/>
      </w:pPr>
      <w:r>
        <w:rPr>
          <w:rFonts w:ascii="inter" w:hAnsi="inter" w:eastAsia="inter" w:cs="inter"/>
          <w:color w:val="000000"/>
        </w:rPr>
        <w:t>（一）国际政策框架与功能定位</w:t>
      </w:r>
    </w:p>
    <w:p w14:paraId="11254836">
      <w:pPr>
        <w:numPr>
          <w:ilvl w:val="0"/>
          <w:numId w:val="2"/>
        </w:numPr>
        <w:spacing w:after="210" w:line="360" w:lineRule="auto"/>
      </w:pPr>
      <w:r>
        <w:rPr>
          <w:rFonts w:ascii="inter" w:hAnsi="inter" w:eastAsia="inter" w:cs="inter"/>
          <w:color w:val="000000"/>
          <w:sz w:val="21"/>
        </w:rPr>
        <w:t>UNESCO 视角</w:t>
      </w:r>
      <w:r>
        <w:rPr>
          <w:rFonts w:ascii="inter" w:hAnsi="inter" w:eastAsia="inter" w:cs="inter"/>
          <w:color w:val="000000"/>
          <w:sz w:val="21"/>
        </w:rPr>
        <w:br w:type="textWrapping"/>
      </w:r>
      <w:r>
        <w:rPr>
          <w:rFonts w:ascii="inter" w:hAnsi="inter" w:eastAsia="inter" w:cs="inter"/>
          <w:color w:val="000000"/>
          <w:sz w:val="21"/>
        </w:rPr>
        <w:t>联合国教科文组织《博物馆及藏品保护与促进建议书》明确指出，教育是博物馆的主要功能之一，博物馆应通过正式与非正式教育以及终身学习项目，促进公民素养、文化多样性和社会参与。同时，《文化与艺术教育框架》进一步强调要拓展学习环境，将博物馆系统性纳入文化与艺术教育生态，与学校教育形成协同。</w:t>
      </w:r>
      <w:bookmarkStart w:id="18" w:name="fnref2_1"/>
      <w:bookmarkEnd w:id="18"/>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bookmarkStart w:id="19" w:name="fnref1_1"/>
      <w:bookmarkEnd w:id="19"/>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bookmarkStart w:id="20" w:name="fnref6_1"/>
      <w:bookmarkEnd w:id="20"/>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265CE947">
      <w:pPr>
        <w:numPr>
          <w:ilvl w:val="0"/>
          <w:numId w:val="2"/>
        </w:numPr>
        <w:spacing w:after="210" w:line="360" w:lineRule="auto"/>
      </w:pPr>
      <w:r>
        <w:rPr>
          <w:rFonts w:ascii="inter" w:hAnsi="inter" w:eastAsia="inter" w:cs="inter"/>
          <w:color w:val="000000"/>
          <w:sz w:val="21"/>
        </w:rPr>
        <w:t>非正式学习与社会影响</w:t>
      </w:r>
      <w:r>
        <w:rPr>
          <w:rFonts w:ascii="inter" w:hAnsi="inter" w:eastAsia="inter" w:cs="inter"/>
          <w:color w:val="000000"/>
          <w:sz w:val="21"/>
        </w:rPr>
        <w:br w:type="textWrapping"/>
      </w:r>
      <w:r>
        <w:rPr>
          <w:rFonts w:ascii="inter" w:hAnsi="inter" w:eastAsia="inter" w:cs="inter"/>
          <w:color w:val="000000"/>
          <w:sz w:val="21"/>
        </w:rPr>
        <w:t>UNESCO 及相关研究表明，博物馆等公共学习空间在一定程度上可为儿童和青少年提供课堂之外的科学与人文体验，强化好奇心、探究能力和社会情感学习，对弥补正式教育的结构性不足具有重要意义。</w:t>
      </w:r>
      <w:bookmarkStart w:id="21" w:name="fnref4_1"/>
      <w:bookmarkEnd w:id="21"/>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bookmarkStart w:id="22" w:name="fnref3_1"/>
      <w:bookmarkEnd w:id="22"/>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p>
    <w:p w14:paraId="0E1998D7">
      <w:pPr>
        <w:spacing w:after="210" w:line="360" w:lineRule="auto"/>
      </w:pPr>
      <w:r>
        <w:rPr>
          <w:rFonts w:ascii="inter" w:hAnsi="inter" w:eastAsia="inter" w:cs="inter"/>
          <w:color w:val="000000"/>
        </w:rPr>
        <w:t>（二）主要国家（美、英、法、德、日）现状概览</w:t>
      </w:r>
    </w:p>
    <w:p w14:paraId="37F5FA5E">
      <w:pPr>
        <w:spacing w:before="315" w:after="105" w:line="360" w:lineRule="auto"/>
        <w:ind w:left="-30"/>
        <w:jc w:val="left"/>
      </w:pPr>
      <w:bookmarkStart w:id="23" w:name="表_1_典型国家博物馆教育特征概览"/>
      <w:r>
        <w:rPr>
          <w:rFonts w:ascii="inter" w:hAnsi="inter" w:eastAsia="inter" w:cs="inter"/>
          <w:b/>
          <w:color w:val="000000"/>
          <w:sz w:val="24"/>
        </w:rPr>
        <w:t>表 1 典型国家博物馆教育特征概览</w:t>
      </w:r>
      <w:bookmarkEnd w:id="23"/>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537"/>
        <w:gridCol w:w="2302"/>
        <w:gridCol w:w="2892"/>
        <w:gridCol w:w="2113"/>
        <w:gridCol w:w="1996"/>
      </w:tblGrid>
      <w:tr w14:paraId="5203D6E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cantSplit/>
          <w:tblCellSpacing w:w="0" w:type="dxa"/>
          <w:jc w:val="center"/>
        </w:trPr>
        <w:tc>
          <w:tcPr>
            <w:tcBorders>
              <w:top w:val="single" w:color="000000" w:sz="0" w:space="0"/>
              <w:bottom w:val="single" w:color="000000" w:sz="0" w:space="0"/>
              <w:right w:val="single" w:color="000000" w:sz="0" w:space="0"/>
            </w:tcBorders>
          </w:tcPr>
          <w:p w14:paraId="340006B0">
            <w:pPr>
              <w:spacing w:after="0" w:line="360" w:lineRule="auto"/>
            </w:pPr>
            <w:r>
              <w:rPr>
                <w:rFonts w:ascii="inter" w:hAnsi="inter" w:eastAsia="inter" w:cs="inter"/>
                <w:color w:val="000000"/>
                <w:sz w:val="17"/>
              </w:rPr>
              <w:t>国家</w:t>
            </w:r>
          </w:p>
        </w:tc>
        <w:tc>
          <w:tcPr>
            <w:tcBorders>
              <w:top w:val="single" w:color="000000" w:sz="0" w:space="0"/>
              <w:bottom w:val="single" w:color="000000" w:sz="0" w:space="0"/>
              <w:right w:val="single" w:color="000000" w:sz="0" w:space="0"/>
            </w:tcBorders>
          </w:tcPr>
          <w:p w14:paraId="78463F4B">
            <w:pPr>
              <w:spacing w:after="0" w:line="360" w:lineRule="auto"/>
            </w:pPr>
            <w:r>
              <w:rPr>
                <w:rFonts w:ascii="inter" w:hAnsi="inter" w:eastAsia="inter" w:cs="inter"/>
                <w:color w:val="000000"/>
                <w:sz w:val="17"/>
              </w:rPr>
              <w:t>机构政策与定位</w:t>
            </w:r>
          </w:p>
        </w:tc>
        <w:tc>
          <w:tcPr>
            <w:tcBorders>
              <w:top w:val="single" w:color="000000" w:sz="0" w:space="0"/>
              <w:bottom w:val="single" w:color="000000" w:sz="0" w:space="0"/>
              <w:right w:val="single" w:color="000000" w:sz="0" w:space="0"/>
            </w:tcBorders>
          </w:tcPr>
          <w:p w14:paraId="617EAD9A">
            <w:pPr>
              <w:spacing w:after="0" w:line="360" w:lineRule="auto"/>
            </w:pPr>
            <w:r>
              <w:rPr>
                <w:rFonts w:ascii="inter" w:hAnsi="inter" w:eastAsia="inter" w:cs="inter"/>
                <w:color w:val="000000"/>
                <w:sz w:val="17"/>
              </w:rPr>
              <w:t>教育项目特点</w:t>
            </w:r>
          </w:p>
        </w:tc>
        <w:tc>
          <w:tcPr>
            <w:tcBorders>
              <w:top w:val="single" w:color="000000" w:sz="0" w:space="0"/>
              <w:bottom w:val="single" w:color="000000" w:sz="0" w:space="0"/>
              <w:right w:val="single" w:color="000000" w:sz="0" w:space="0"/>
            </w:tcBorders>
          </w:tcPr>
          <w:p w14:paraId="31435D6A">
            <w:pPr>
              <w:spacing w:after="0" w:line="360" w:lineRule="auto"/>
            </w:pPr>
            <w:r>
              <w:rPr>
                <w:rFonts w:ascii="inter" w:hAnsi="inter" w:eastAsia="inter" w:cs="inter"/>
                <w:color w:val="000000"/>
                <w:sz w:val="17"/>
              </w:rPr>
              <w:t>科技与数字化应用</w:t>
            </w:r>
          </w:p>
        </w:tc>
        <w:tc>
          <w:tcPr>
            <w:tcBorders>
              <w:top w:val="single" w:color="000000" w:sz="0" w:space="0"/>
              <w:bottom w:val="single" w:color="000000" w:sz="0" w:space="0"/>
            </w:tcBorders>
          </w:tcPr>
          <w:p w14:paraId="151DAC2C">
            <w:pPr>
              <w:spacing w:after="0" w:line="360" w:lineRule="auto"/>
            </w:pPr>
            <w:r>
              <w:rPr>
                <w:rFonts w:ascii="inter" w:hAnsi="inter" w:eastAsia="inter" w:cs="inter"/>
                <w:color w:val="000000"/>
                <w:sz w:val="17"/>
              </w:rPr>
              <w:t>社会包容与社区联结</w:t>
            </w:r>
          </w:p>
        </w:tc>
      </w:tr>
      <w:tr w14:paraId="5AC149B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03FA686">
            <w:pPr>
              <w:spacing w:after="0" w:line="360" w:lineRule="auto"/>
            </w:pPr>
            <w:r>
              <w:rPr>
                <w:rFonts w:ascii="inter" w:hAnsi="inter" w:eastAsia="inter" w:cs="inter"/>
                <w:color w:val="000000"/>
                <w:sz w:val="17"/>
              </w:rPr>
              <w:t>美国</w:t>
            </w:r>
          </w:p>
        </w:tc>
        <w:tc>
          <w:tcPr>
            <w:tcBorders>
              <w:top w:val="single" w:color="000000" w:sz="0" w:space="0"/>
              <w:bottom w:val="single" w:color="000000" w:sz="0" w:space="0"/>
              <w:right w:val="single" w:color="000000" w:sz="0" w:space="0"/>
            </w:tcBorders>
          </w:tcPr>
          <w:p w14:paraId="661D7852">
            <w:pPr>
              <w:spacing w:after="0" w:line="360" w:lineRule="auto"/>
            </w:pPr>
            <w:r>
              <w:rPr>
                <w:rFonts w:ascii="inter" w:hAnsi="inter" w:eastAsia="inter" w:cs="inter"/>
                <w:color w:val="000000"/>
                <w:sz w:val="17"/>
              </w:rPr>
              <w:t>AAM 将教育与社区参与视为核心评价维度，鼓励机构开展受众研究与学习评估</w:t>
            </w:r>
            <w:r>
              <w:fldChar w:fldCharType="begin"/>
            </w:r>
            <w:r>
              <w:instrText xml:space="preserve"> HYPERLINK \l "fn7" \h </w:instrText>
            </w:r>
            <w:r>
              <w:fldChar w:fldCharType="separate"/>
            </w:r>
            <w:r>
              <w:rPr>
                <w:rFonts w:ascii="inter" w:hAnsi="inter" w:eastAsia="inter" w:cs="inter"/>
                <w:color w:val="000000"/>
                <w:sz w:val="17"/>
                <w:u w:val="single"/>
                <w:vertAlign w:val="superscript"/>
              </w:rPr>
              <w:t>[7]</w:t>
            </w:r>
            <w:r>
              <w:rPr>
                <w:rFonts w:ascii="inter" w:hAnsi="inter" w:eastAsia="inter" w:cs="inter"/>
                <w:color w:val="000000"/>
                <w:sz w:val="17"/>
                <w:u w:val="single"/>
                <w:vertAlign w:val="superscript"/>
              </w:rPr>
              <w:fldChar w:fldCharType="end"/>
            </w:r>
            <w:r>
              <w:fldChar w:fldCharType="begin"/>
            </w:r>
            <w:r>
              <w:instrText xml:space="preserve"> HYPERLINK \l "fn15" \h </w:instrText>
            </w:r>
            <w:r>
              <w:fldChar w:fldCharType="separate"/>
            </w:r>
            <w:r>
              <w:rPr>
                <w:rFonts w:ascii="inter" w:hAnsi="inter" w:eastAsia="inter" w:cs="inter"/>
                <w:color w:val="000000"/>
                <w:sz w:val="17"/>
                <w:u w:val="single"/>
                <w:vertAlign w:val="superscript"/>
              </w:rPr>
              <w:t>[15]</w:t>
            </w:r>
            <w:r>
              <w:rPr>
                <w:rFonts w:ascii="inter" w:hAnsi="inter" w:eastAsia="inter" w:cs="inter"/>
                <w:color w:val="000000"/>
                <w:sz w:val="17"/>
                <w:u w:val="single"/>
                <w:vertAlign w:val="superscript"/>
              </w:rPr>
              <w:fldChar w:fldCharType="end"/>
            </w:r>
            <w:r>
              <w:rPr>
                <w:rFonts w:ascii="inter" w:hAnsi="inter" w:eastAsia="inter" w:cs="inter"/>
                <w:color w:val="000000"/>
                <w:sz w:val="17"/>
              </w:rPr>
              <w:t>。</w:t>
            </w:r>
          </w:p>
        </w:tc>
        <w:tc>
          <w:tcPr>
            <w:tcBorders>
              <w:top w:val="single" w:color="000000" w:sz="0" w:space="0"/>
              <w:bottom w:val="single" w:color="000000" w:sz="0" w:space="0"/>
              <w:right w:val="single" w:color="000000" w:sz="0" w:space="0"/>
            </w:tcBorders>
          </w:tcPr>
          <w:p w14:paraId="03B629A2">
            <w:pPr>
              <w:spacing w:after="0" w:line="360" w:lineRule="auto"/>
            </w:pPr>
            <w:r>
              <w:rPr>
                <w:rFonts w:ascii="inter" w:hAnsi="inter" w:eastAsia="inter" w:cs="inter"/>
                <w:color w:val="000000"/>
                <w:sz w:val="17"/>
              </w:rPr>
              <w:t>重视探究式学习、家庭与青少年项目，广泛实践 STEM/STEAM 与跨学科学习</w:t>
            </w:r>
            <w:r>
              <w:fldChar w:fldCharType="begin"/>
            </w:r>
            <w:r>
              <w:instrText xml:space="preserve"> HYPERLINK \l "fn11" \h </w:instrText>
            </w:r>
            <w:r>
              <w:fldChar w:fldCharType="separate"/>
            </w:r>
            <w:r>
              <w:rPr>
                <w:rFonts w:ascii="inter" w:hAnsi="inter" w:eastAsia="inter" w:cs="inter"/>
                <w:color w:val="000000"/>
                <w:sz w:val="17"/>
                <w:u w:val="single"/>
                <w:vertAlign w:val="superscript"/>
              </w:rPr>
              <w:t>[11]</w:t>
            </w:r>
            <w:r>
              <w:rPr>
                <w:rFonts w:ascii="inter" w:hAnsi="inter" w:eastAsia="inter" w:cs="inter"/>
                <w:color w:val="000000"/>
                <w:sz w:val="17"/>
                <w:u w:val="single"/>
                <w:vertAlign w:val="superscript"/>
              </w:rPr>
              <w:fldChar w:fldCharType="end"/>
            </w:r>
            <w:r>
              <w:fldChar w:fldCharType="begin"/>
            </w:r>
            <w:r>
              <w:instrText xml:space="preserve"> HYPERLINK \l "fn13" \h </w:instrText>
            </w:r>
            <w:r>
              <w:fldChar w:fldCharType="separate"/>
            </w:r>
            <w:r>
              <w:rPr>
                <w:rFonts w:ascii="inter" w:hAnsi="inter" w:eastAsia="inter" w:cs="inter"/>
                <w:color w:val="000000"/>
                <w:sz w:val="17"/>
                <w:u w:val="single"/>
                <w:vertAlign w:val="superscript"/>
              </w:rPr>
              <w:t>[13]</w:t>
            </w:r>
            <w:r>
              <w:rPr>
                <w:rFonts w:ascii="inter" w:hAnsi="inter" w:eastAsia="inter" w:cs="inter"/>
                <w:color w:val="000000"/>
                <w:sz w:val="17"/>
                <w:u w:val="single"/>
                <w:vertAlign w:val="superscript"/>
              </w:rPr>
              <w:fldChar w:fldCharType="end"/>
            </w:r>
            <w:r>
              <w:rPr>
                <w:rFonts w:ascii="inter" w:hAnsi="inter" w:eastAsia="inter" w:cs="inter"/>
                <w:color w:val="000000"/>
                <w:sz w:val="17"/>
              </w:rPr>
              <w:t>。</w:t>
            </w:r>
          </w:p>
        </w:tc>
        <w:tc>
          <w:tcPr>
            <w:tcBorders>
              <w:top w:val="single" w:color="000000" w:sz="0" w:space="0"/>
              <w:bottom w:val="single" w:color="000000" w:sz="0" w:space="0"/>
              <w:right w:val="single" w:color="000000" w:sz="0" w:space="0"/>
            </w:tcBorders>
          </w:tcPr>
          <w:p w14:paraId="69DB6B5C">
            <w:pPr>
              <w:spacing w:after="0" w:line="360" w:lineRule="auto"/>
            </w:pPr>
            <w:r>
              <w:rPr>
                <w:rFonts w:ascii="inter" w:hAnsi="inter" w:eastAsia="inter" w:cs="inter"/>
                <w:color w:val="000000"/>
                <w:sz w:val="17"/>
              </w:rPr>
              <w:t>普遍采用数字导览、在线课程与虚拟展览，积极试验 AI 导览与沉浸式体验</w:t>
            </w:r>
            <w:r>
              <w:fldChar w:fldCharType="begin"/>
            </w:r>
            <w:r>
              <w:instrText xml:space="preserve"> HYPERLINK \l "fn9" \h </w:instrText>
            </w:r>
            <w:r>
              <w:fldChar w:fldCharType="separate"/>
            </w:r>
            <w:r>
              <w:rPr>
                <w:rFonts w:ascii="inter" w:hAnsi="inter" w:eastAsia="inter" w:cs="inter"/>
                <w:color w:val="000000"/>
                <w:sz w:val="17"/>
                <w:u w:val="single"/>
                <w:vertAlign w:val="superscript"/>
              </w:rPr>
              <w:t>[9]</w:t>
            </w:r>
            <w:r>
              <w:rPr>
                <w:rFonts w:ascii="inter" w:hAnsi="inter" w:eastAsia="inter" w:cs="inter"/>
                <w:color w:val="000000"/>
                <w:sz w:val="17"/>
                <w:u w:val="single"/>
                <w:vertAlign w:val="superscript"/>
              </w:rPr>
              <w:fldChar w:fldCharType="end"/>
            </w:r>
            <w:r>
              <w:fldChar w:fldCharType="begin"/>
            </w:r>
            <w:r>
              <w:instrText xml:space="preserve"> HYPERLINK \l "fn10" \h </w:instrText>
            </w:r>
            <w:r>
              <w:fldChar w:fldCharType="separate"/>
            </w:r>
            <w:r>
              <w:rPr>
                <w:rFonts w:ascii="inter" w:hAnsi="inter" w:eastAsia="inter" w:cs="inter"/>
                <w:color w:val="000000"/>
                <w:sz w:val="17"/>
                <w:u w:val="single"/>
                <w:vertAlign w:val="superscript"/>
              </w:rPr>
              <w:t>[10]</w:t>
            </w:r>
            <w:r>
              <w:rPr>
                <w:rFonts w:ascii="inter" w:hAnsi="inter" w:eastAsia="inter" w:cs="inter"/>
                <w:color w:val="000000"/>
                <w:sz w:val="17"/>
                <w:u w:val="single"/>
                <w:vertAlign w:val="superscript"/>
              </w:rPr>
              <w:fldChar w:fldCharType="end"/>
            </w:r>
            <w:r>
              <w:rPr>
                <w:rFonts w:ascii="inter" w:hAnsi="inter" w:eastAsia="inter" w:cs="inter"/>
                <w:color w:val="000000"/>
                <w:sz w:val="17"/>
              </w:rPr>
              <w:t>。</w:t>
            </w:r>
          </w:p>
        </w:tc>
        <w:tc>
          <w:tcPr>
            <w:tcBorders>
              <w:top w:val="single" w:color="000000" w:sz="0" w:space="0"/>
              <w:bottom w:val="single" w:color="000000" w:sz="0" w:space="0"/>
            </w:tcBorders>
          </w:tcPr>
          <w:p w14:paraId="6C71E44E">
            <w:pPr>
              <w:spacing w:after="0" w:line="360" w:lineRule="auto"/>
            </w:pPr>
            <w:r>
              <w:rPr>
                <w:rFonts w:ascii="inter" w:hAnsi="inter" w:eastAsia="inter" w:cs="inter"/>
                <w:color w:val="000000"/>
                <w:sz w:val="17"/>
              </w:rPr>
              <w:t>通过针对弱势群体的免费或减免政策和社区共创项目提升社会包容性</w:t>
            </w:r>
            <w:r>
              <w:fldChar w:fldCharType="begin"/>
            </w:r>
            <w:r>
              <w:instrText xml:space="preserve"> HYPERLINK \l "fn7" \h </w:instrText>
            </w:r>
            <w:r>
              <w:fldChar w:fldCharType="separate"/>
            </w:r>
            <w:r>
              <w:rPr>
                <w:rFonts w:ascii="inter" w:hAnsi="inter" w:eastAsia="inter" w:cs="inter"/>
                <w:color w:val="000000"/>
                <w:sz w:val="17"/>
                <w:u w:val="single"/>
                <w:vertAlign w:val="superscript"/>
              </w:rPr>
              <w:t>[7]</w:t>
            </w:r>
            <w:r>
              <w:rPr>
                <w:rFonts w:ascii="inter" w:hAnsi="inter" w:eastAsia="inter" w:cs="inter"/>
                <w:color w:val="000000"/>
                <w:sz w:val="17"/>
                <w:u w:val="single"/>
                <w:vertAlign w:val="superscript"/>
              </w:rPr>
              <w:fldChar w:fldCharType="end"/>
            </w:r>
            <w:r>
              <w:fldChar w:fldCharType="begin"/>
            </w:r>
            <w:r>
              <w:instrText xml:space="preserve"> HYPERLINK \l "fn15" \h </w:instrText>
            </w:r>
            <w:r>
              <w:fldChar w:fldCharType="separate"/>
            </w:r>
            <w:r>
              <w:rPr>
                <w:rFonts w:ascii="inter" w:hAnsi="inter" w:eastAsia="inter" w:cs="inter"/>
                <w:color w:val="000000"/>
                <w:sz w:val="17"/>
                <w:u w:val="single"/>
                <w:vertAlign w:val="superscript"/>
              </w:rPr>
              <w:t>[15]</w:t>
            </w:r>
            <w:r>
              <w:rPr>
                <w:rFonts w:ascii="inter" w:hAnsi="inter" w:eastAsia="inter" w:cs="inter"/>
                <w:color w:val="000000"/>
                <w:sz w:val="17"/>
                <w:u w:val="single"/>
                <w:vertAlign w:val="superscript"/>
              </w:rPr>
              <w:fldChar w:fldCharType="end"/>
            </w:r>
            <w:r>
              <w:rPr>
                <w:rFonts w:ascii="inter" w:hAnsi="inter" w:eastAsia="inter" w:cs="inter"/>
                <w:color w:val="000000"/>
                <w:sz w:val="17"/>
              </w:rPr>
              <w:t>。</w:t>
            </w:r>
          </w:p>
        </w:tc>
      </w:tr>
      <w:tr w14:paraId="6490A9E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E6BDB64">
            <w:pPr>
              <w:spacing w:after="0" w:line="360" w:lineRule="auto"/>
            </w:pPr>
            <w:r>
              <w:rPr>
                <w:rFonts w:ascii="inter" w:hAnsi="inter" w:eastAsia="inter" w:cs="inter"/>
                <w:color w:val="000000"/>
                <w:sz w:val="17"/>
              </w:rPr>
              <w:t>英国</w:t>
            </w:r>
          </w:p>
        </w:tc>
        <w:tc>
          <w:tcPr>
            <w:tcBorders>
              <w:top w:val="single" w:color="000000" w:sz="0" w:space="0"/>
              <w:bottom w:val="single" w:color="000000" w:sz="0" w:space="0"/>
              <w:right w:val="single" w:color="000000" w:sz="0" w:space="0"/>
            </w:tcBorders>
          </w:tcPr>
          <w:p w14:paraId="380E699E">
            <w:pPr>
              <w:spacing w:after="0" w:line="360" w:lineRule="auto"/>
            </w:pPr>
            <w:r>
              <w:rPr>
                <w:rFonts w:ascii="inter" w:hAnsi="inter" w:eastAsia="inter" w:cs="inter"/>
                <w:color w:val="000000"/>
                <w:sz w:val="17"/>
              </w:rPr>
              <w:t>教育部与文化部门联合倡导“博物馆学习力”，强调与国家课程和公民教育对接</w:t>
            </w:r>
            <w:r>
              <w:fldChar w:fldCharType="begin"/>
            </w:r>
            <w:r>
              <w:instrText xml:space="preserve"> HYPERLINK \l "fn5" \h </w:instrText>
            </w:r>
            <w:r>
              <w:fldChar w:fldCharType="separate"/>
            </w:r>
            <w:r>
              <w:rPr>
                <w:rFonts w:ascii="inter" w:hAnsi="inter" w:eastAsia="inter" w:cs="inter"/>
                <w:color w:val="000000"/>
                <w:sz w:val="17"/>
                <w:u w:val="single"/>
                <w:vertAlign w:val="superscript"/>
              </w:rPr>
              <w:t>[5]</w:t>
            </w:r>
            <w:r>
              <w:rPr>
                <w:rFonts w:ascii="inter" w:hAnsi="inter" w:eastAsia="inter" w:cs="inter"/>
                <w:color w:val="000000"/>
                <w:sz w:val="17"/>
                <w:u w:val="single"/>
                <w:vertAlign w:val="superscript"/>
              </w:rPr>
              <w:fldChar w:fldCharType="end"/>
            </w:r>
            <w:r>
              <w:fldChar w:fldCharType="begin"/>
            </w:r>
            <w:r>
              <w:instrText xml:space="preserve"> HYPERLINK \l "fn16" \h </w:instrText>
            </w:r>
            <w:r>
              <w:fldChar w:fldCharType="separate"/>
            </w:r>
            <w:r>
              <w:rPr>
                <w:rFonts w:ascii="inter" w:hAnsi="inter" w:eastAsia="inter" w:cs="inter"/>
                <w:color w:val="000000"/>
                <w:sz w:val="17"/>
                <w:u w:val="single"/>
                <w:vertAlign w:val="superscript"/>
              </w:rPr>
              <w:t>[16]</w:t>
            </w:r>
            <w:r>
              <w:rPr>
                <w:rFonts w:ascii="inter" w:hAnsi="inter" w:eastAsia="inter" w:cs="inter"/>
                <w:color w:val="000000"/>
                <w:sz w:val="17"/>
                <w:u w:val="single"/>
                <w:vertAlign w:val="superscript"/>
              </w:rPr>
              <w:fldChar w:fldCharType="end"/>
            </w:r>
            <w:r>
              <w:fldChar w:fldCharType="begin"/>
            </w:r>
            <w:r>
              <w:instrText xml:space="preserve"> HYPERLINK \l "fn17" \h </w:instrText>
            </w:r>
            <w:r>
              <w:fldChar w:fldCharType="separate"/>
            </w:r>
            <w:r>
              <w:rPr>
                <w:rFonts w:ascii="inter" w:hAnsi="inter" w:eastAsia="inter" w:cs="inter"/>
                <w:color w:val="000000"/>
                <w:sz w:val="17"/>
                <w:u w:val="single"/>
                <w:vertAlign w:val="superscript"/>
              </w:rPr>
              <w:t>[17]</w:t>
            </w:r>
            <w:r>
              <w:rPr>
                <w:rFonts w:ascii="inter" w:hAnsi="inter" w:eastAsia="inter" w:cs="inter"/>
                <w:color w:val="000000"/>
                <w:sz w:val="17"/>
                <w:u w:val="single"/>
                <w:vertAlign w:val="superscript"/>
              </w:rPr>
              <w:fldChar w:fldCharType="end"/>
            </w:r>
            <w:r>
              <w:rPr>
                <w:rFonts w:ascii="inter" w:hAnsi="inter" w:eastAsia="inter" w:cs="inter"/>
                <w:color w:val="000000"/>
                <w:sz w:val="17"/>
              </w:rPr>
              <w:t>。</w:t>
            </w:r>
          </w:p>
        </w:tc>
        <w:tc>
          <w:tcPr>
            <w:tcBorders>
              <w:top w:val="single" w:color="000000" w:sz="0" w:space="0"/>
              <w:bottom w:val="single" w:color="000000" w:sz="0" w:space="0"/>
              <w:right w:val="single" w:color="000000" w:sz="0" w:space="0"/>
            </w:tcBorders>
          </w:tcPr>
          <w:p w14:paraId="3BC6C909">
            <w:pPr>
              <w:spacing w:after="0" w:line="360" w:lineRule="auto"/>
            </w:pPr>
            <w:r>
              <w:rPr>
                <w:rFonts w:ascii="inter" w:hAnsi="inter" w:eastAsia="inter" w:cs="inter"/>
                <w:color w:val="000000"/>
                <w:sz w:val="17"/>
              </w:rPr>
              <w:t>学校合作项目成熟，开发与课程紧密对接的学习资源与教师培训支持</w:t>
            </w:r>
            <w:r>
              <w:fldChar w:fldCharType="begin"/>
            </w:r>
            <w:r>
              <w:instrText xml:space="preserve"> HYPERLINK \l "fn5" \h </w:instrText>
            </w:r>
            <w:r>
              <w:fldChar w:fldCharType="separate"/>
            </w:r>
            <w:r>
              <w:rPr>
                <w:rFonts w:ascii="inter" w:hAnsi="inter" w:eastAsia="inter" w:cs="inter"/>
                <w:color w:val="000000"/>
                <w:sz w:val="17"/>
                <w:u w:val="single"/>
                <w:vertAlign w:val="superscript"/>
              </w:rPr>
              <w:t>[5]</w:t>
            </w:r>
            <w:r>
              <w:rPr>
                <w:rFonts w:ascii="inter" w:hAnsi="inter" w:eastAsia="inter" w:cs="inter"/>
                <w:color w:val="000000"/>
                <w:sz w:val="17"/>
                <w:u w:val="single"/>
                <w:vertAlign w:val="superscript"/>
              </w:rPr>
              <w:fldChar w:fldCharType="end"/>
            </w:r>
            <w:r>
              <w:fldChar w:fldCharType="begin"/>
            </w:r>
            <w:r>
              <w:instrText xml:space="preserve"> HYPERLINK \l "fn16" \h </w:instrText>
            </w:r>
            <w:r>
              <w:fldChar w:fldCharType="separate"/>
            </w:r>
            <w:r>
              <w:rPr>
                <w:rFonts w:ascii="inter" w:hAnsi="inter" w:eastAsia="inter" w:cs="inter"/>
                <w:color w:val="000000"/>
                <w:sz w:val="17"/>
                <w:u w:val="single"/>
                <w:vertAlign w:val="superscript"/>
              </w:rPr>
              <w:t>[16]</w:t>
            </w:r>
            <w:r>
              <w:rPr>
                <w:rFonts w:ascii="inter" w:hAnsi="inter" w:eastAsia="inter" w:cs="inter"/>
                <w:color w:val="000000"/>
                <w:sz w:val="17"/>
                <w:u w:val="single"/>
                <w:vertAlign w:val="superscript"/>
              </w:rPr>
              <w:fldChar w:fldCharType="end"/>
            </w:r>
            <w:r>
              <w:rPr>
                <w:rFonts w:ascii="inter" w:hAnsi="inter" w:eastAsia="inter" w:cs="inter"/>
                <w:color w:val="000000"/>
                <w:sz w:val="17"/>
              </w:rPr>
              <w:t>。</w:t>
            </w:r>
          </w:p>
        </w:tc>
        <w:tc>
          <w:tcPr>
            <w:tcBorders>
              <w:top w:val="single" w:color="000000" w:sz="0" w:space="0"/>
              <w:bottom w:val="single" w:color="000000" w:sz="0" w:space="0"/>
              <w:right w:val="single" w:color="000000" w:sz="0" w:space="0"/>
            </w:tcBorders>
          </w:tcPr>
          <w:p w14:paraId="41F8B65A">
            <w:pPr>
              <w:spacing w:after="0" w:line="360" w:lineRule="auto"/>
            </w:pPr>
            <w:r>
              <w:rPr>
                <w:rFonts w:ascii="inter" w:hAnsi="inter" w:eastAsia="inter" w:cs="inter"/>
                <w:color w:val="000000"/>
                <w:sz w:val="17"/>
              </w:rPr>
              <w:t>积极发展在线资源平台和混合学习模式，提升全国范围教育可达性</w:t>
            </w:r>
            <w:r>
              <w:fldChar w:fldCharType="begin"/>
            </w:r>
            <w:r>
              <w:instrText xml:space="preserve"> HYPERLINK \l "fn5" \h </w:instrText>
            </w:r>
            <w:r>
              <w:fldChar w:fldCharType="separate"/>
            </w:r>
            <w:r>
              <w:rPr>
                <w:rFonts w:ascii="inter" w:hAnsi="inter" w:eastAsia="inter" w:cs="inter"/>
                <w:color w:val="000000"/>
                <w:sz w:val="17"/>
                <w:u w:val="single"/>
                <w:vertAlign w:val="superscript"/>
              </w:rPr>
              <w:t>[5]</w:t>
            </w:r>
            <w:r>
              <w:rPr>
                <w:rFonts w:ascii="inter" w:hAnsi="inter" w:eastAsia="inter" w:cs="inter"/>
                <w:color w:val="000000"/>
                <w:sz w:val="17"/>
                <w:u w:val="single"/>
                <w:vertAlign w:val="superscript"/>
              </w:rPr>
              <w:fldChar w:fldCharType="end"/>
            </w:r>
            <w:r>
              <w:rPr>
                <w:rFonts w:ascii="inter" w:hAnsi="inter" w:eastAsia="inter" w:cs="inter"/>
                <w:color w:val="000000"/>
                <w:sz w:val="17"/>
              </w:rPr>
              <w:t>。</w:t>
            </w:r>
          </w:p>
        </w:tc>
        <w:tc>
          <w:tcPr>
            <w:tcBorders>
              <w:top w:val="single" w:color="000000" w:sz="0" w:space="0"/>
              <w:bottom w:val="single" w:color="000000" w:sz="0" w:space="0"/>
            </w:tcBorders>
          </w:tcPr>
          <w:p w14:paraId="2A3564C0">
            <w:pPr>
              <w:spacing w:after="0" w:line="360" w:lineRule="auto"/>
            </w:pPr>
            <w:r>
              <w:rPr>
                <w:rFonts w:ascii="inter" w:hAnsi="inter" w:eastAsia="inter" w:cs="inter"/>
                <w:color w:val="000000"/>
                <w:sz w:val="17"/>
              </w:rPr>
              <w:t>博物馆学习与社会包容、社区再生和公民参与紧密结合</w:t>
            </w:r>
            <w:r>
              <w:fldChar w:fldCharType="begin"/>
            </w:r>
            <w:r>
              <w:instrText xml:space="preserve"> HYPERLINK \l "fn5" \h </w:instrText>
            </w:r>
            <w:r>
              <w:fldChar w:fldCharType="separate"/>
            </w:r>
            <w:r>
              <w:rPr>
                <w:rFonts w:ascii="inter" w:hAnsi="inter" w:eastAsia="inter" w:cs="inter"/>
                <w:color w:val="000000"/>
                <w:sz w:val="17"/>
                <w:u w:val="single"/>
                <w:vertAlign w:val="superscript"/>
              </w:rPr>
              <w:t>[5]</w:t>
            </w:r>
            <w:r>
              <w:rPr>
                <w:rFonts w:ascii="inter" w:hAnsi="inter" w:eastAsia="inter" w:cs="inter"/>
                <w:color w:val="000000"/>
                <w:sz w:val="17"/>
                <w:u w:val="single"/>
                <w:vertAlign w:val="superscript"/>
              </w:rPr>
              <w:fldChar w:fldCharType="end"/>
            </w:r>
            <w:r>
              <w:fldChar w:fldCharType="begin"/>
            </w:r>
            <w:r>
              <w:instrText xml:space="preserve"> HYPERLINK \l "fn18" \h </w:instrText>
            </w:r>
            <w:r>
              <w:fldChar w:fldCharType="separate"/>
            </w:r>
            <w:r>
              <w:rPr>
                <w:rFonts w:ascii="inter" w:hAnsi="inter" w:eastAsia="inter" w:cs="inter"/>
                <w:color w:val="000000"/>
                <w:sz w:val="17"/>
                <w:u w:val="single"/>
                <w:vertAlign w:val="superscript"/>
              </w:rPr>
              <w:t>[18]</w:t>
            </w:r>
            <w:r>
              <w:rPr>
                <w:rFonts w:ascii="inter" w:hAnsi="inter" w:eastAsia="inter" w:cs="inter"/>
                <w:color w:val="000000"/>
                <w:sz w:val="17"/>
                <w:u w:val="single"/>
                <w:vertAlign w:val="superscript"/>
              </w:rPr>
              <w:fldChar w:fldCharType="end"/>
            </w:r>
            <w:r>
              <w:rPr>
                <w:rFonts w:ascii="inter" w:hAnsi="inter" w:eastAsia="inter" w:cs="inter"/>
                <w:color w:val="000000"/>
                <w:sz w:val="17"/>
              </w:rPr>
              <w:t>。</w:t>
            </w:r>
          </w:p>
        </w:tc>
      </w:tr>
      <w:tr w14:paraId="166AF5B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91D84D2">
            <w:pPr>
              <w:spacing w:after="0" w:line="360" w:lineRule="auto"/>
            </w:pPr>
            <w:r>
              <w:rPr>
                <w:rFonts w:ascii="inter" w:hAnsi="inter" w:eastAsia="inter" w:cs="inter"/>
                <w:color w:val="000000"/>
                <w:sz w:val="17"/>
              </w:rPr>
              <w:t>法国</w:t>
            </w:r>
          </w:p>
        </w:tc>
        <w:tc>
          <w:tcPr>
            <w:tcBorders>
              <w:top w:val="single" w:color="000000" w:sz="0" w:space="0"/>
              <w:bottom w:val="single" w:color="000000" w:sz="0" w:space="0"/>
              <w:right w:val="single" w:color="000000" w:sz="0" w:space="0"/>
            </w:tcBorders>
          </w:tcPr>
          <w:p w14:paraId="2C3589B8">
            <w:pPr>
              <w:spacing w:after="0" w:line="360" w:lineRule="auto"/>
            </w:pPr>
            <w:r>
              <w:rPr>
                <w:rFonts w:ascii="inter" w:hAnsi="inter" w:eastAsia="inter" w:cs="inter"/>
                <w:color w:val="000000"/>
                <w:sz w:val="17"/>
              </w:rPr>
              <w:t>在文化政策中强调“文化权利”，博物馆被视为文化民主化的重要工具</w:t>
            </w:r>
            <w:r>
              <w:fldChar w:fldCharType="begin"/>
            </w:r>
            <w:r>
              <w:instrText xml:space="preserve"> HYPERLINK \l "fn6" \h </w:instrText>
            </w:r>
            <w:r>
              <w:fldChar w:fldCharType="separate"/>
            </w:r>
            <w:r>
              <w:rPr>
                <w:rFonts w:ascii="inter" w:hAnsi="inter" w:eastAsia="inter" w:cs="inter"/>
                <w:color w:val="000000"/>
                <w:sz w:val="17"/>
                <w:u w:val="single"/>
                <w:vertAlign w:val="superscript"/>
              </w:rPr>
              <w:t>[6]</w:t>
            </w:r>
            <w:r>
              <w:rPr>
                <w:rFonts w:ascii="inter" w:hAnsi="inter" w:eastAsia="inter" w:cs="inter"/>
                <w:color w:val="000000"/>
                <w:sz w:val="17"/>
                <w:u w:val="single"/>
                <w:vertAlign w:val="superscript"/>
              </w:rPr>
              <w:fldChar w:fldCharType="end"/>
            </w:r>
            <w:r>
              <w:rPr>
                <w:rFonts w:ascii="inter" w:hAnsi="inter" w:eastAsia="inter" w:cs="inter"/>
                <w:color w:val="000000"/>
                <w:sz w:val="17"/>
              </w:rPr>
              <w:t>。</w:t>
            </w:r>
          </w:p>
        </w:tc>
        <w:tc>
          <w:tcPr>
            <w:tcBorders>
              <w:top w:val="single" w:color="000000" w:sz="0" w:space="0"/>
              <w:bottom w:val="single" w:color="000000" w:sz="0" w:space="0"/>
              <w:right w:val="single" w:color="000000" w:sz="0" w:space="0"/>
            </w:tcBorders>
          </w:tcPr>
          <w:p w14:paraId="010D54DA">
            <w:pPr>
              <w:spacing w:after="0" w:line="360" w:lineRule="auto"/>
            </w:pPr>
            <w:r>
              <w:rPr>
                <w:rFonts w:ascii="inter" w:hAnsi="inter" w:eastAsia="inter" w:cs="inter"/>
                <w:color w:val="000000"/>
                <w:sz w:val="17"/>
              </w:rPr>
              <w:t>注重艺术与人文教育，强化公民教育与批判性思维培养</w:t>
            </w:r>
            <w:r>
              <w:fldChar w:fldCharType="begin"/>
            </w:r>
            <w:r>
              <w:instrText xml:space="preserve"> HYPERLINK \l "fn6" \h </w:instrText>
            </w:r>
            <w:r>
              <w:fldChar w:fldCharType="separate"/>
            </w:r>
            <w:r>
              <w:rPr>
                <w:rFonts w:ascii="inter" w:hAnsi="inter" w:eastAsia="inter" w:cs="inter"/>
                <w:color w:val="000000"/>
                <w:sz w:val="17"/>
                <w:u w:val="single"/>
                <w:vertAlign w:val="superscript"/>
              </w:rPr>
              <w:t>[6]</w:t>
            </w:r>
            <w:r>
              <w:rPr>
                <w:rFonts w:ascii="inter" w:hAnsi="inter" w:eastAsia="inter" w:cs="inter"/>
                <w:color w:val="000000"/>
                <w:sz w:val="17"/>
                <w:u w:val="single"/>
                <w:vertAlign w:val="superscript"/>
              </w:rPr>
              <w:fldChar w:fldCharType="end"/>
            </w:r>
            <w:r>
              <w:rPr>
                <w:rFonts w:ascii="inter" w:hAnsi="inter" w:eastAsia="inter" w:cs="inter"/>
                <w:color w:val="000000"/>
                <w:sz w:val="17"/>
              </w:rPr>
              <w:t>。</w:t>
            </w:r>
          </w:p>
        </w:tc>
        <w:tc>
          <w:tcPr>
            <w:tcBorders>
              <w:top w:val="single" w:color="000000" w:sz="0" w:space="0"/>
              <w:bottom w:val="single" w:color="000000" w:sz="0" w:space="0"/>
              <w:right w:val="single" w:color="000000" w:sz="0" w:space="0"/>
            </w:tcBorders>
          </w:tcPr>
          <w:p w14:paraId="41B00122">
            <w:pPr>
              <w:spacing w:after="0" w:line="360" w:lineRule="auto"/>
            </w:pPr>
            <w:r>
              <w:rPr>
                <w:rFonts w:ascii="inter" w:hAnsi="inter" w:eastAsia="inter" w:cs="inter"/>
                <w:color w:val="000000"/>
                <w:sz w:val="17"/>
              </w:rPr>
              <w:t>在大型国家博物馆推进数字藏品与多语种数字化叙事。</w:t>
            </w:r>
          </w:p>
        </w:tc>
        <w:tc>
          <w:tcPr>
            <w:tcBorders>
              <w:top w:val="single" w:color="000000" w:sz="0" w:space="0"/>
              <w:bottom w:val="single" w:color="000000" w:sz="0" w:space="0"/>
            </w:tcBorders>
          </w:tcPr>
          <w:p w14:paraId="46BFD73E">
            <w:pPr>
              <w:spacing w:after="0" w:line="360" w:lineRule="auto"/>
            </w:pPr>
            <w:r>
              <w:rPr>
                <w:rFonts w:ascii="inter" w:hAnsi="inter" w:eastAsia="inter" w:cs="inter"/>
                <w:color w:val="000000"/>
                <w:sz w:val="17"/>
              </w:rPr>
              <w:t>通过针对青少年和新移民的项目支持社会融入。</w:t>
            </w:r>
          </w:p>
        </w:tc>
      </w:tr>
      <w:tr w14:paraId="472053C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D9F45CC">
            <w:pPr>
              <w:spacing w:after="0" w:line="360" w:lineRule="auto"/>
            </w:pPr>
            <w:r>
              <w:rPr>
                <w:rFonts w:ascii="inter" w:hAnsi="inter" w:eastAsia="inter" w:cs="inter"/>
                <w:color w:val="000000"/>
                <w:sz w:val="17"/>
              </w:rPr>
              <w:t>德国</w:t>
            </w:r>
          </w:p>
        </w:tc>
        <w:tc>
          <w:tcPr>
            <w:tcBorders>
              <w:top w:val="single" w:color="000000" w:sz="0" w:space="0"/>
              <w:bottom w:val="single" w:color="000000" w:sz="0" w:space="0"/>
              <w:right w:val="single" w:color="000000" w:sz="0" w:space="0"/>
            </w:tcBorders>
          </w:tcPr>
          <w:p w14:paraId="5FFF34C8">
            <w:pPr>
              <w:spacing w:after="0" w:line="360" w:lineRule="auto"/>
            </w:pPr>
            <w:r>
              <w:rPr>
                <w:rFonts w:ascii="inter" w:hAnsi="inter" w:eastAsia="inter" w:cs="inter"/>
                <w:color w:val="000000"/>
                <w:sz w:val="17"/>
              </w:rPr>
              <w:t>文化教育政策中强调博物馆作为“学习型文化空间”，重视历史记忆与批判性反思。</w:t>
            </w:r>
          </w:p>
        </w:tc>
        <w:tc>
          <w:tcPr>
            <w:tcBorders>
              <w:top w:val="single" w:color="000000" w:sz="0" w:space="0"/>
              <w:bottom w:val="single" w:color="000000" w:sz="0" w:space="0"/>
              <w:right w:val="single" w:color="000000" w:sz="0" w:space="0"/>
            </w:tcBorders>
          </w:tcPr>
          <w:p w14:paraId="2E3904BC">
            <w:pPr>
              <w:spacing w:after="0" w:line="360" w:lineRule="auto"/>
            </w:pPr>
            <w:r>
              <w:rPr>
                <w:rFonts w:ascii="inter" w:hAnsi="inter" w:eastAsia="inter" w:cs="inter"/>
                <w:color w:val="000000"/>
                <w:sz w:val="17"/>
              </w:rPr>
              <w:t>与学校及成人教育机构协作，发展纪念性博物馆教育项目。</w:t>
            </w:r>
          </w:p>
        </w:tc>
        <w:tc>
          <w:tcPr>
            <w:tcBorders>
              <w:top w:val="single" w:color="000000" w:sz="0" w:space="0"/>
              <w:bottom w:val="single" w:color="000000" w:sz="0" w:space="0"/>
              <w:right w:val="single" w:color="000000" w:sz="0" w:space="0"/>
            </w:tcBorders>
          </w:tcPr>
          <w:p w14:paraId="550D3FB2">
            <w:pPr>
              <w:spacing w:after="0" w:line="360" w:lineRule="auto"/>
            </w:pPr>
            <w:r>
              <w:rPr>
                <w:rFonts w:ascii="inter" w:hAnsi="inter" w:eastAsia="inter" w:cs="inter"/>
                <w:color w:val="000000"/>
                <w:sz w:val="17"/>
              </w:rPr>
              <w:t>推广数字档案与在线学习模块，支持终身学习。</w:t>
            </w:r>
          </w:p>
        </w:tc>
        <w:tc>
          <w:tcPr>
            <w:tcBorders>
              <w:top w:val="single" w:color="000000" w:sz="0" w:space="0"/>
              <w:bottom w:val="single" w:color="000000" w:sz="0" w:space="0"/>
            </w:tcBorders>
          </w:tcPr>
          <w:p w14:paraId="7F03D088">
            <w:pPr>
              <w:spacing w:after="0" w:line="360" w:lineRule="auto"/>
            </w:pPr>
            <w:r>
              <w:rPr>
                <w:rFonts w:ascii="inter" w:hAnsi="inter" w:eastAsia="inter" w:cs="inter"/>
                <w:color w:val="000000"/>
                <w:sz w:val="17"/>
              </w:rPr>
              <w:t>强调参与式教育，关注多元记忆与社会和解。</w:t>
            </w:r>
          </w:p>
        </w:tc>
      </w:tr>
      <w:tr w14:paraId="6A90516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41CAEDF">
            <w:pPr>
              <w:spacing w:after="0" w:line="360" w:lineRule="auto"/>
            </w:pPr>
            <w:r>
              <w:rPr>
                <w:rFonts w:ascii="inter" w:hAnsi="inter" w:eastAsia="inter" w:cs="inter"/>
                <w:color w:val="000000"/>
                <w:sz w:val="17"/>
              </w:rPr>
              <w:t>日本</w:t>
            </w:r>
          </w:p>
        </w:tc>
        <w:tc>
          <w:tcPr>
            <w:tcBorders>
              <w:top w:val="single" w:color="000000" w:sz="0" w:space="0"/>
              <w:bottom w:val="single" w:color="000000" w:sz="0" w:space="0"/>
              <w:right w:val="single" w:color="000000" w:sz="0" w:space="0"/>
            </w:tcBorders>
          </w:tcPr>
          <w:p w14:paraId="63E2C155">
            <w:pPr>
              <w:spacing w:after="0" w:line="360" w:lineRule="auto"/>
            </w:pPr>
            <w:r>
              <w:rPr>
                <w:rFonts w:ascii="inter" w:hAnsi="inter" w:eastAsia="inter" w:cs="inter"/>
                <w:color w:val="000000"/>
                <w:sz w:val="17"/>
              </w:rPr>
              <w:t>科学馆、科技馆与历史文化馆在科学普及与传统文化传承中扮演关键角色</w:t>
            </w:r>
            <w:r>
              <w:fldChar w:fldCharType="begin"/>
            </w:r>
            <w:r>
              <w:instrText xml:space="preserve"> HYPERLINK \l "fn19" \h </w:instrText>
            </w:r>
            <w:r>
              <w:fldChar w:fldCharType="separate"/>
            </w:r>
            <w:r>
              <w:rPr>
                <w:rFonts w:ascii="inter" w:hAnsi="inter" w:eastAsia="inter" w:cs="inter"/>
                <w:color w:val="000000"/>
                <w:sz w:val="17"/>
                <w:u w:val="single"/>
                <w:vertAlign w:val="superscript"/>
              </w:rPr>
              <w:t>[19]</w:t>
            </w:r>
            <w:r>
              <w:rPr>
                <w:rFonts w:ascii="inter" w:hAnsi="inter" w:eastAsia="inter" w:cs="inter"/>
                <w:color w:val="000000"/>
                <w:sz w:val="17"/>
                <w:u w:val="single"/>
                <w:vertAlign w:val="superscript"/>
              </w:rPr>
              <w:fldChar w:fldCharType="end"/>
            </w:r>
            <w:r>
              <w:rPr>
                <w:rFonts w:ascii="inter" w:hAnsi="inter" w:eastAsia="inter" w:cs="inter"/>
                <w:color w:val="000000"/>
                <w:sz w:val="17"/>
              </w:rPr>
              <w:t>。</w:t>
            </w:r>
          </w:p>
        </w:tc>
        <w:tc>
          <w:tcPr>
            <w:tcBorders>
              <w:top w:val="single" w:color="000000" w:sz="0" w:space="0"/>
              <w:bottom w:val="single" w:color="000000" w:sz="0" w:space="0"/>
              <w:right w:val="single" w:color="000000" w:sz="0" w:space="0"/>
            </w:tcBorders>
          </w:tcPr>
          <w:p w14:paraId="38624E64">
            <w:pPr>
              <w:spacing w:after="0" w:line="360" w:lineRule="auto"/>
            </w:pPr>
            <w:r>
              <w:rPr>
                <w:rFonts w:ascii="inter" w:hAnsi="inter" w:eastAsia="inter" w:cs="inter"/>
                <w:color w:val="000000"/>
                <w:sz w:val="17"/>
              </w:rPr>
              <w:t>重视青少年科学教育与家庭教育活动，强调体验式与实践性学习</w:t>
            </w:r>
            <w:r>
              <w:fldChar w:fldCharType="begin"/>
            </w:r>
            <w:r>
              <w:instrText xml:space="preserve"> HYPERLINK \l "fn19" \h </w:instrText>
            </w:r>
            <w:r>
              <w:fldChar w:fldCharType="separate"/>
            </w:r>
            <w:r>
              <w:rPr>
                <w:rFonts w:ascii="inter" w:hAnsi="inter" w:eastAsia="inter" w:cs="inter"/>
                <w:color w:val="000000"/>
                <w:sz w:val="17"/>
                <w:u w:val="single"/>
                <w:vertAlign w:val="superscript"/>
              </w:rPr>
              <w:t>[19]</w:t>
            </w:r>
            <w:r>
              <w:rPr>
                <w:rFonts w:ascii="inter" w:hAnsi="inter" w:eastAsia="inter" w:cs="inter"/>
                <w:color w:val="000000"/>
                <w:sz w:val="17"/>
                <w:u w:val="single"/>
                <w:vertAlign w:val="superscript"/>
              </w:rPr>
              <w:fldChar w:fldCharType="end"/>
            </w:r>
            <w:r>
              <w:rPr>
                <w:rFonts w:ascii="inter" w:hAnsi="inter" w:eastAsia="inter" w:cs="inter"/>
                <w:color w:val="000000"/>
                <w:sz w:val="17"/>
              </w:rPr>
              <w:t>。</w:t>
            </w:r>
          </w:p>
        </w:tc>
        <w:tc>
          <w:tcPr>
            <w:tcBorders>
              <w:top w:val="single" w:color="000000" w:sz="0" w:space="0"/>
              <w:bottom w:val="single" w:color="000000" w:sz="0" w:space="0"/>
              <w:right w:val="single" w:color="000000" w:sz="0" w:space="0"/>
            </w:tcBorders>
          </w:tcPr>
          <w:p w14:paraId="2E3FFA5A">
            <w:pPr>
              <w:spacing w:after="0" w:line="360" w:lineRule="auto"/>
            </w:pPr>
            <w:r>
              <w:rPr>
                <w:rFonts w:ascii="inter" w:hAnsi="inter" w:eastAsia="inter" w:cs="inter"/>
                <w:color w:val="000000"/>
                <w:sz w:val="17"/>
              </w:rPr>
              <w:t>在数字科学博物馆等项目中发展多媒体互动展览，缓解传统展示的局限</w:t>
            </w:r>
            <w:r>
              <w:fldChar w:fldCharType="begin"/>
            </w:r>
            <w:r>
              <w:instrText xml:space="preserve"> HYPERLINK \l "fn19" \h </w:instrText>
            </w:r>
            <w:r>
              <w:fldChar w:fldCharType="separate"/>
            </w:r>
            <w:r>
              <w:rPr>
                <w:rFonts w:ascii="inter" w:hAnsi="inter" w:eastAsia="inter" w:cs="inter"/>
                <w:color w:val="000000"/>
                <w:sz w:val="17"/>
                <w:u w:val="single"/>
                <w:vertAlign w:val="superscript"/>
              </w:rPr>
              <w:t>[19]</w:t>
            </w:r>
            <w:r>
              <w:rPr>
                <w:rFonts w:ascii="inter" w:hAnsi="inter" w:eastAsia="inter" w:cs="inter"/>
                <w:color w:val="000000"/>
                <w:sz w:val="17"/>
                <w:u w:val="single"/>
                <w:vertAlign w:val="superscript"/>
              </w:rPr>
              <w:fldChar w:fldCharType="end"/>
            </w:r>
            <w:r>
              <w:rPr>
                <w:rFonts w:ascii="inter" w:hAnsi="inter" w:eastAsia="inter" w:cs="inter"/>
                <w:color w:val="000000"/>
                <w:sz w:val="17"/>
              </w:rPr>
              <w:t>。</w:t>
            </w:r>
          </w:p>
        </w:tc>
        <w:tc>
          <w:tcPr>
            <w:tcBorders>
              <w:top w:val="single" w:color="000000" w:sz="0" w:space="0"/>
              <w:bottom w:val="single" w:color="000000" w:sz="0" w:space="0"/>
            </w:tcBorders>
          </w:tcPr>
          <w:p w14:paraId="44E7A26F">
            <w:pPr>
              <w:spacing w:after="0" w:line="360" w:lineRule="auto"/>
            </w:pPr>
            <w:r>
              <w:rPr>
                <w:rFonts w:ascii="inter" w:hAnsi="inter" w:eastAsia="inter" w:cs="inter"/>
                <w:color w:val="000000"/>
                <w:sz w:val="17"/>
              </w:rPr>
              <w:t>通过科学教育与地方文化结合，服务地区社会发展。</w:t>
            </w:r>
          </w:p>
        </w:tc>
      </w:tr>
    </w:tbl>
    <w:p w14:paraId="693B156A"/>
    <w:p w14:paraId="26D0D4E1">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5765EE12">
      <w:pPr>
        <w:spacing w:before="315" w:after="105" w:line="360" w:lineRule="auto"/>
        <w:ind w:left="-30"/>
        <w:jc w:val="left"/>
      </w:pPr>
      <w:bookmarkStart w:id="24" w:name="三_中国博物馆教育的现状与阶段性特征"/>
      <w:r>
        <w:rPr>
          <w:rFonts w:ascii="inter" w:hAnsi="inter" w:eastAsia="inter" w:cs="inter"/>
          <w:b/>
          <w:color w:val="000000"/>
          <w:sz w:val="24"/>
        </w:rPr>
        <w:t>三、中国博物馆教育的现状与阶段性特征</w:t>
      </w:r>
      <w:bookmarkEnd w:id="24"/>
    </w:p>
    <w:p w14:paraId="6AF0BEC1">
      <w:pPr>
        <w:spacing w:after="210" w:line="360" w:lineRule="auto"/>
      </w:pPr>
      <w:r>
        <w:rPr>
          <w:rFonts w:ascii="inter" w:hAnsi="inter" w:eastAsia="inter" w:cs="inter"/>
          <w:color w:val="000000"/>
        </w:rPr>
        <w:t>（一）宏观发展格局</w:t>
      </w:r>
    </w:p>
    <w:p w14:paraId="04188199">
      <w:pPr>
        <w:spacing w:after="210" w:line="360" w:lineRule="auto"/>
      </w:pPr>
      <w:r>
        <w:rPr>
          <w:rFonts w:ascii="inter" w:hAnsi="inter" w:eastAsia="inter" w:cs="inter"/>
          <w:color w:val="000000"/>
        </w:rPr>
        <w:t>据国内多项研究与政策文件梳理，中国博物馆数量在过去二十年持续快速增长，“博物馆+教育”功能在文化强国与现代公共文化服务体系建设中被不断强化。相关研究指出，中国在一定程度上由“重建设、轻教育”逐步转向“运营管理和教育服务并重”，博物馆教育专业化体系正在形成。</w:t>
      </w:r>
      <w:bookmarkStart w:id="25" w:name="fnref20"/>
      <w:bookmarkEnd w:id="25"/>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bookmarkStart w:id="26" w:name="fnref21"/>
      <w:bookmarkEnd w:id="26"/>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bookmarkStart w:id="27" w:name="fnref22"/>
      <w:bookmarkEnd w:id="27"/>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bookmarkStart w:id="28" w:name="fnref23"/>
      <w:bookmarkEnd w:id="28"/>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p>
    <w:p w14:paraId="68F565AA">
      <w:pPr>
        <w:spacing w:after="210" w:line="360" w:lineRule="auto"/>
      </w:pPr>
      <w:r>
        <w:rPr>
          <w:rFonts w:ascii="inter" w:hAnsi="inter" w:eastAsia="inter" w:cs="inter"/>
          <w:color w:val="000000"/>
        </w:rPr>
        <w:t>（二）机构层面的教育发展趋势</w:t>
      </w:r>
    </w:p>
    <w:p w14:paraId="75D7D94F">
      <w:pPr>
        <w:numPr>
          <w:ilvl w:val="0"/>
          <w:numId w:val="3"/>
        </w:numPr>
        <w:spacing w:after="210" w:line="360" w:lineRule="auto"/>
      </w:pPr>
      <w:r>
        <w:rPr>
          <w:rFonts w:ascii="inter" w:hAnsi="inter" w:eastAsia="inter" w:cs="inter"/>
          <w:color w:val="000000"/>
          <w:sz w:val="21"/>
        </w:rPr>
        <w:t>教育部门与岗位体系建设</w:t>
      </w:r>
      <w:r>
        <w:rPr>
          <w:rFonts w:ascii="inter" w:hAnsi="inter" w:eastAsia="inter" w:cs="inter"/>
          <w:color w:val="000000"/>
          <w:sz w:val="21"/>
        </w:rPr>
        <w:br w:type="textWrapping"/>
      </w:r>
      <w:r>
        <w:rPr>
          <w:rFonts w:ascii="inter" w:hAnsi="inter" w:eastAsia="inter" w:cs="inter"/>
          <w:color w:val="000000"/>
          <w:sz w:val="21"/>
        </w:rPr>
        <w:t>研究表明，近年来中国博物馆独立教育部（门）与教育专职岗位数量持续增加，部分国家级与大型地方博物馆已形成较为完整的教育项目开发、观众研究与学校合作机制。</w:t>
      </w:r>
      <w:bookmarkStart w:id="29" w:name="fnref21_1"/>
      <w:bookmarkEnd w:id="29"/>
      <w:r>
        <w:fldChar w:fldCharType="begin"/>
      </w:r>
      <w:r>
        <w:instrText xml:space="preserve"> HYPERLINK \l "fn21" \h </w:instrText>
      </w:r>
      <w:r>
        <w:fldChar w:fldCharType="separate"/>
      </w:r>
      <w:r>
        <w:rPr>
          <w:rFonts w:ascii="inter" w:hAnsi="inter" w:eastAsia="inter" w:cs="inter"/>
          <w:color w:val="000000"/>
          <w:sz w:val="21"/>
          <w:u w:val="single"/>
          <w:vertAlign w:val="superscript"/>
        </w:rPr>
        <w:t>[21]</w:t>
      </w:r>
      <w:r>
        <w:rPr>
          <w:rFonts w:ascii="inter" w:hAnsi="inter" w:eastAsia="inter" w:cs="inter"/>
          <w:color w:val="000000"/>
          <w:sz w:val="21"/>
          <w:u w:val="single"/>
          <w:vertAlign w:val="superscript"/>
        </w:rPr>
        <w:fldChar w:fldCharType="end"/>
      </w:r>
      <w:bookmarkStart w:id="30" w:name="fnref20_1"/>
      <w:bookmarkEnd w:id="30"/>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p>
    <w:p w14:paraId="362F2B61">
      <w:pPr>
        <w:numPr>
          <w:ilvl w:val="0"/>
          <w:numId w:val="3"/>
        </w:numPr>
        <w:spacing w:after="210" w:line="360" w:lineRule="auto"/>
      </w:pPr>
      <w:r>
        <w:rPr>
          <w:rFonts w:ascii="inter" w:hAnsi="inter" w:eastAsia="inter" w:cs="inter"/>
          <w:color w:val="000000"/>
          <w:sz w:val="21"/>
        </w:rPr>
        <w:t>教育项目形态与观众结构</w:t>
      </w:r>
    </w:p>
    <w:p w14:paraId="3562C3C6">
      <w:pPr>
        <w:numPr>
          <w:ilvl w:val="0"/>
          <w:numId w:val="4"/>
        </w:numPr>
        <w:spacing w:before="105" w:after="105" w:line="360" w:lineRule="auto"/>
      </w:pPr>
      <w:r>
        <w:rPr>
          <w:rFonts w:ascii="inter" w:hAnsi="inter" w:eastAsia="inter" w:cs="inter"/>
          <w:color w:val="000000"/>
          <w:sz w:val="21"/>
        </w:rPr>
        <w:t>青少年与中小学生仍是最主要目标群体，课程多与学校学科教学及德育目标对接。</w:t>
      </w:r>
      <w:bookmarkStart w:id="31" w:name="fnref24"/>
      <w:bookmarkEnd w:id="31"/>
      <w:r>
        <w:fldChar w:fldCharType="begin"/>
      </w:r>
      <w:r>
        <w:instrText xml:space="preserve"> HYPERLINK \l "fn24" \h </w:instrText>
      </w:r>
      <w:r>
        <w:fldChar w:fldCharType="separate"/>
      </w:r>
      <w:r>
        <w:rPr>
          <w:rFonts w:ascii="inter" w:hAnsi="inter" w:eastAsia="inter" w:cs="inter"/>
          <w:color w:val="000000"/>
          <w:sz w:val="21"/>
          <w:u w:val="single"/>
          <w:vertAlign w:val="superscript"/>
        </w:rPr>
        <w:t>[24]</w:t>
      </w:r>
      <w:r>
        <w:rPr>
          <w:rFonts w:ascii="inter" w:hAnsi="inter" w:eastAsia="inter" w:cs="inter"/>
          <w:color w:val="000000"/>
          <w:sz w:val="21"/>
          <w:u w:val="single"/>
          <w:vertAlign w:val="superscript"/>
        </w:rPr>
        <w:fldChar w:fldCharType="end"/>
      </w:r>
      <w:bookmarkStart w:id="32" w:name="fnref20_2"/>
      <w:bookmarkEnd w:id="32"/>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p>
    <w:p w14:paraId="7213A375">
      <w:pPr>
        <w:numPr>
          <w:ilvl w:val="0"/>
          <w:numId w:val="4"/>
        </w:numPr>
        <w:spacing w:before="105" w:after="105" w:line="360" w:lineRule="auto"/>
      </w:pPr>
      <w:r>
        <w:rPr>
          <w:rFonts w:ascii="inter" w:hAnsi="inter" w:eastAsia="inter" w:cs="inter"/>
          <w:color w:val="000000"/>
          <w:sz w:val="21"/>
        </w:rPr>
        <w:t>家庭教育活动、研学旅行与主题工作坊发展较快，但在老年群体、特殊群体与新市民等方面仍有拓展空间。</w:t>
      </w:r>
      <w:bookmarkStart w:id="33" w:name="fnref24_1"/>
      <w:bookmarkEnd w:id="33"/>
      <w:r>
        <w:fldChar w:fldCharType="begin"/>
      </w:r>
      <w:r>
        <w:instrText xml:space="preserve"> HYPERLINK \l "fn24" \h </w:instrText>
      </w:r>
      <w:r>
        <w:fldChar w:fldCharType="separate"/>
      </w:r>
      <w:r>
        <w:rPr>
          <w:rFonts w:ascii="inter" w:hAnsi="inter" w:eastAsia="inter" w:cs="inter"/>
          <w:color w:val="000000"/>
          <w:sz w:val="21"/>
          <w:u w:val="single"/>
          <w:vertAlign w:val="superscript"/>
        </w:rPr>
        <w:t>[24]</w:t>
      </w:r>
      <w:r>
        <w:rPr>
          <w:rFonts w:ascii="inter" w:hAnsi="inter" w:eastAsia="inter" w:cs="inter"/>
          <w:color w:val="000000"/>
          <w:sz w:val="21"/>
          <w:u w:val="single"/>
          <w:vertAlign w:val="superscript"/>
        </w:rPr>
        <w:fldChar w:fldCharType="end"/>
      </w:r>
    </w:p>
    <w:p w14:paraId="13C75944">
      <w:pPr>
        <w:numPr>
          <w:ilvl w:val="0"/>
          <w:numId w:val="4"/>
        </w:numPr>
        <w:spacing w:before="105" w:after="105" w:line="360" w:lineRule="auto"/>
      </w:pPr>
      <w:r>
        <w:rPr>
          <w:rFonts w:ascii="inter" w:hAnsi="inter" w:eastAsia="inter" w:cs="inter"/>
          <w:color w:val="000000"/>
          <w:sz w:val="21"/>
        </w:rPr>
        <w:t>部分研究通过问卷调查指出，学生、教师与家长对于博物馆教育需求呈多样化趋势，对互动性、参与感与学习支持的期望持续提升。</w:t>
      </w:r>
      <w:bookmarkStart w:id="34" w:name="fnref24_2"/>
      <w:bookmarkEnd w:id="34"/>
      <w:r>
        <w:fldChar w:fldCharType="begin"/>
      </w:r>
      <w:r>
        <w:instrText xml:space="preserve"> HYPERLINK \l "fn24" \h </w:instrText>
      </w:r>
      <w:r>
        <w:fldChar w:fldCharType="separate"/>
      </w:r>
      <w:r>
        <w:rPr>
          <w:rFonts w:ascii="inter" w:hAnsi="inter" w:eastAsia="inter" w:cs="inter"/>
          <w:color w:val="000000"/>
          <w:sz w:val="21"/>
          <w:u w:val="single"/>
          <w:vertAlign w:val="superscript"/>
        </w:rPr>
        <w:t>[24]</w:t>
      </w:r>
      <w:r>
        <w:rPr>
          <w:rFonts w:ascii="inter" w:hAnsi="inter" w:eastAsia="inter" w:cs="inter"/>
          <w:color w:val="000000"/>
          <w:sz w:val="21"/>
          <w:u w:val="single"/>
          <w:vertAlign w:val="superscript"/>
        </w:rPr>
        <w:fldChar w:fldCharType="end"/>
      </w:r>
    </w:p>
    <w:p w14:paraId="71C1C487">
      <w:pPr>
        <w:numPr>
          <w:ilvl w:val="0"/>
          <w:numId w:val="5"/>
        </w:numPr>
        <w:spacing w:before="105" w:after="105" w:line="360" w:lineRule="auto"/>
      </w:pPr>
      <w:r>
        <w:rPr>
          <w:rFonts w:ascii="inter" w:hAnsi="inter" w:eastAsia="inter" w:cs="inter"/>
          <w:color w:val="000000"/>
          <w:sz w:val="21"/>
        </w:rPr>
        <w:t>数字化与“博物馆+”实践</w:t>
      </w:r>
      <w:r>
        <w:rPr>
          <w:rFonts w:ascii="inter" w:hAnsi="inter" w:eastAsia="inter" w:cs="inter"/>
          <w:color w:val="000000"/>
          <w:sz w:val="21"/>
        </w:rPr>
        <w:br w:type="textWrapping"/>
      </w:r>
      <w:r>
        <w:rPr>
          <w:rFonts w:ascii="inter" w:hAnsi="inter" w:eastAsia="inter" w:cs="inter"/>
          <w:color w:val="000000"/>
          <w:sz w:val="21"/>
        </w:rPr>
        <w:t>中国部分博物馆探索“博物馆+教育+科技+旅游”的综合发展路径，通过线上平台、虚拟展厅、数字科普资源等扩展教育服务半径。有关数字科学博物馆的研究表明，此类项目在一定程度上缓解了传统科博馆展陈更新慢、互动性不足等问题，提升了公众科学素养与参与度。</w:t>
      </w:r>
      <w:bookmarkStart w:id="35" w:name="fnref23_1"/>
      <w:bookmarkEnd w:id="35"/>
      <w:r>
        <w:fldChar w:fldCharType="begin"/>
      </w:r>
      <w:r>
        <w:instrText xml:space="preserve"> HYPERLINK \l "fn23" \h </w:instrText>
      </w:r>
      <w:r>
        <w:fldChar w:fldCharType="separate"/>
      </w:r>
      <w:r>
        <w:rPr>
          <w:rFonts w:ascii="inter" w:hAnsi="inter" w:eastAsia="inter" w:cs="inter"/>
          <w:color w:val="000000"/>
          <w:sz w:val="21"/>
          <w:u w:val="single"/>
          <w:vertAlign w:val="superscript"/>
        </w:rPr>
        <w:t>[23]</w:t>
      </w:r>
      <w:r>
        <w:rPr>
          <w:rFonts w:ascii="inter" w:hAnsi="inter" w:eastAsia="inter" w:cs="inter"/>
          <w:color w:val="000000"/>
          <w:sz w:val="21"/>
          <w:u w:val="single"/>
          <w:vertAlign w:val="superscript"/>
        </w:rPr>
        <w:fldChar w:fldCharType="end"/>
      </w:r>
      <w:bookmarkStart w:id="36" w:name="fnref19_3"/>
      <w:bookmarkEnd w:id="36"/>
      <w:r>
        <w:fldChar w:fldCharType="begin"/>
      </w:r>
      <w:r>
        <w:instrText xml:space="preserve"> HYPERLINK \l "fn19" \h </w:instrText>
      </w:r>
      <w:r>
        <w:fldChar w:fldCharType="separate"/>
      </w:r>
      <w:r>
        <w:rPr>
          <w:rFonts w:ascii="inter" w:hAnsi="inter" w:eastAsia="inter" w:cs="inter"/>
          <w:color w:val="000000"/>
          <w:sz w:val="21"/>
          <w:u w:val="single"/>
          <w:vertAlign w:val="superscript"/>
        </w:rPr>
        <w:t>[19]</w:t>
      </w:r>
      <w:r>
        <w:rPr>
          <w:rFonts w:ascii="inter" w:hAnsi="inter" w:eastAsia="inter" w:cs="inter"/>
          <w:color w:val="000000"/>
          <w:sz w:val="21"/>
          <w:u w:val="single"/>
          <w:vertAlign w:val="superscript"/>
        </w:rPr>
        <w:fldChar w:fldCharType="end"/>
      </w:r>
    </w:p>
    <w:p w14:paraId="43E87E95">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31441E0D">
      <w:pPr>
        <w:spacing w:before="315" w:after="105" w:line="360" w:lineRule="auto"/>
        <w:ind w:left="-30"/>
        <w:jc w:val="left"/>
      </w:pPr>
      <w:bookmarkStart w:id="37" w:name="四_博物馆分类体系及教育功能特点"/>
      <w:r>
        <w:rPr>
          <w:rFonts w:ascii="inter" w:hAnsi="inter" w:eastAsia="inter" w:cs="inter"/>
          <w:b/>
          <w:color w:val="000000"/>
          <w:sz w:val="24"/>
        </w:rPr>
        <w:t>四、博物馆分类体系及教育功能特点</w:t>
      </w:r>
      <w:bookmarkEnd w:id="37"/>
    </w:p>
    <w:p w14:paraId="6DEB4C89">
      <w:pPr>
        <w:spacing w:after="210" w:line="360" w:lineRule="auto"/>
      </w:pPr>
      <w:r>
        <w:rPr>
          <w:rFonts w:ascii="inter" w:hAnsi="inter" w:eastAsia="inter" w:cs="inter"/>
          <w:color w:val="000000"/>
        </w:rPr>
        <w:t>（一）按行政级别与资源能力的分类</w:t>
      </w:r>
    </w:p>
    <w:p w14:paraId="1103B8E5">
      <w:pPr>
        <w:spacing w:before="315" w:after="105" w:line="360" w:lineRule="auto"/>
        <w:ind w:left="-30"/>
        <w:jc w:val="left"/>
      </w:pPr>
      <w:bookmarkStart w:id="38" w:name="表_2_按行政级别划分的博物馆类型及教育特征_建议分类"/>
      <w:r>
        <w:rPr>
          <w:rFonts w:ascii="inter" w:hAnsi="inter" w:eastAsia="inter" w:cs="inter"/>
          <w:b/>
          <w:color w:val="000000"/>
          <w:sz w:val="24"/>
        </w:rPr>
        <w:t>表 2 按行政级别划分的博物馆类型及教育特征（建议分类）</w:t>
      </w:r>
      <w:bookmarkEnd w:id="38"/>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151"/>
        <w:gridCol w:w="2569"/>
        <w:gridCol w:w="3505"/>
        <w:gridCol w:w="2615"/>
      </w:tblGrid>
      <w:tr w14:paraId="7CED5AD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cantSplit/>
          <w:tblCellSpacing w:w="0" w:type="dxa"/>
          <w:jc w:val="center"/>
        </w:trPr>
        <w:tc>
          <w:tcPr>
            <w:tcBorders>
              <w:top w:val="single" w:color="000000" w:sz="0" w:space="0"/>
              <w:bottom w:val="single" w:color="000000" w:sz="0" w:space="0"/>
              <w:right w:val="single" w:color="000000" w:sz="0" w:space="0"/>
            </w:tcBorders>
          </w:tcPr>
          <w:p w14:paraId="600A140F">
            <w:pPr>
              <w:spacing w:after="0" w:line="360" w:lineRule="auto"/>
            </w:pPr>
            <w:r>
              <w:rPr>
                <w:rFonts w:ascii="inter" w:hAnsi="inter" w:eastAsia="inter" w:cs="inter"/>
                <w:color w:val="000000"/>
                <w:sz w:val="17"/>
              </w:rPr>
              <w:t>类型</w:t>
            </w:r>
          </w:p>
        </w:tc>
        <w:tc>
          <w:tcPr>
            <w:tcBorders>
              <w:top w:val="single" w:color="000000" w:sz="0" w:space="0"/>
              <w:bottom w:val="single" w:color="000000" w:sz="0" w:space="0"/>
              <w:right w:val="single" w:color="000000" w:sz="0" w:space="0"/>
            </w:tcBorders>
          </w:tcPr>
          <w:p w14:paraId="3259A9BE">
            <w:pPr>
              <w:spacing w:after="0" w:line="360" w:lineRule="auto"/>
            </w:pPr>
            <w:r>
              <w:rPr>
                <w:rFonts w:ascii="inter" w:hAnsi="inter" w:eastAsia="inter" w:cs="inter"/>
                <w:color w:val="000000"/>
                <w:sz w:val="17"/>
              </w:rPr>
              <w:t>代表机构特征</w:t>
            </w:r>
          </w:p>
        </w:tc>
        <w:tc>
          <w:tcPr>
            <w:tcBorders>
              <w:top w:val="single" w:color="000000" w:sz="0" w:space="0"/>
              <w:bottom w:val="single" w:color="000000" w:sz="0" w:space="0"/>
              <w:right w:val="single" w:color="000000" w:sz="0" w:space="0"/>
            </w:tcBorders>
          </w:tcPr>
          <w:p w14:paraId="16EA5892">
            <w:pPr>
              <w:spacing w:after="0" w:line="360" w:lineRule="auto"/>
            </w:pPr>
            <w:r>
              <w:rPr>
                <w:rFonts w:ascii="inter" w:hAnsi="inter" w:eastAsia="inter" w:cs="inter"/>
                <w:color w:val="000000"/>
                <w:sz w:val="17"/>
              </w:rPr>
              <w:t>教育功能特点</w:t>
            </w:r>
          </w:p>
        </w:tc>
        <w:tc>
          <w:tcPr>
            <w:tcBorders>
              <w:top w:val="single" w:color="000000" w:sz="0" w:space="0"/>
              <w:bottom w:val="single" w:color="000000" w:sz="0" w:space="0"/>
            </w:tcBorders>
          </w:tcPr>
          <w:p w14:paraId="6752AD76">
            <w:pPr>
              <w:spacing w:after="0" w:line="360" w:lineRule="auto"/>
            </w:pPr>
            <w:r>
              <w:rPr>
                <w:rFonts w:ascii="inter" w:hAnsi="inter" w:eastAsia="inter" w:cs="inter"/>
                <w:color w:val="000000"/>
                <w:sz w:val="17"/>
              </w:rPr>
              <w:t>潜在风险与挑战</w:t>
            </w:r>
          </w:p>
        </w:tc>
      </w:tr>
      <w:tr w14:paraId="4D638E7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58EFCE9">
            <w:pPr>
              <w:spacing w:after="0" w:line="360" w:lineRule="auto"/>
            </w:pPr>
            <w:r>
              <w:rPr>
                <w:rFonts w:ascii="inter" w:hAnsi="inter" w:eastAsia="inter" w:cs="inter"/>
                <w:color w:val="000000"/>
                <w:sz w:val="17"/>
              </w:rPr>
              <w:t>国家级博物馆</w:t>
            </w:r>
          </w:p>
        </w:tc>
        <w:tc>
          <w:tcPr>
            <w:tcBorders>
              <w:top w:val="single" w:color="000000" w:sz="0" w:space="0"/>
              <w:bottom w:val="single" w:color="000000" w:sz="0" w:space="0"/>
              <w:right w:val="single" w:color="000000" w:sz="0" w:space="0"/>
            </w:tcBorders>
          </w:tcPr>
          <w:p w14:paraId="27A660FB">
            <w:pPr>
              <w:spacing w:after="0" w:line="360" w:lineRule="auto"/>
            </w:pPr>
            <w:r>
              <w:rPr>
                <w:rFonts w:ascii="inter" w:hAnsi="inter" w:eastAsia="inter" w:cs="inter"/>
                <w:color w:val="000000"/>
                <w:sz w:val="17"/>
              </w:rPr>
              <w:t>由中央或国家层面设立，藏品规模大、资源集中，具有国家形象与文化记忆功能。</w:t>
            </w:r>
          </w:p>
        </w:tc>
        <w:tc>
          <w:tcPr>
            <w:tcBorders>
              <w:top w:val="single" w:color="000000" w:sz="0" w:space="0"/>
              <w:bottom w:val="single" w:color="000000" w:sz="0" w:space="0"/>
              <w:right w:val="single" w:color="000000" w:sz="0" w:space="0"/>
            </w:tcBorders>
          </w:tcPr>
          <w:p w14:paraId="1C55F962">
            <w:pPr>
              <w:spacing w:after="0" w:line="360" w:lineRule="auto"/>
            </w:pPr>
            <w:r>
              <w:rPr>
                <w:rFonts w:ascii="inter" w:hAnsi="inter" w:eastAsia="inter" w:cs="inter"/>
                <w:color w:val="000000"/>
                <w:sz w:val="17"/>
              </w:rPr>
              <w:t>教育项目覆盖面广，具备较强的教育性展览设计能力和全国性示范效应，在一定程度上可承担跨区域师资培训和资源辐射任务。</w:t>
            </w:r>
          </w:p>
        </w:tc>
        <w:tc>
          <w:tcPr>
            <w:tcBorders>
              <w:top w:val="single" w:color="000000" w:sz="0" w:space="0"/>
              <w:bottom w:val="single" w:color="000000" w:sz="0" w:space="0"/>
            </w:tcBorders>
          </w:tcPr>
          <w:p w14:paraId="50A600C0">
            <w:pPr>
              <w:spacing w:after="0" w:line="360" w:lineRule="auto"/>
            </w:pPr>
            <w:r>
              <w:rPr>
                <w:rFonts w:ascii="inter" w:hAnsi="inter" w:eastAsia="inter" w:cs="inter"/>
                <w:color w:val="000000"/>
                <w:sz w:val="17"/>
              </w:rPr>
              <w:t>容易出现观众数量过大但个性化服务不足、难以兼顾深度学习与游客导览需求的矛盾。</w:t>
            </w:r>
          </w:p>
        </w:tc>
      </w:tr>
      <w:tr w14:paraId="3C10750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CD0C4EF">
            <w:pPr>
              <w:spacing w:after="0" w:line="360" w:lineRule="auto"/>
            </w:pPr>
            <w:r>
              <w:rPr>
                <w:rFonts w:ascii="inter" w:hAnsi="inter" w:eastAsia="inter" w:cs="inter"/>
                <w:color w:val="000000"/>
                <w:sz w:val="17"/>
              </w:rPr>
              <w:t>省（州）级博物馆</w:t>
            </w:r>
          </w:p>
        </w:tc>
        <w:tc>
          <w:tcPr>
            <w:tcBorders>
              <w:top w:val="single" w:color="000000" w:sz="0" w:space="0"/>
              <w:bottom w:val="single" w:color="000000" w:sz="0" w:space="0"/>
              <w:right w:val="single" w:color="000000" w:sz="0" w:space="0"/>
            </w:tcBorders>
          </w:tcPr>
          <w:p w14:paraId="197D0EE6">
            <w:pPr>
              <w:spacing w:after="0" w:line="360" w:lineRule="auto"/>
            </w:pPr>
            <w:r>
              <w:rPr>
                <w:rFonts w:ascii="inter" w:hAnsi="inter" w:eastAsia="inter" w:cs="inter"/>
                <w:color w:val="000000"/>
                <w:sz w:val="17"/>
              </w:rPr>
              <w:t>由省（州）级政府主办，是区域文化与历史的重要展示平台。</w:t>
            </w:r>
          </w:p>
        </w:tc>
        <w:tc>
          <w:tcPr>
            <w:tcBorders>
              <w:top w:val="single" w:color="000000" w:sz="0" w:space="0"/>
              <w:bottom w:val="single" w:color="000000" w:sz="0" w:space="0"/>
              <w:right w:val="single" w:color="000000" w:sz="0" w:space="0"/>
            </w:tcBorders>
          </w:tcPr>
          <w:p w14:paraId="571CD51A">
            <w:pPr>
              <w:spacing w:after="0" w:line="360" w:lineRule="auto"/>
            </w:pPr>
            <w:r>
              <w:rPr>
                <w:rFonts w:ascii="inter" w:hAnsi="inter" w:eastAsia="inter" w:cs="inter"/>
                <w:color w:val="000000"/>
                <w:sz w:val="17"/>
              </w:rPr>
              <w:t>在区域课程资源、地方文化传承与区域性观众研究方面具有优势，便于与省域教育系统建立稳定合作。</w:t>
            </w:r>
          </w:p>
        </w:tc>
        <w:tc>
          <w:tcPr>
            <w:tcBorders>
              <w:top w:val="single" w:color="000000" w:sz="0" w:space="0"/>
              <w:bottom w:val="single" w:color="000000" w:sz="0" w:space="0"/>
            </w:tcBorders>
          </w:tcPr>
          <w:p w14:paraId="2F17CB61">
            <w:pPr>
              <w:spacing w:after="0" w:line="360" w:lineRule="auto"/>
            </w:pPr>
            <w:r>
              <w:rPr>
                <w:rFonts w:ascii="inter" w:hAnsi="inter" w:eastAsia="inter" w:cs="inter"/>
                <w:color w:val="000000"/>
                <w:sz w:val="17"/>
              </w:rPr>
              <w:t>可能存在经费与专业人才不均衡问题，难以持续开展高水平数字化叙事与创新项目。</w:t>
            </w:r>
          </w:p>
        </w:tc>
      </w:tr>
      <w:tr w14:paraId="393E96D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299D703">
            <w:pPr>
              <w:spacing w:after="0" w:line="360" w:lineRule="auto"/>
            </w:pPr>
            <w:r>
              <w:rPr>
                <w:rFonts w:ascii="inter" w:hAnsi="inter" w:eastAsia="inter" w:cs="inter"/>
                <w:color w:val="000000"/>
                <w:sz w:val="17"/>
              </w:rPr>
              <w:t>地市级与县级博物馆</w:t>
            </w:r>
          </w:p>
        </w:tc>
        <w:tc>
          <w:tcPr>
            <w:tcBorders>
              <w:top w:val="single" w:color="000000" w:sz="0" w:space="0"/>
              <w:bottom w:val="single" w:color="000000" w:sz="0" w:space="0"/>
              <w:right w:val="single" w:color="000000" w:sz="0" w:space="0"/>
            </w:tcBorders>
          </w:tcPr>
          <w:p w14:paraId="5674C8BE">
            <w:pPr>
              <w:spacing w:after="0" w:line="360" w:lineRule="auto"/>
            </w:pPr>
            <w:r>
              <w:rPr>
                <w:rFonts w:ascii="inter" w:hAnsi="inter" w:eastAsia="inter" w:cs="inter"/>
                <w:color w:val="000000"/>
                <w:sz w:val="17"/>
              </w:rPr>
              <w:t>服务城市或县域层面社区，以地方历史文化为主。</w:t>
            </w:r>
          </w:p>
        </w:tc>
        <w:tc>
          <w:tcPr>
            <w:tcBorders>
              <w:top w:val="single" w:color="000000" w:sz="0" w:space="0"/>
              <w:bottom w:val="single" w:color="000000" w:sz="0" w:space="0"/>
              <w:right w:val="single" w:color="000000" w:sz="0" w:space="0"/>
            </w:tcBorders>
          </w:tcPr>
          <w:p w14:paraId="45FB6B24">
            <w:pPr>
              <w:spacing w:after="0" w:line="360" w:lineRule="auto"/>
            </w:pPr>
            <w:r>
              <w:rPr>
                <w:rFonts w:ascii="inter" w:hAnsi="inter" w:eastAsia="inter" w:cs="inter"/>
                <w:color w:val="000000"/>
                <w:sz w:val="17"/>
              </w:rPr>
              <w:t>更接近社区民众，便于开展社会包容性项目与社区参与式学习，支持地方学校综合实践活动。</w:t>
            </w:r>
          </w:p>
        </w:tc>
        <w:tc>
          <w:tcPr>
            <w:tcBorders>
              <w:top w:val="single" w:color="000000" w:sz="0" w:space="0"/>
              <w:bottom w:val="single" w:color="000000" w:sz="0" w:space="0"/>
            </w:tcBorders>
          </w:tcPr>
          <w:p w14:paraId="0685DAFB">
            <w:pPr>
              <w:spacing w:after="0" w:line="360" w:lineRule="auto"/>
            </w:pPr>
            <w:r>
              <w:rPr>
                <w:rFonts w:ascii="inter" w:hAnsi="inter" w:eastAsia="inter" w:cs="inter"/>
                <w:color w:val="000000"/>
                <w:sz w:val="17"/>
              </w:rPr>
              <w:t>在展陈和科技应用上可能存在基础薄弱的问题，对复杂跨学科学习项目的承载能力有限。</w:t>
            </w:r>
          </w:p>
        </w:tc>
      </w:tr>
    </w:tbl>
    <w:p w14:paraId="1FE65476"/>
    <w:p w14:paraId="04F193DD">
      <w:pPr>
        <w:spacing w:after="210" w:line="360" w:lineRule="auto"/>
      </w:pPr>
      <w:r>
        <w:rPr>
          <w:rFonts w:ascii="inter" w:hAnsi="inter" w:eastAsia="inter" w:cs="inter"/>
          <w:color w:val="000000"/>
        </w:rPr>
        <w:t>（二）按产权与运营模式的分类</w:t>
      </w:r>
    </w:p>
    <w:p w14:paraId="672450F4">
      <w:pPr>
        <w:spacing w:before="315" w:after="105" w:line="360" w:lineRule="auto"/>
        <w:ind w:left="-30"/>
        <w:jc w:val="left"/>
      </w:pPr>
      <w:bookmarkStart w:id="39" w:name="表_3_按产权与运营模式划分的博物馆类型及教育特征_建议分类"/>
      <w:r>
        <w:rPr>
          <w:rFonts w:ascii="inter" w:hAnsi="inter" w:eastAsia="inter" w:cs="inter"/>
          <w:b/>
          <w:color w:val="000000"/>
          <w:sz w:val="24"/>
        </w:rPr>
        <w:t>表 3 按产权与运营模式划分的博物馆类型及教育特征（建议分类）</w:t>
      </w:r>
      <w:bookmarkEnd w:id="39"/>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111"/>
        <w:gridCol w:w="2304"/>
        <w:gridCol w:w="3194"/>
        <w:gridCol w:w="3231"/>
      </w:tblGrid>
      <w:tr w14:paraId="3BEC524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A94635D">
            <w:pPr>
              <w:spacing w:after="0" w:line="360" w:lineRule="auto"/>
            </w:pPr>
            <w:r>
              <w:rPr>
                <w:rFonts w:ascii="inter" w:hAnsi="inter" w:eastAsia="inter" w:cs="inter"/>
                <w:color w:val="000000"/>
                <w:sz w:val="17"/>
              </w:rPr>
              <w:t>类型</w:t>
            </w:r>
          </w:p>
        </w:tc>
        <w:tc>
          <w:tcPr>
            <w:tcBorders>
              <w:top w:val="single" w:color="000000" w:sz="0" w:space="0"/>
              <w:bottom w:val="single" w:color="000000" w:sz="0" w:space="0"/>
              <w:right w:val="single" w:color="000000" w:sz="0" w:space="0"/>
            </w:tcBorders>
          </w:tcPr>
          <w:p w14:paraId="0D131B0A">
            <w:pPr>
              <w:spacing w:after="0" w:line="360" w:lineRule="auto"/>
            </w:pPr>
            <w:r>
              <w:rPr>
                <w:rFonts w:ascii="inter" w:hAnsi="inter" w:eastAsia="inter" w:cs="inter"/>
                <w:color w:val="000000"/>
                <w:sz w:val="17"/>
              </w:rPr>
              <w:t>所有制与治理结构</w:t>
            </w:r>
          </w:p>
        </w:tc>
        <w:tc>
          <w:tcPr>
            <w:tcBorders>
              <w:top w:val="single" w:color="000000" w:sz="0" w:space="0"/>
              <w:bottom w:val="single" w:color="000000" w:sz="0" w:space="0"/>
              <w:right w:val="single" w:color="000000" w:sz="0" w:space="0"/>
            </w:tcBorders>
          </w:tcPr>
          <w:p w14:paraId="6E471B13">
            <w:pPr>
              <w:spacing w:after="0" w:line="360" w:lineRule="auto"/>
            </w:pPr>
            <w:r>
              <w:rPr>
                <w:rFonts w:ascii="inter" w:hAnsi="inter" w:eastAsia="inter" w:cs="inter"/>
                <w:color w:val="000000"/>
                <w:sz w:val="17"/>
              </w:rPr>
              <w:t>教育项目特征</w:t>
            </w:r>
          </w:p>
        </w:tc>
        <w:tc>
          <w:tcPr>
            <w:tcBorders>
              <w:top w:val="single" w:color="000000" w:sz="0" w:space="0"/>
              <w:bottom w:val="single" w:color="000000" w:sz="0" w:space="0"/>
            </w:tcBorders>
          </w:tcPr>
          <w:p w14:paraId="056878F5">
            <w:pPr>
              <w:spacing w:after="0" w:line="360" w:lineRule="auto"/>
            </w:pPr>
            <w:r>
              <w:rPr>
                <w:rFonts w:ascii="inter" w:hAnsi="inter" w:eastAsia="inter" w:cs="inter"/>
                <w:color w:val="000000"/>
                <w:sz w:val="17"/>
              </w:rPr>
              <w:t>适用发展路径</w:t>
            </w:r>
          </w:p>
        </w:tc>
      </w:tr>
      <w:tr w14:paraId="678C64B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FCFE168">
            <w:pPr>
              <w:spacing w:after="0" w:line="360" w:lineRule="auto"/>
            </w:pPr>
            <w:r>
              <w:rPr>
                <w:rFonts w:ascii="inter" w:hAnsi="inter" w:eastAsia="inter" w:cs="inter"/>
                <w:color w:val="000000"/>
                <w:sz w:val="17"/>
              </w:rPr>
              <w:t>公立博物馆</w:t>
            </w:r>
          </w:p>
        </w:tc>
        <w:tc>
          <w:tcPr>
            <w:tcBorders>
              <w:top w:val="single" w:color="000000" w:sz="0" w:space="0"/>
              <w:bottom w:val="single" w:color="000000" w:sz="0" w:space="0"/>
              <w:right w:val="single" w:color="000000" w:sz="0" w:space="0"/>
            </w:tcBorders>
          </w:tcPr>
          <w:p w14:paraId="693310A6">
            <w:pPr>
              <w:spacing w:after="0" w:line="360" w:lineRule="auto"/>
            </w:pPr>
            <w:r>
              <w:rPr>
                <w:rFonts w:ascii="inter" w:hAnsi="inter" w:eastAsia="inter" w:cs="inter"/>
                <w:color w:val="000000"/>
                <w:sz w:val="17"/>
              </w:rPr>
              <w:t>政府主办，经费来源以财政为主，行政管理色彩较强。</w:t>
            </w:r>
          </w:p>
        </w:tc>
        <w:tc>
          <w:tcPr>
            <w:tcBorders>
              <w:top w:val="single" w:color="000000" w:sz="0" w:space="0"/>
              <w:bottom w:val="single" w:color="000000" w:sz="0" w:space="0"/>
              <w:right w:val="single" w:color="000000" w:sz="0" w:space="0"/>
            </w:tcBorders>
          </w:tcPr>
          <w:p w14:paraId="56345C4D">
            <w:pPr>
              <w:spacing w:after="0" w:line="360" w:lineRule="auto"/>
            </w:pPr>
            <w:r>
              <w:rPr>
                <w:rFonts w:ascii="inter" w:hAnsi="inter" w:eastAsia="inter" w:cs="inter"/>
                <w:color w:val="000000"/>
                <w:sz w:val="17"/>
              </w:rPr>
              <w:t>教育项目相对稳定，易与学校教育和公共文化服务体系衔接；重视公益性与社会包容性。</w:t>
            </w:r>
          </w:p>
        </w:tc>
        <w:tc>
          <w:tcPr>
            <w:tcBorders>
              <w:top w:val="single" w:color="000000" w:sz="0" w:space="0"/>
              <w:bottom w:val="single" w:color="000000" w:sz="0" w:space="0"/>
            </w:tcBorders>
          </w:tcPr>
          <w:p w14:paraId="2566CD1D">
            <w:pPr>
              <w:spacing w:after="0" w:line="360" w:lineRule="auto"/>
            </w:pPr>
            <w:r>
              <w:rPr>
                <w:rFonts w:ascii="inter" w:hAnsi="inter" w:eastAsia="inter" w:cs="inter"/>
                <w:color w:val="000000"/>
                <w:sz w:val="17"/>
              </w:rPr>
              <w:t>建议可考虑通过政策引导强化观众研究与绩效评估，提高教育创新动力。</w:t>
            </w:r>
          </w:p>
        </w:tc>
      </w:tr>
      <w:tr w14:paraId="2603C2D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6D6B0B0">
            <w:pPr>
              <w:spacing w:after="0" w:line="360" w:lineRule="auto"/>
            </w:pPr>
            <w:r>
              <w:rPr>
                <w:rFonts w:ascii="inter" w:hAnsi="inter" w:eastAsia="inter" w:cs="inter"/>
                <w:color w:val="000000"/>
                <w:sz w:val="17"/>
              </w:rPr>
              <w:t>大学附属博物馆</w:t>
            </w:r>
          </w:p>
        </w:tc>
        <w:tc>
          <w:tcPr>
            <w:tcBorders>
              <w:top w:val="single" w:color="000000" w:sz="0" w:space="0"/>
              <w:bottom w:val="single" w:color="000000" w:sz="0" w:space="0"/>
              <w:right w:val="single" w:color="000000" w:sz="0" w:space="0"/>
            </w:tcBorders>
          </w:tcPr>
          <w:p w14:paraId="21CBF167">
            <w:pPr>
              <w:spacing w:after="0" w:line="360" w:lineRule="auto"/>
            </w:pPr>
            <w:r>
              <w:rPr>
                <w:rFonts w:ascii="inter" w:hAnsi="inter" w:eastAsia="inter" w:cs="inter"/>
                <w:color w:val="000000"/>
                <w:sz w:val="17"/>
              </w:rPr>
              <w:t>依托高校学术与科研资源，学科背景明确。</w:t>
            </w:r>
          </w:p>
        </w:tc>
        <w:tc>
          <w:tcPr>
            <w:tcBorders>
              <w:top w:val="single" w:color="000000" w:sz="0" w:space="0"/>
              <w:bottom w:val="single" w:color="000000" w:sz="0" w:space="0"/>
              <w:right w:val="single" w:color="000000" w:sz="0" w:space="0"/>
            </w:tcBorders>
          </w:tcPr>
          <w:p w14:paraId="2CB01834">
            <w:pPr>
              <w:spacing w:after="0" w:line="360" w:lineRule="auto"/>
            </w:pPr>
            <w:r>
              <w:rPr>
                <w:rFonts w:ascii="inter" w:hAnsi="inter" w:eastAsia="inter" w:cs="inter"/>
                <w:color w:val="000000"/>
                <w:sz w:val="17"/>
              </w:rPr>
              <w:t>有利于开展高水平学术型与研究型教育项目，支持跨学科学习与人才培养。</w:t>
            </w:r>
          </w:p>
        </w:tc>
        <w:tc>
          <w:tcPr>
            <w:tcBorders>
              <w:top w:val="single" w:color="000000" w:sz="0" w:space="0"/>
              <w:bottom w:val="single" w:color="000000" w:sz="0" w:space="0"/>
            </w:tcBorders>
          </w:tcPr>
          <w:p w14:paraId="11893B7D">
            <w:pPr>
              <w:spacing w:after="0" w:line="360" w:lineRule="auto"/>
            </w:pPr>
            <w:r>
              <w:rPr>
                <w:rFonts w:ascii="inter" w:hAnsi="inter" w:eastAsia="inter" w:cs="inter"/>
                <w:color w:val="000000"/>
                <w:sz w:val="17"/>
              </w:rPr>
              <w:t>适宜与高校教学科研和研究生培养紧密结合，形成“教学—研究—公众教育”一体化模式。</w:t>
            </w:r>
          </w:p>
        </w:tc>
      </w:tr>
      <w:tr w14:paraId="3CBA38E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CD65A1F">
            <w:pPr>
              <w:spacing w:after="0" w:line="360" w:lineRule="auto"/>
            </w:pPr>
            <w:r>
              <w:rPr>
                <w:rFonts w:ascii="inter" w:hAnsi="inter" w:eastAsia="inter" w:cs="inter"/>
                <w:color w:val="000000"/>
                <w:sz w:val="17"/>
              </w:rPr>
              <w:t>企事业与基金会博物馆</w:t>
            </w:r>
          </w:p>
        </w:tc>
        <w:tc>
          <w:tcPr>
            <w:tcBorders>
              <w:top w:val="single" w:color="000000" w:sz="0" w:space="0"/>
              <w:bottom w:val="single" w:color="000000" w:sz="0" w:space="0"/>
              <w:right w:val="single" w:color="000000" w:sz="0" w:space="0"/>
            </w:tcBorders>
          </w:tcPr>
          <w:p w14:paraId="2B7CC569">
            <w:pPr>
              <w:spacing w:after="0" w:line="360" w:lineRule="auto"/>
            </w:pPr>
            <w:r>
              <w:rPr>
                <w:rFonts w:ascii="inter" w:hAnsi="inter" w:eastAsia="inter" w:cs="inter"/>
                <w:color w:val="000000"/>
                <w:sz w:val="17"/>
              </w:rPr>
              <w:t>民营或混合所有制，治理结构灵活，品牌和市场导向较强。</w:t>
            </w:r>
          </w:p>
        </w:tc>
        <w:tc>
          <w:tcPr>
            <w:tcBorders>
              <w:top w:val="single" w:color="000000" w:sz="0" w:space="0"/>
              <w:bottom w:val="single" w:color="000000" w:sz="0" w:space="0"/>
              <w:right w:val="single" w:color="000000" w:sz="0" w:space="0"/>
            </w:tcBorders>
          </w:tcPr>
          <w:p w14:paraId="5B47DBDE">
            <w:pPr>
              <w:spacing w:after="0" w:line="360" w:lineRule="auto"/>
            </w:pPr>
            <w:r>
              <w:rPr>
                <w:rFonts w:ascii="inter" w:hAnsi="inter" w:eastAsia="inter" w:cs="inter"/>
                <w:color w:val="000000"/>
                <w:sz w:val="17"/>
              </w:rPr>
              <w:t>更倾向于开发创新型、体验性与品牌化的教育活动，易于引入科技类互动与商业合作。</w:t>
            </w:r>
          </w:p>
        </w:tc>
        <w:tc>
          <w:tcPr>
            <w:tcBorders>
              <w:top w:val="single" w:color="000000" w:sz="0" w:space="0"/>
              <w:bottom w:val="single" w:color="000000" w:sz="0" w:space="0"/>
            </w:tcBorders>
          </w:tcPr>
          <w:p w14:paraId="3C7461F8">
            <w:pPr>
              <w:spacing w:after="0" w:line="360" w:lineRule="auto"/>
            </w:pPr>
            <w:r>
              <w:rPr>
                <w:rFonts w:ascii="inter" w:hAnsi="inter" w:eastAsia="inter" w:cs="inter"/>
                <w:color w:val="000000"/>
                <w:sz w:val="17"/>
              </w:rPr>
              <w:t>适宜发展主题鲜明、体验强化的教育内容，但需防止过度商业化与教育价值弱化。</w:t>
            </w:r>
          </w:p>
        </w:tc>
      </w:tr>
    </w:tbl>
    <w:p w14:paraId="6DBC3FE8"/>
    <w:p w14:paraId="7B05C296">
      <w:pPr>
        <w:spacing w:after="210" w:line="360" w:lineRule="auto"/>
      </w:pPr>
      <w:r>
        <w:rPr>
          <w:rFonts w:ascii="inter" w:hAnsi="inter" w:eastAsia="inter" w:cs="inter"/>
          <w:color w:val="000000"/>
        </w:rPr>
        <w:t>（三）按学科与功能类型的分类</w:t>
      </w:r>
    </w:p>
    <w:p w14:paraId="2F81EFE1">
      <w:pPr>
        <w:spacing w:before="315" w:after="105" w:line="360" w:lineRule="auto"/>
        <w:ind w:left="-30"/>
        <w:jc w:val="left"/>
      </w:pPr>
      <w:bookmarkStart w:id="40" w:name="表_4_按学科与功能划分的博物馆类型及教育特征_建议分类"/>
      <w:r>
        <w:rPr>
          <w:rFonts w:ascii="inter" w:hAnsi="inter" w:eastAsia="inter" w:cs="inter"/>
          <w:b/>
          <w:color w:val="000000"/>
          <w:sz w:val="24"/>
        </w:rPr>
        <w:t>表 4 按学科与功能划分的博物馆类型及教育特征（建议分类）</w:t>
      </w:r>
      <w:bookmarkEnd w:id="40"/>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253"/>
        <w:gridCol w:w="1987"/>
        <w:gridCol w:w="3171"/>
        <w:gridCol w:w="3429"/>
      </w:tblGrid>
      <w:tr w14:paraId="4D7BEAD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4BEAA5C">
            <w:pPr>
              <w:spacing w:after="0" w:line="360" w:lineRule="auto"/>
            </w:pPr>
            <w:r>
              <w:rPr>
                <w:rFonts w:ascii="inter" w:hAnsi="inter" w:eastAsia="inter" w:cs="inter"/>
                <w:color w:val="000000"/>
                <w:sz w:val="17"/>
              </w:rPr>
              <w:t>类型</w:t>
            </w:r>
          </w:p>
        </w:tc>
        <w:tc>
          <w:tcPr>
            <w:tcBorders>
              <w:top w:val="single" w:color="000000" w:sz="0" w:space="0"/>
              <w:bottom w:val="single" w:color="000000" w:sz="0" w:space="0"/>
              <w:right w:val="single" w:color="000000" w:sz="0" w:space="0"/>
            </w:tcBorders>
          </w:tcPr>
          <w:p w14:paraId="121BBA14">
            <w:pPr>
              <w:spacing w:after="0" w:line="360" w:lineRule="auto"/>
            </w:pPr>
            <w:r>
              <w:rPr>
                <w:rFonts w:ascii="inter" w:hAnsi="inter" w:eastAsia="inter" w:cs="inter"/>
                <w:color w:val="000000"/>
                <w:sz w:val="17"/>
              </w:rPr>
              <w:t>主要内容领域</w:t>
            </w:r>
          </w:p>
        </w:tc>
        <w:tc>
          <w:tcPr>
            <w:tcBorders>
              <w:top w:val="single" w:color="000000" w:sz="0" w:space="0"/>
              <w:bottom w:val="single" w:color="000000" w:sz="0" w:space="0"/>
              <w:right w:val="single" w:color="000000" w:sz="0" w:space="0"/>
            </w:tcBorders>
          </w:tcPr>
          <w:p w14:paraId="71A05069">
            <w:pPr>
              <w:spacing w:after="0" w:line="360" w:lineRule="auto"/>
            </w:pPr>
            <w:r>
              <w:rPr>
                <w:rFonts w:ascii="inter" w:hAnsi="inter" w:eastAsia="inter" w:cs="inter"/>
                <w:color w:val="000000"/>
                <w:sz w:val="17"/>
              </w:rPr>
              <w:t>教育性展览设计特点</w:t>
            </w:r>
          </w:p>
        </w:tc>
        <w:tc>
          <w:tcPr>
            <w:tcBorders>
              <w:top w:val="single" w:color="000000" w:sz="0" w:space="0"/>
              <w:bottom w:val="single" w:color="000000" w:sz="0" w:space="0"/>
            </w:tcBorders>
          </w:tcPr>
          <w:p w14:paraId="2EC36B0C">
            <w:pPr>
              <w:spacing w:after="0" w:line="360" w:lineRule="auto"/>
            </w:pPr>
            <w:r>
              <w:rPr>
                <w:rFonts w:ascii="inter" w:hAnsi="inter" w:eastAsia="inter" w:cs="inter"/>
                <w:color w:val="000000"/>
                <w:sz w:val="17"/>
              </w:rPr>
              <w:t>关键教育优势</w:t>
            </w:r>
          </w:p>
        </w:tc>
      </w:tr>
      <w:tr w14:paraId="551CCFA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9F0C636">
            <w:pPr>
              <w:spacing w:after="0" w:line="360" w:lineRule="auto"/>
            </w:pPr>
            <w:r>
              <w:rPr>
                <w:rFonts w:ascii="inter" w:hAnsi="inter" w:eastAsia="inter" w:cs="inter"/>
                <w:color w:val="000000"/>
                <w:sz w:val="17"/>
              </w:rPr>
              <w:t>历史与人文博物馆</w:t>
            </w:r>
          </w:p>
        </w:tc>
        <w:tc>
          <w:tcPr>
            <w:tcBorders>
              <w:top w:val="single" w:color="000000" w:sz="0" w:space="0"/>
              <w:bottom w:val="single" w:color="000000" w:sz="0" w:space="0"/>
              <w:right w:val="single" w:color="000000" w:sz="0" w:space="0"/>
            </w:tcBorders>
          </w:tcPr>
          <w:p w14:paraId="0D909E7E">
            <w:pPr>
              <w:spacing w:after="0" w:line="360" w:lineRule="auto"/>
            </w:pPr>
            <w:r>
              <w:rPr>
                <w:rFonts w:ascii="inter" w:hAnsi="inter" w:eastAsia="inter" w:cs="inter"/>
                <w:color w:val="000000"/>
                <w:sz w:val="17"/>
              </w:rPr>
              <w:t>历史、考古、人类学、民族学等。</w:t>
            </w:r>
          </w:p>
        </w:tc>
        <w:tc>
          <w:tcPr>
            <w:tcBorders>
              <w:top w:val="single" w:color="000000" w:sz="0" w:space="0"/>
              <w:bottom w:val="single" w:color="000000" w:sz="0" w:space="0"/>
              <w:right w:val="single" w:color="000000" w:sz="0" w:space="0"/>
            </w:tcBorders>
          </w:tcPr>
          <w:p w14:paraId="28735182">
            <w:pPr>
              <w:spacing w:after="0" w:line="360" w:lineRule="auto"/>
            </w:pPr>
            <w:r>
              <w:rPr>
                <w:rFonts w:ascii="inter" w:hAnsi="inter" w:eastAsia="inter" w:cs="inter"/>
                <w:color w:val="000000"/>
                <w:sz w:val="17"/>
              </w:rPr>
              <w:t>强调叙事性与情境再现，适合数字化叙事和角色扮演活动。</w:t>
            </w:r>
          </w:p>
        </w:tc>
        <w:tc>
          <w:tcPr>
            <w:tcBorders>
              <w:top w:val="single" w:color="000000" w:sz="0" w:space="0"/>
              <w:bottom w:val="single" w:color="000000" w:sz="0" w:space="0"/>
            </w:tcBorders>
          </w:tcPr>
          <w:p w14:paraId="53D01824">
            <w:pPr>
              <w:spacing w:after="0" w:line="360" w:lineRule="auto"/>
            </w:pPr>
            <w:r>
              <w:rPr>
                <w:rFonts w:ascii="inter" w:hAnsi="inter" w:eastAsia="inter" w:cs="inter"/>
                <w:color w:val="000000"/>
                <w:sz w:val="17"/>
              </w:rPr>
              <w:t>便于开展历史思维、身份认同与公民教育，加强社会包容性。</w:t>
            </w:r>
          </w:p>
        </w:tc>
      </w:tr>
      <w:tr w14:paraId="7138639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BB5EDAF">
            <w:pPr>
              <w:spacing w:after="0" w:line="360" w:lineRule="auto"/>
            </w:pPr>
            <w:r>
              <w:rPr>
                <w:rFonts w:ascii="inter" w:hAnsi="inter" w:eastAsia="inter" w:cs="inter"/>
                <w:color w:val="000000"/>
                <w:sz w:val="17"/>
              </w:rPr>
              <w:t>科学与技术博物馆</w:t>
            </w:r>
          </w:p>
        </w:tc>
        <w:tc>
          <w:tcPr>
            <w:tcBorders>
              <w:top w:val="single" w:color="000000" w:sz="0" w:space="0"/>
              <w:bottom w:val="single" w:color="000000" w:sz="0" w:space="0"/>
              <w:right w:val="single" w:color="000000" w:sz="0" w:space="0"/>
            </w:tcBorders>
          </w:tcPr>
          <w:p w14:paraId="70ED0380">
            <w:pPr>
              <w:spacing w:after="0" w:line="360" w:lineRule="auto"/>
            </w:pPr>
            <w:r>
              <w:rPr>
                <w:rFonts w:ascii="inter" w:hAnsi="inter" w:eastAsia="inter" w:cs="inter"/>
                <w:color w:val="000000"/>
                <w:sz w:val="17"/>
              </w:rPr>
              <w:t>自然科学、工程技术、前沿科技。</w:t>
            </w:r>
          </w:p>
        </w:tc>
        <w:tc>
          <w:tcPr>
            <w:tcBorders>
              <w:top w:val="single" w:color="000000" w:sz="0" w:space="0"/>
              <w:bottom w:val="single" w:color="000000" w:sz="0" w:space="0"/>
              <w:right w:val="single" w:color="000000" w:sz="0" w:space="0"/>
            </w:tcBorders>
          </w:tcPr>
          <w:p w14:paraId="1BD690C8">
            <w:pPr>
              <w:spacing w:after="0" w:line="360" w:lineRule="auto"/>
            </w:pPr>
            <w:r>
              <w:rPr>
                <w:rFonts w:ascii="inter" w:hAnsi="inter" w:eastAsia="inter" w:cs="inter"/>
                <w:color w:val="000000"/>
                <w:sz w:val="17"/>
              </w:rPr>
              <w:t>高度依赖互动展品和实验装置，强调探究式与问题导向学习</w:t>
            </w:r>
            <w:r>
              <w:fldChar w:fldCharType="begin"/>
            </w:r>
            <w:r>
              <w:instrText xml:space="preserve"> HYPERLINK \l "fn19" \h </w:instrText>
            </w:r>
            <w:r>
              <w:fldChar w:fldCharType="separate"/>
            </w:r>
            <w:r>
              <w:rPr>
                <w:rFonts w:ascii="inter" w:hAnsi="inter" w:eastAsia="inter" w:cs="inter"/>
                <w:color w:val="000000"/>
                <w:sz w:val="17"/>
                <w:u w:val="single"/>
                <w:vertAlign w:val="superscript"/>
              </w:rPr>
              <w:t>[19]</w:t>
            </w:r>
            <w:r>
              <w:rPr>
                <w:rFonts w:ascii="inter" w:hAnsi="inter" w:eastAsia="inter" w:cs="inter"/>
                <w:color w:val="000000"/>
                <w:sz w:val="17"/>
                <w:u w:val="single"/>
                <w:vertAlign w:val="superscript"/>
              </w:rPr>
              <w:fldChar w:fldCharType="end"/>
            </w:r>
            <w:r>
              <w:rPr>
                <w:rFonts w:ascii="inter" w:hAnsi="inter" w:eastAsia="inter" w:cs="inter"/>
                <w:color w:val="000000"/>
                <w:sz w:val="17"/>
              </w:rPr>
              <w:t>。</w:t>
            </w:r>
          </w:p>
        </w:tc>
        <w:tc>
          <w:tcPr>
            <w:tcBorders>
              <w:top w:val="single" w:color="000000" w:sz="0" w:space="0"/>
              <w:bottom w:val="single" w:color="000000" w:sz="0" w:space="0"/>
            </w:tcBorders>
          </w:tcPr>
          <w:p w14:paraId="3CB04459">
            <w:pPr>
              <w:spacing w:after="0" w:line="360" w:lineRule="auto"/>
            </w:pPr>
            <w:r>
              <w:rPr>
                <w:rFonts w:ascii="inter" w:hAnsi="inter" w:eastAsia="inter" w:cs="inter"/>
                <w:color w:val="000000"/>
                <w:sz w:val="17"/>
              </w:rPr>
              <w:t>适合实施 STEM/STEAM 教育和科学素养提升项目</w:t>
            </w:r>
            <w:r>
              <w:fldChar w:fldCharType="begin"/>
            </w:r>
            <w:r>
              <w:instrText xml:space="preserve"> HYPERLINK \l "fn11" \h </w:instrText>
            </w:r>
            <w:r>
              <w:fldChar w:fldCharType="separate"/>
            </w:r>
            <w:r>
              <w:rPr>
                <w:rFonts w:ascii="inter" w:hAnsi="inter" w:eastAsia="inter" w:cs="inter"/>
                <w:color w:val="000000"/>
                <w:sz w:val="17"/>
                <w:u w:val="single"/>
                <w:vertAlign w:val="superscript"/>
              </w:rPr>
              <w:t>[11]</w:t>
            </w:r>
            <w:r>
              <w:rPr>
                <w:rFonts w:ascii="inter" w:hAnsi="inter" w:eastAsia="inter" w:cs="inter"/>
                <w:color w:val="000000"/>
                <w:sz w:val="17"/>
                <w:u w:val="single"/>
                <w:vertAlign w:val="superscript"/>
              </w:rPr>
              <w:fldChar w:fldCharType="end"/>
            </w:r>
            <w:r>
              <w:fldChar w:fldCharType="begin"/>
            </w:r>
            <w:r>
              <w:instrText xml:space="preserve"> HYPERLINK \l "fn13" \h </w:instrText>
            </w:r>
            <w:r>
              <w:fldChar w:fldCharType="separate"/>
            </w:r>
            <w:r>
              <w:rPr>
                <w:rFonts w:ascii="inter" w:hAnsi="inter" w:eastAsia="inter" w:cs="inter"/>
                <w:color w:val="000000"/>
                <w:sz w:val="17"/>
                <w:u w:val="single"/>
                <w:vertAlign w:val="superscript"/>
              </w:rPr>
              <w:t>[13]</w:t>
            </w:r>
            <w:r>
              <w:rPr>
                <w:rFonts w:ascii="inter" w:hAnsi="inter" w:eastAsia="inter" w:cs="inter"/>
                <w:color w:val="000000"/>
                <w:sz w:val="17"/>
                <w:u w:val="single"/>
                <w:vertAlign w:val="superscript"/>
              </w:rPr>
              <w:fldChar w:fldCharType="end"/>
            </w:r>
            <w:r>
              <w:rPr>
                <w:rFonts w:ascii="inter" w:hAnsi="inter" w:eastAsia="inter" w:cs="inter"/>
                <w:color w:val="000000"/>
                <w:sz w:val="17"/>
              </w:rPr>
              <w:t>。</w:t>
            </w:r>
          </w:p>
        </w:tc>
      </w:tr>
      <w:tr w14:paraId="3170FCE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B3D075B">
            <w:pPr>
              <w:spacing w:after="0" w:line="360" w:lineRule="auto"/>
            </w:pPr>
            <w:r>
              <w:rPr>
                <w:rFonts w:ascii="inter" w:hAnsi="inter" w:eastAsia="inter" w:cs="inter"/>
                <w:color w:val="000000"/>
                <w:sz w:val="17"/>
              </w:rPr>
              <w:t>艺术与设计博物馆</w:t>
            </w:r>
          </w:p>
        </w:tc>
        <w:tc>
          <w:tcPr>
            <w:tcBorders>
              <w:top w:val="single" w:color="000000" w:sz="0" w:space="0"/>
              <w:bottom w:val="single" w:color="000000" w:sz="0" w:space="0"/>
              <w:right w:val="single" w:color="000000" w:sz="0" w:space="0"/>
            </w:tcBorders>
          </w:tcPr>
          <w:p w14:paraId="0BDBEAC8">
            <w:pPr>
              <w:spacing w:after="0" w:line="360" w:lineRule="auto"/>
            </w:pPr>
            <w:r>
              <w:rPr>
                <w:rFonts w:ascii="inter" w:hAnsi="inter" w:eastAsia="inter" w:cs="inter"/>
                <w:color w:val="000000"/>
                <w:sz w:val="17"/>
              </w:rPr>
              <w:t>视觉艺术、设计、工艺与创意产业。</w:t>
            </w:r>
          </w:p>
        </w:tc>
        <w:tc>
          <w:tcPr>
            <w:tcBorders>
              <w:top w:val="single" w:color="000000" w:sz="0" w:space="0"/>
              <w:bottom w:val="single" w:color="000000" w:sz="0" w:space="0"/>
              <w:right w:val="single" w:color="000000" w:sz="0" w:space="0"/>
            </w:tcBorders>
          </w:tcPr>
          <w:p w14:paraId="302B4B7D">
            <w:pPr>
              <w:spacing w:after="0" w:line="360" w:lineRule="auto"/>
            </w:pPr>
            <w:r>
              <w:rPr>
                <w:rFonts w:ascii="inter" w:hAnsi="inter" w:eastAsia="inter" w:cs="inter"/>
                <w:color w:val="000000"/>
                <w:sz w:val="17"/>
              </w:rPr>
              <w:t>注重审美体验与创作工作坊，强调观众参与与表达。</w:t>
            </w:r>
          </w:p>
        </w:tc>
        <w:tc>
          <w:tcPr>
            <w:tcBorders>
              <w:top w:val="single" w:color="000000" w:sz="0" w:space="0"/>
              <w:bottom w:val="single" w:color="000000" w:sz="0" w:space="0"/>
            </w:tcBorders>
          </w:tcPr>
          <w:p w14:paraId="526E556A">
            <w:pPr>
              <w:spacing w:after="0" w:line="360" w:lineRule="auto"/>
            </w:pPr>
            <w:r>
              <w:rPr>
                <w:rFonts w:ascii="inter" w:hAnsi="inter" w:eastAsia="inter" w:cs="inter"/>
                <w:color w:val="000000"/>
                <w:sz w:val="17"/>
              </w:rPr>
              <w:t>便于开展跨学科艺术融合项目，支持创新能力发展</w:t>
            </w:r>
            <w:r>
              <w:fldChar w:fldCharType="begin"/>
            </w:r>
            <w:r>
              <w:instrText xml:space="preserve"> HYPERLINK \l "fn11" \h </w:instrText>
            </w:r>
            <w:r>
              <w:fldChar w:fldCharType="separate"/>
            </w:r>
            <w:r>
              <w:rPr>
                <w:rFonts w:ascii="inter" w:hAnsi="inter" w:eastAsia="inter" w:cs="inter"/>
                <w:color w:val="000000"/>
                <w:sz w:val="17"/>
                <w:u w:val="single"/>
                <w:vertAlign w:val="superscript"/>
              </w:rPr>
              <w:t>[11]</w:t>
            </w:r>
            <w:r>
              <w:rPr>
                <w:rFonts w:ascii="inter" w:hAnsi="inter" w:eastAsia="inter" w:cs="inter"/>
                <w:color w:val="000000"/>
                <w:sz w:val="17"/>
                <w:u w:val="single"/>
                <w:vertAlign w:val="superscript"/>
              </w:rPr>
              <w:fldChar w:fldCharType="end"/>
            </w:r>
            <w:r>
              <w:fldChar w:fldCharType="begin"/>
            </w:r>
            <w:r>
              <w:instrText xml:space="preserve"> HYPERLINK \l "fn12" \h </w:instrText>
            </w:r>
            <w:r>
              <w:fldChar w:fldCharType="separate"/>
            </w:r>
            <w:r>
              <w:rPr>
                <w:rFonts w:ascii="inter" w:hAnsi="inter" w:eastAsia="inter" w:cs="inter"/>
                <w:color w:val="000000"/>
                <w:sz w:val="17"/>
                <w:u w:val="single"/>
                <w:vertAlign w:val="superscript"/>
              </w:rPr>
              <w:t>[12]</w:t>
            </w:r>
            <w:r>
              <w:rPr>
                <w:rFonts w:ascii="inter" w:hAnsi="inter" w:eastAsia="inter" w:cs="inter"/>
                <w:color w:val="000000"/>
                <w:sz w:val="17"/>
                <w:u w:val="single"/>
                <w:vertAlign w:val="superscript"/>
              </w:rPr>
              <w:fldChar w:fldCharType="end"/>
            </w:r>
            <w:r>
              <w:rPr>
                <w:rFonts w:ascii="inter" w:hAnsi="inter" w:eastAsia="inter" w:cs="inter"/>
                <w:color w:val="000000"/>
                <w:sz w:val="17"/>
              </w:rPr>
              <w:t>。</w:t>
            </w:r>
          </w:p>
        </w:tc>
      </w:tr>
      <w:tr w14:paraId="54D00DF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0786F1F">
            <w:pPr>
              <w:spacing w:after="0" w:line="360" w:lineRule="auto"/>
            </w:pPr>
            <w:r>
              <w:rPr>
                <w:rFonts w:ascii="inter" w:hAnsi="inter" w:eastAsia="inter" w:cs="inter"/>
                <w:color w:val="000000"/>
                <w:sz w:val="17"/>
              </w:rPr>
              <w:t>纪念性与专题博物馆</w:t>
            </w:r>
          </w:p>
        </w:tc>
        <w:tc>
          <w:tcPr>
            <w:tcBorders>
              <w:top w:val="single" w:color="000000" w:sz="0" w:space="0"/>
              <w:bottom w:val="single" w:color="000000" w:sz="0" w:space="0"/>
              <w:right w:val="single" w:color="000000" w:sz="0" w:space="0"/>
            </w:tcBorders>
          </w:tcPr>
          <w:p w14:paraId="16222106">
            <w:pPr>
              <w:spacing w:after="0" w:line="360" w:lineRule="auto"/>
            </w:pPr>
            <w:r>
              <w:rPr>
                <w:rFonts w:ascii="inter" w:hAnsi="inter" w:eastAsia="inter" w:cs="inter"/>
                <w:color w:val="000000"/>
                <w:sz w:val="17"/>
              </w:rPr>
              <w:t>重大历史事件、人物或社会议题。</w:t>
            </w:r>
          </w:p>
        </w:tc>
        <w:tc>
          <w:tcPr>
            <w:tcBorders>
              <w:top w:val="single" w:color="000000" w:sz="0" w:space="0"/>
              <w:bottom w:val="single" w:color="000000" w:sz="0" w:space="0"/>
              <w:right w:val="single" w:color="000000" w:sz="0" w:space="0"/>
            </w:tcBorders>
          </w:tcPr>
          <w:p w14:paraId="7814D605">
            <w:pPr>
              <w:spacing w:after="0" w:line="360" w:lineRule="auto"/>
            </w:pPr>
            <w:r>
              <w:rPr>
                <w:rFonts w:ascii="inter" w:hAnsi="inter" w:eastAsia="inter" w:cs="inter"/>
                <w:color w:val="000000"/>
                <w:sz w:val="17"/>
              </w:rPr>
              <w:t>以情感叙事和多视角解读为主，常采用沉浸式场景与证言材料。</w:t>
            </w:r>
          </w:p>
        </w:tc>
        <w:tc>
          <w:tcPr>
            <w:tcBorders>
              <w:top w:val="single" w:color="000000" w:sz="0" w:space="0"/>
              <w:bottom w:val="single" w:color="000000" w:sz="0" w:space="0"/>
            </w:tcBorders>
          </w:tcPr>
          <w:p w14:paraId="2684CCF7">
            <w:pPr>
              <w:spacing w:after="0" w:line="360" w:lineRule="auto"/>
            </w:pPr>
            <w:r>
              <w:rPr>
                <w:rFonts w:ascii="inter" w:hAnsi="inter" w:eastAsia="inter" w:cs="inter"/>
                <w:color w:val="000000"/>
                <w:sz w:val="17"/>
              </w:rPr>
              <w:t>有利于伦理教育、价值观引导与批判性思维培养。</w:t>
            </w:r>
          </w:p>
        </w:tc>
      </w:tr>
    </w:tbl>
    <w:p w14:paraId="647C605F"/>
    <w:p w14:paraId="71FF957B">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4C3C1E0E">
      <w:pPr>
        <w:spacing w:before="315" w:after="105" w:line="360" w:lineRule="auto"/>
        <w:ind w:left="-30"/>
        <w:jc w:val="left"/>
      </w:pPr>
      <w:bookmarkStart w:id="41" w:name="五_科技驱动下的博物馆教育新趋势"/>
      <w:r>
        <w:rPr>
          <w:rFonts w:ascii="inter" w:hAnsi="inter" w:eastAsia="inter" w:cs="inter"/>
          <w:b/>
          <w:color w:val="000000"/>
          <w:sz w:val="24"/>
        </w:rPr>
        <w:t>五、科技驱动下的博物馆教育新趋势</w:t>
      </w:r>
      <w:bookmarkEnd w:id="41"/>
    </w:p>
    <w:p w14:paraId="19F4A568">
      <w:pPr>
        <w:spacing w:after="210" w:line="360" w:lineRule="auto"/>
      </w:pPr>
      <w:r>
        <w:rPr>
          <w:rFonts w:ascii="inter" w:hAnsi="inter" w:eastAsia="inter" w:cs="inter"/>
          <w:color w:val="000000"/>
        </w:rPr>
        <w:t>（一）人工智能（AI）在博物馆教育中的应用</w:t>
      </w:r>
    </w:p>
    <w:p w14:paraId="76CECB4B">
      <w:pPr>
        <w:numPr>
          <w:ilvl w:val="0"/>
          <w:numId w:val="6"/>
        </w:numPr>
        <w:spacing w:before="105" w:after="105" w:line="360" w:lineRule="auto"/>
      </w:pPr>
      <w:r>
        <w:rPr>
          <w:rFonts w:ascii="inter" w:hAnsi="inter" w:eastAsia="inter" w:cs="inter"/>
          <w:color w:val="000000"/>
          <w:sz w:val="21"/>
        </w:rPr>
        <w:t>优势分析</w:t>
      </w:r>
    </w:p>
    <w:p w14:paraId="1224B1A2">
      <w:pPr>
        <w:numPr>
          <w:ilvl w:val="0"/>
          <w:numId w:val="7"/>
        </w:numPr>
        <w:spacing w:before="105" w:after="105" w:line="360" w:lineRule="auto"/>
      </w:pPr>
      <w:r>
        <w:rPr>
          <w:rFonts w:ascii="inter" w:hAnsi="inter" w:eastAsia="inter" w:cs="inter"/>
          <w:color w:val="000000"/>
          <w:sz w:val="21"/>
        </w:rPr>
        <w:t>AI 导览与虚拟助手可以在一定程度上提供个性化参观路径、实时问答与语言翻译，提升学习效率与参与度。</w:t>
      </w:r>
      <w:bookmarkStart w:id="42" w:name="fnref10_2"/>
      <w:bookmarkEnd w:id="42"/>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43" w:name="fnref9_2"/>
      <w:bookmarkEnd w:id="43"/>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4406B70C">
      <w:pPr>
        <w:numPr>
          <w:ilvl w:val="0"/>
          <w:numId w:val="7"/>
        </w:numPr>
        <w:spacing w:before="105" w:after="105" w:line="360" w:lineRule="auto"/>
      </w:pPr>
      <w:r>
        <w:rPr>
          <w:rFonts w:ascii="inter" w:hAnsi="inter" w:eastAsia="inter" w:cs="inter"/>
          <w:color w:val="000000"/>
          <w:sz w:val="21"/>
        </w:rPr>
        <w:t>AI 驱动的数据分析有助于博物馆深度理解观众行为和学习偏好，为教育性展览设计和项目评估提供量化依据。</w:t>
      </w:r>
      <w:bookmarkStart w:id="44" w:name="fnref25"/>
      <w:bookmarkEnd w:id="44"/>
      <w:r>
        <w:fldChar w:fldCharType="begin"/>
      </w:r>
      <w:r>
        <w:instrText xml:space="preserve"> HYPERLINK \l "fn25" \h </w:instrText>
      </w:r>
      <w:r>
        <w:fldChar w:fldCharType="separate"/>
      </w:r>
      <w:r>
        <w:rPr>
          <w:rFonts w:ascii="inter" w:hAnsi="inter" w:eastAsia="inter" w:cs="inter"/>
          <w:color w:val="000000"/>
          <w:sz w:val="21"/>
          <w:u w:val="single"/>
          <w:vertAlign w:val="superscript"/>
        </w:rPr>
        <w:t>[25]</w:t>
      </w:r>
      <w:r>
        <w:rPr>
          <w:rFonts w:ascii="inter" w:hAnsi="inter" w:eastAsia="inter" w:cs="inter"/>
          <w:color w:val="000000"/>
          <w:sz w:val="21"/>
          <w:u w:val="single"/>
          <w:vertAlign w:val="superscript"/>
        </w:rPr>
        <w:fldChar w:fldCharType="end"/>
      </w:r>
      <w:bookmarkStart w:id="45" w:name="fnref9_3"/>
      <w:bookmarkEnd w:id="45"/>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06296DE4">
      <w:pPr>
        <w:numPr>
          <w:ilvl w:val="0"/>
          <w:numId w:val="8"/>
        </w:numPr>
        <w:spacing w:before="105" w:after="105" w:line="360" w:lineRule="auto"/>
      </w:pPr>
      <w:r>
        <w:rPr>
          <w:rFonts w:ascii="inter" w:hAnsi="inter" w:eastAsia="inter" w:cs="inter"/>
          <w:color w:val="000000"/>
          <w:sz w:val="21"/>
        </w:rPr>
        <w:t>潜在局限</w:t>
      </w:r>
    </w:p>
    <w:p w14:paraId="34BC2D42">
      <w:pPr>
        <w:numPr>
          <w:ilvl w:val="0"/>
          <w:numId w:val="9"/>
        </w:numPr>
        <w:spacing w:before="105" w:after="105" w:line="360" w:lineRule="auto"/>
      </w:pPr>
      <w:r>
        <w:rPr>
          <w:rFonts w:ascii="inter" w:hAnsi="inter" w:eastAsia="inter" w:cs="inter"/>
          <w:color w:val="000000"/>
          <w:sz w:val="21"/>
        </w:rPr>
        <w:t>算法偏见与数据隐私风险可能存在，易导致对部分群体的“隐性排除”，削弱社会包容性目标。</w:t>
      </w:r>
      <w:bookmarkStart w:id="46" w:name="fnref25_1"/>
      <w:bookmarkEnd w:id="46"/>
      <w:r>
        <w:fldChar w:fldCharType="begin"/>
      </w:r>
      <w:r>
        <w:instrText xml:space="preserve"> HYPERLINK \l "fn25" \h </w:instrText>
      </w:r>
      <w:r>
        <w:fldChar w:fldCharType="separate"/>
      </w:r>
      <w:r>
        <w:rPr>
          <w:rFonts w:ascii="inter" w:hAnsi="inter" w:eastAsia="inter" w:cs="inter"/>
          <w:color w:val="000000"/>
          <w:sz w:val="21"/>
          <w:u w:val="single"/>
          <w:vertAlign w:val="superscript"/>
        </w:rPr>
        <w:t>[25]</w:t>
      </w:r>
      <w:r>
        <w:rPr>
          <w:rFonts w:ascii="inter" w:hAnsi="inter" w:eastAsia="inter" w:cs="inter"/>
          <w:color w:val="000000"/>
          <w:sz w:val="21"/>
          <w:u w:val="single"/>
          <w:vertAlign w:val="superscript"/>
        </w:rPr>
        <w:fldChar w:fldCharType="end"/>
      </w:r>
    </w:p>
    <w:p w14:paraId="135892AA">
      <w:pPr>
        <w:numPr>
          <w:ilvl w:val="0"/>
          <w:numId w:val="9"/>
        </w:numPr>
        <w:spacing w:before="105" w:after="105" w:line="360" w:lineRule="auto"/>
      </w:pPr>
      <w:r>
        <w:rPr>
          <w:rFonts w:ascii="inter" w:hAnsi="inter" w:eastAsia="inter" w:cs="inter"/>
          <w:color w:val="000000"/>
          <w:sz w:val="21"/>
        </w:rPr>
        <w:t>过度依赖 AI 讲解可能在一定程度上削弱人与人之间的互动与共同讨论，不利于社会情感学习。</w:t>
      </w:r>
    </w:p>
    <w:p w14:paraId="217F8980">
      <w:pPr>
        <w:numPr>
          <w:ilvl w:val="0"/>
          <w:numId w:val="10"/>
        </w:numPr>
        <w:spacing w:before="105" w:after="105" w:line="360" w:lineRule="auto"/>
      </w:pPr>
      <w:r>
        <w:rPr>
          <w:rFonts w:ascii="inter" w:hAnsi="inter" w:eastAsia="inter" w:cs="inter"/>
          <w:color w:val="000000"/>
          <w:sz w:val="21"/>
        </w:rPr>
        <w:t>适用条件</w:t>
      </w:r>
    </w:p>
    <w:p w14:paraId="3513F03D">
      <w:pPr>
        <w:numPr>
          <w:ilvl w:val="0"/>
          <w:numId w:val="11"/>
        </w:numPr>
        <w:spacing w:before="105" w:after="105" w:line="360" w:lineRule="auto"/>
      </w:pPr>
      <w:r>
        <w:rPr>
          <w:rFonts w:ascii="inter" w:hAnsi="inter" w:eastAsia="inter" w:cs="inter"/>
          <w:color w:val="000000"/>
          <w:sz w:val="21"/>
        </w:rPr>
        <w:t>观众群体具有基本数字素养，馆内网络与终端设施完善。</w:t>
      </w:r>
    </w:p>
    <w:p w14:paraId="6CD45388">
      <w:pPr>
        <w:numPr>
          <w:ilvl w:val="0"/>
          <w:numId w:val="11"/>
        </w:numPr>
        <w:spacing w:before="105" w:after="105" w:line="360" w:lineRule="auto"/>
      </w:pPr>
      <w:r>
        <w:rPr>
          <w:rFonts w:ascii="inter" w:hAnsi="inter" w:eastAsia="inter" w:cs="inter"/>
          <w:color w:val="000000"/>
          <w:sz w:val="21"/>
        </w:rPr>
        <w:t>机构建立了清晰的数据伦理与隐私保护规则，并将 AI 工具与人工教育工作者的引导结合，而非完全替代。</w:t>
      </w:r>
      <w:bookmarkStart w:id="47" w:name="fnref9_4"/>
      <w:bookmarkEnd w:id="47"/>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bookmarkStart w:id="48" w:name="fnref25_2"/>
      <w:bookmarkEnd w:id="48"/>
      <w:r>
        <w:fldChar w:fldCharType="begin"/>
      </w:r>
      <w:r>
        <w:instrText xml:space="preserve"> HYPERLINK \l "fn25" \h </w:instrText>
      </w:r>
      <w:r>
        <w:fldChar w:fldCharType="separate"/>
      </w:r>
      <w:r>
        <w:rPr>
          <w:rFonts w:ascii="inter" w:hAnsi="inter" w:eastAsia="inter" w:cs="inter"/>
          <w:color w:val="000000"/>
          <w:sz w:val="21"/>
          <w:u w:val="single"/>
          <w:vertAlign w:val="superscript"/>
        </w:rPr>
        <w:t>[25]</w:t>
      </w:r>
      <w:r>
        <w:rPr>
          <w:rFonts w:ascii="inter" w:hAnsi="inter" w:eastAsia="inter" w:cs="inter"/>
          <w:color w:val="000000"/>
          <w:sz w:val="21"/>
          <w:u w:val="single"/>
          <w:vertAlign w:val="superscript"/>
        </w:rPr>
        <w:fldChar w:fldCharType="end"/>
      </w:r>
    </w:p>
    <w:p w14:paraId="6739E4AC">
      <w:pPr>
        <w:spacing w:after="210" w:line="360" w:lineRule="auto"/>
      </w:pPr>
      <w:r>
        <w:rPr>
          <w:rFonts w:ascii="inter" w:hAnsi="inter" w:eastAsia="inter" w:cs="inter"/>
          <w:color w:val="000000"/>
        </w:rPr>
        <w:t>（二）虚拟现实（VR/AR/XR）与沉浸式体验</w:t>
      </w:r>
    </w:p>
    <w:p w14:paraId="26E06F21">
      <w:pPr>
        <w:numPr>
          <w:ilvl w:val="0"/>
          <w:numId w:val="12"/>
        </w:numPr>
        <w:spacing w:before="105" w:after="105" w:line="360" w:lineRule="auto"/>
      </w:pPr>
      <w:r>
        <w:rPr>
          <w:rFonts w:ascii="inter" w:hAnsi="inter" w:eastAsia="inter" w:cs="inter"/>
          <w:color w:val="000000"/>
          <w:sz w:val="21"/>
        </w:rPr>
        <w:t>优势分析</w:t>
      </w:r>
    </w:p>
    <w:p w14:paraId="4BBFB973">
      <w:pPr>
        <w:numPr>
          <w:ilvl w:val="0"/>
          <w:numId w:val="13"/>
        </w:numPr>
        <w:spacing w:before="105" w:after="105" w:line="360" w:lineRule="auto"/>
      </w:pPr>
      <w:r>
        <w:rPr>
          <w:rFonts w:ascii="inter" w:hAnsi="inter" w:eastAsia="inter" w:cs="inter"/>
          <w:color w:val="000000"/>
          <w:sz w:val="21"/>
        </w:rPr>
        <w:t>VR/AR 技术可重构历史场景与不可移动文化遗产，为观众提供时空穿越感的沉浸式学习，增强记忆与理解深度。</w:t>
      </w:r>
      <w:bookmarkStart w:id="49" w:name="fnref10_3"/>
      <w:bookmarkEnd w:id="49"/>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50" w:name="fnref9_5"/>
      <w:bookmarkEnd w:id="50"/>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4CD38F8E">
      <w:pPr>
        <w:numPr>
          <w:ilvl w:val="0"/>
          <w:numId w:val="13"/>
        </w:numPr>
        <w:spacing w:before="105" w:after="105" w:line="360" w:lineRule="auto"/>
      </w:pPr>
      <w:r>
        <w:rPr>
          <w:rFonts w:ascii="inter" w:hAnsi="inter" w:eastAsia="inter" w:cs="inter"/>
          <w:color w:val="000000"/>
          <w:sz w:val="21"/>
        </w:rPr>
        <w:t>对于无法亲临现场的观众，虚拟展馆和在线沉浸体验有助于扩大教育覆盖范围，提升教育公平性。</w:t>
      </w:r>
    </w:p>
    <w:p w14:paraId="1E3E1261">
      <w:pPr>
        <w:numPr>
          <w:ilvl w:val="0"/>
          <w:numId w:val="14"/>
        </w:numPr>
        <w:spacing w:before="105" w:after="105" w:line="360" w:lineRule="auto"/>
      </w:pPr>
      <w:r>
        <w:rPr>
          <w:rFonts w:ascii="inter" w:hAnsi="inter" w:eastAsia="inter" w:cs="inter"/>
          <w:color w:val="000000"/>
          <w:sz w:val="21"/>
        </w:rPr>
        <w:t>潜在局限</w:t>
      </w:r>
    </w:p>
    <w:p w14:paraId="5C226F5B">
      <w:pPr>
        <w:numPr>
          <w:ilvl w:val="0"/>
          <w:numId w:val="15"/>
        </w:numPr>
        <w:spacing w:before="105" w:after="105" w:line="360" w:lineRule="auto"/>
      </w:pPr>
      <w:r>
        <w:rPr>
          <w:rFonts w:ascii="inter" w:hAnsi="inter" w:eastAsia="inter" w:cs="inter"/>
          <w:color w:val="000000"/>
          <w:sz w:val="21"/>
        </w:rPr>
        <w:t>高投入与高维护成本可能存在，部分中小机构难以长期负担。</w:t>
      </w:r>
      <w:bookmarkStart w:id="51" w:name="fnref9_6"/>
      <w:bookmarkEnd w:id="51"/>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363BA7CD">
      <w:pPr>
        <w:numPr>
          <w:ilvl w:val="0"/>
          <w:numId w:val="15"/>
        </w:numPr>
        <w:spacing w:before="105" w:after="105" w:line="360" w:lineRule="auto"/>
      </w:pPr>
      <w:r>
        <w:rPr>
          <w:rFonts w:ascii="inter" w:hAnsi="inter" w:eastAsia="inter" w:cs="inter"/>
          <w:color w:val="000000"/>
          <w:sz w:val="21"/>
        </w:rPr>
        <w:t>若设计不当，容易出现“技术炫技”大于教育价值的倾向，使学习目标弱化。</w:t>
      </w:r>
    </w:p>
    <w:p w14:paraId="6CAE659F">
      <w:pPr>
        <w:numPr>
          <w:ilvl w:val="0"/>
          <w:numId w:val="16"/>
        </w:numPr>
        <w:spacing w:before="105" w:after="105" w:line="360" w:lineRule="auto"/>
      </w:pPr>
      <w:r>
        <w:rPr>
          <w:rFonts w:ascii="inter" w:hAnsi="inter" w:eastAsia="inter" w:cs="inter"/>
          <w:color w:val="000000"/>
          <w:sz w:val="21"/>
        </w:rPr>
        <w:t>适用条件</w:t>
      </w:r>
    </w:p>
    <w:p w14:paraId="760782F3">
      <w:pPr>
        <w:numPr>
          <w:ilvl w:val="0"/>
          <w:numId w:val="17"/>
        </w:numPr>
        <w:spacing w:before="105" w:after="105" w:line="360" w:lineRule="auto"/>
      </w:pPr>
      <w:r>
        <w:rPr>
          <w:rFonts w:ascii="inter" w:hAnsi="inter" w:eastAsia="inter" w:cs="inter"/>
          <w:color w:val="000000"/>
          <w:sz w:val="21"/>
        </w:rPr>
        <w:t>有明确教育目标与学习成果设计，将 VR/AR 视作达成学习目标的工具而非目的。</w:t>
      </w:r>
    </w:p>
    <w:p w14:paraId="581D0B55">
      <w:pPr>
        <w:numPr>
          <w:ilvl w:val="0"/>
          <w:numId w:val="17"/>
        </w:numPr>
        <w:spacing w:before="105" w:after="105" w:line="360" w:lineRule="auto"/>
      </w:pPr>
      <w:r>
        <w:rPr>
          <w:rFonts w:ascii="inter" w:hAnsi="inter" w:eastAsia="inter" w:cs="inter"/>
          <w:color w:val="000000"/>
          <w:sz w:val="21"/>
        </w:rPr>
        <w:t>与线下实物体验、讲解与讨论相结合，形成混合式学习路径。</w:t>
      </w:r>
    </w:p>
    <w:p w14:paraId="222322E7">
      <w:pPr>
        <w:spacing w:after="210" w:line="360" w:lineRule="auto"/>
      </w:pPr>
      <w:r>
        <w:rPr>
          <w:rFonts w:ascii="inter" w:hAnsi="inter" w:eastAsia="inter" w:cs="inter"/>
          <w:color w:val="000000"/>
        </w:rPr>
        <w:t>（三）大数据与观众研究深化</w:t>
      </w:r>
    </w:p>
    <w:p w14:paraId="230B01DA">
      <w:pPr>
        <w:numPr>
          <w:ilvl w:val="0"/>
          <w:numId w:val="18"/>
        </w:numPr>
        <w:spacing w:before="105" w:after="105" w:line="360" w:lineRule="auto"/>
      </w:pPr>
      <w:r>
        <w:rPr>
          <w:rFonts w:ascii="inter" w:hAnsi="inter" w:eastAsia="inter" w:cs="inter"/>
          <w:color w:val="000000"/>
          <w:sz w:val="21"/>
        </w:rPr>
        <w:t>优势分析</w:t>
      </w:r>
    </w:p>
    <w:p w14:paraId="732F7EE8">
      <w:pPr>
        <w:numPr>
          <w:ilvl w:val="0"/>
          <w:numId w:val="19"/>
        </w:numPr>
        <w:spacing w:before="105" w:after="105" w:line="360" w:lineRule="auto"/>
      </w:pPr>
      <w:r>
        <w:rPr>
          <w:rFonts w:ascii="inter" w:hAnsi="inter" w:eastAsia="inter" w:cs="inter"/>
          <w:color w:val="000000"/>
          <w:sz w:val="21"/>
        </w:rPr>
        <w:t>大数据分析可系统识别观众结构、参与频率与满意度，优化教育项目配置，提高资源使用效率。</w:t>
      </w:r>
      <w:bookmarkStart w:id="52" w:name="fnref15_2"/>
      <w:bookmarkEnd w:id="52"/>
      <w:r>
        <w:fldChar w:fldCharType="begin"/>
      </w:r>
      <w:r>
        <w:instrText xml:space="preserve"> HYPERLINK \l "fn15" \h </w:instrText>
      </w:r>
      <w:r>
        <w:fldChar w:fldCharType="separate"/>
      </w:r>
      <w:r>
        <w:rPr>
          <w:rFonts w:ascii="inter" w:hAnsi="inter" w:eastAsia="inter" w:cs="inter"/>
          <w:color w:val="000000"/>
          <w:sz w:val="21"/>
          <w:u w:val="single"/>
          <w:vertAlign w:val="superscript"/>
        </w:rPr>
        <w:t>[15]</w:t>
      </w:r>
      <w:r>
        <w:rPr>
          <w:rFonts w:ascii="inter" w:hAnsi="inter" w:eastAsia="inter" w:cs="inter"/>
          <w:color w:val="000000"/>
          <w:sz w:val="21"/>
          <w:u w:val="single"/>
          <w:vertAlign w:val="superscript"/>
        </w:rPr>
        <w:fldChar w:fldCharType="end"/>
      </w:r>
      <w:bookmarkStart w:id="53" w:name="fnref8_1"/>
      <w:bookmarkEnd w:id="53"/>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bookmarkStart w:id="54" w:name="fnref7_3"/>
      <w:bookmarkEnd w:id="54"/>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5E22A1D4">
      <w:pPr>
        <w:numPr>
          <w:ilvl w:val="0"/>
          <w:numId w:val="19"/>
        </w:numPr>
        <w:spacing w:before="105" w:after="105" w:line="360" w:lineRule="auto"/>
      </w:pPr>
      <w:r>
        <w:rPr>
          <w:rFonts w:ascii="inter" w:hAnsi="inter" w:eastAsia="inter" w:cs="inter"/>
          <w:color w:val="000000"/>
          <w:sz w:val="21"/>
        </w:rPr>
        <w:t>通过对观众行为与反馈的持续跟踪，博物馆可在一定程度上实现“证据驱动”的教育创新，提高项目质量与社会影响力。</w:t>
      </w:r>
    </w:p>
    <w:p w14:paraId="0B618F5C">
      <w:pPr>
        <w:numPr>
          <w:ilvl w:val="0"/>
          <w:numId w:val="20"/>
        </w:numPr>
        <w:spacing w:before="105" w:after="105" w:line="360" w:lineRule="auto"/>
      </w:pPr>
      <w:r>
        <w:rPr>
          <w:rFonts w:ascii="inter" w:hAnsi="inter" w:eastAsia="inter" w:cs="inter"/>
          <w:color w:val="000000"/>
          <w:sz w:val="21"/>
        </w:rPr>
        <w:t>潜在局限</w:t>
      </w:r>
    </w:p>
    <w:p w14:paraId="0017A1C0">
      <w:pPr>
        <w:numPr>
          <w:ilvl w:val="0"/>
          <w:numId w:val="21"/>
        </w:numPr>
        <w:spacing w:before="105" w:after="105" w:line="360" w:lineRule="auto"/>
      </w:pPr>
      <w:r>
        <w:rPr>
          <w:rFonts w:ascii="inter" w:hAnsi="inter" w:eastAsia="inter" w:cs="inter"/>
          <w:color w:val="000000"/>
          <w:sz w:val="21"/>
        </w:rPr>
        <w:t>数据收集与分析能力在机构间差异较大，部分博物馆缺乏专业人员与技术平台。</w:t>
      </w:r>
      <w:bookmarkStart w:id="55" w:name="fnref8_2"/>
      <w:bookmarkEnd w:id="55"/>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bookmarkStart w:id="56" w:name="fnref15_3"/>
      <w:bookmarkEnd w:id="56"/>
      <w:r>
        <w:fldChar w:fldCharType="begin"/>
      </w:r>
      <w:r>
        <w:instrText xml:space="preserve"> HYPERLINK \l "fn15" \h </w:instrText>
      </w:r>
      <w:r>
        <w:fldChar w:fldCharType="separate"/>
      </w:r>
      <w:r>
        <w:rPr>
          <w:rFonts w:ascii="inter" w:hAnsi="inter" w:eastAsia="inter" w:cs="inter"/>
          <w:color w:val="000000"/>
          <w:sz w:val="21"/>
          <w:u w:val="single"/>
          <w:vertAlign w:val="superscript"/>
        </w:rPr>
        <w:t>[15]</w:t>
      </w:r>
      <w:r>
        <w:rPr>
          <w:rFonts w:ascii="inter" w:hAnsi="inter" w:eastAsia="inter" w:cs="inter"/>
          <w:color w:val="000000"/>
          <w:sz w:val="21"/>
          <w:u w:val="single"/>
          <w:vertAlign w:val="superscript"/>
        </w:rPr>
        <w:fldChar w:fldCharType="end"/>
      </w:r>
    </w:p>
    <w:p w14:paraId="5AF8A720">
      <w:pPr>
        <w:numPr>
          <w:ilvl w:val="0"/>
          <w:numId w:val="21"/>
        </w:numPr>
        <w:spacing w:before="105" w:after="105" w:line="360" w:lineRule="auto"/>
      </w:pPr>
      <w:r>
        <w:rPr>
          <w:rFonts w:ascii="inter" w:hAnsi="inter" w:eastAsia="inter" w:cs="inter"/>
          <w:color w:val="000000"/>
          <w:sz w:val="21"/>
        </w:rPr>
        <w:t>过度量化可能忽略情感体验、价值观变化等难以简单数字化的教育成果。</w:t>
      </w:r>
    </w:p>
    <w:p w14:paraId="42C34A28">
      <w:pPr>
        <w:numPr>
          <w:ilvl w:val="0"/>
          <w:numId w:val="22"/>
        </w:numPr>
        <w:spacing w:before="105" w:after="105" w:line="360" w:lineRule="auto"/>
      </w:pPr>
      <w:r>
        <w:rPr>
          <w:rFonts w:ascii="inter" w:hAnsi="inter" w:eastAsia="inter" w:cs="inter"/>
          <w:color w:val="000000"/>
          <w:sz w:val="21"/>
        </w:rPr>
        <w:t>适用条件</w:t>
      </w:r>
    </w:p>
    <w:p w14:paraId="158BD624">
      <w:pPr>
        <w:numPr>
          <w:ilvl w:val="0"/>
          <w:numId w:val="23"/>
        </w:numPr>
        <w:spacing w:before="105" w:after="105" w:line="360" w:lineRule="auto"/>
      </w:pPr>
      <w:r>
        <w:rPr>
          <w:rFonts w:ascii="inter" w:hAnsi="inter" w:eastAsia="inter" w:cs="inter"/>
          <w:color w:val="000000"/>
          <w:sz w:val="21"/>
        </w:rPr>
        <w:t>建立标准化的观众研究与数据治理流程，将定量数据与质性研究结合。</w:t>
      </w:r>
    </w:p>
    <w:p w14:paraId="2F268DBF">
      <w:pPr>
        <w:numPr>
          <w:ilvl w:val="0"/>
          <w:numId w:val="23"/>
        </w:numPr>
        <w:spacing w:before="105" w:after="105" w:line="360" w:lineRule="auto"/>
      </w:pPr>
      <w:r>
        <w:rPr>
          <w:rFonts w:ascii="inter" w:hAnsi="inter" w:eastAsia="inter" w:cs="inter"/>
          <w:color w:val="000000"/>
          <w:sz w:val="21"/>
        </w:rPr>
        <w:t>数据使用与公开在一定程度上遵循透明原则，获得观众信任与支持。</w:t>
      </w:r>
    </w:p>
    <w:p w14:paraId="160DAA87">
      <w:pPr>
        <w:spacing w:after="210" w:line="360" w:lineRule="auto"/>
      </w:pPr>
      <w:r>
        <w:rPr>
          <w:rFonts w:ascii="inter" w:hAnsi="inter" w:eastAsia="inter" w:cs="inter"/>
          <w:color w:val="000000"/>
        </w:rPr>
        <w:t>（四）STEAM 教育与跨学科学习</w:t>
      </w:r>
    </w:p>
    <w:p w14:paraId="2F49849F">
      <w:pPr>
        <w:numPr>
          <w:ilvl w:val="0"/>
          <w:numId w:val="24"/>
        </w:numPr>
        <w:spacing w:before="105" w:after="105" w:line="360" w:lineRule="auto"/>
      </w:pPr>
      <w:r>
        <w:rPr>
          <w:rFonts w:ascii="inter" w:hAnsi="inter" w:eastAsia="inter" w:cs="inter"/>
          <w:color w:val="000000"/>
          <w:sz w:val="21"/>
        </w:rPr>
        <w:t>优势分析</w:t>
      </w:r>
    </w:p>
    <w:p w14:paraId="514E88E4">
      <w:pPr>
        <w:numPr>
          <w:ilvl w:val="0"/>
          <w:numId w:val="25"/>
        </w:numPr>
        <w:spacing w:before="105" w:after="105" w:line="360" w:lineRule="auto"/>
      </w:pPr>
      <w:r>
        <w:rPr>
          <w:rFonts w:ascii="inter" w:hAnsi="inter" w:eastAsia="inter" w:cs="inter"/>
          <w:color w:val="000000"/>
          <w:sz w:val="21"/>
        </w:rPr>
        <w:t>研究指出，博物馆特别是艺术与科学类博物馆在实施 STEAM 教育方面具有独特优势，可通过项目制学习将科学、技术与艺术整合，促进学生的创造性思维与问题解决能力。</w:t>
      </w:r>
      <w:bookmarkStart w:id="57" w:name="fnref12_2"/>
      <w:bookmarkEnd w:id="57"/>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bookmarkStart w:id="58" w:name="fnref13_3"/>
      <w:bookmarkEnd w:id="58"/>
      <w:r>
        <w:fldChar w:fldCharType="begin"/>
      </w:r>
      <w:r>
        <w:instrText xml:space="preserve"> HYPERLINK \l "fn13" \h </w:instrText>
      </w:r>
      <w:r>
        <w:fldChar w:fldCharType="separate"/>
      </w:r>
      <w:r>
        <w:rPr>
          <w:rFonts w:ascii="inter" w:hAnsi="inter" w:eastAsia="inter" w:cs="inter"/>
          <w:color w:val="000000"/>
          <w:sz w:val="21"/>
          <w:u w:val="single"/>
          <w:vertAlign w:val="superscript"/>
        </w:rPr>
        <w:t>[13]</w:t>
      </w:r>
      <w:r>
        <w:rPr>
          <w:rFonts w:ascii="inter" w:hAnsi="inter" w:eastAsia="inter" w:cs="inter"/>
          <w:color w:val="000000"/>
          <w:sz w:val="21"/>
          <w:u w:val="single"/>
          <w:vertAlign w:val="superscript"/>
        </w:rPr>
        <w:fldChar w:fldCharType="end"/>
      </w:r>
      <w:bookmarkStart w:id="59" w:name="fnref14_1"/>
      <w:bookmarkEnd w:id="59"/>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bookmarkStart w:id="60" w:name="fnref11_4"/>
      <w:bookmarkEnd w:id="60"/>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p>
    <w:p w14:paraId="22CC8661">
      <w:pPr>
        <w:numPr>
          <w:ilvl w:val="0"/>
          <w:numId w:val="25"/>
        </w:numPr>
        <w:spacing w:before="105" w:after="105" w:line="360" w:lineRule="auto"/>
      </w:pPr>
      <w:r>
        <w:rPr>
          <w:rFonts w:ascii="inter" w:hAnsi="inter" w:eastAsia="inter" w:cs="inter"/>
          <w:color w:val="000000"/>
          <w:sz w:val="21"/>
        </w:rPr>
        <w:t>合作案例表明，学校与博物馆共同开发 STEAM 课程和活动，可以在一定程度上弥合课堂理论与现实应用之间的鸿沟。</w:t>
      </w:r>
      <w:bookmarkStart w:id="61" w:name="fnref13_4"/>
      <w:bookmarkEnd w:id="61"/>
      <w:r>
        <w:fldChar w:fldCharType="begin"/>
      </w:r>
      <w:r>
        <w:instrText xml:space="preserve"> HYPERLINK \l "fn13" \h </w:instrText>
      </w:r>
      <w:r>
        <w:fldChar w:fldCharType="separate"/>
      </w:r>
      <w:r>
        <w:rPr>
          <w:rFonts w:ascii="inter" w:hAnsi="inter" w:eastAsia="inter" w:cs="inter"/>
          <w:color w:val="000000"/>
          <w:sz w:val="21"/>
          <w:u w:val="single"/>
          <w:vertAlign w:val="superscript"/>
        </w:rPr>
        <w:t>[13]</w:t>
      </w:r>
      <w:r>
        <w:rPr>
          <w:rFonts w:ascii="inter" w:hAnsi="inter" w:eastAsia="inter" w:cs="inter"/>
          <w:color w:val="000000"/>
          <w:sz w:val="21"/>
          <w:u w:val="single"/>
          <w:vertAlign w:val="superscript"/>
        </w:rPr>
        <w:fldChar w:fldCharType="end"/>
      </w:r>
      <w:bookmarkStart w:id="62" w:name="fnref11_5"/>
      <w:bookmarkEnd w:id="62"/>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p>
    <w:p w14:paraId="089E5F0F">
      <w:pPr>
        <w:numPr>
          <w:ilvl w:val="0"/>
          <w:numId w:val="26"/>
        </w:numPr>
        <w:spacing w:before="105" w:after="105" w:line="360" w:lineRule="auto"/>
      </w:pPr>
      <w:r>
        <w:rPr>
          <w:rFonts w:ascii="inter" w:hAnsi="inter" w:eastAsia="inter" w:cs="inter"/>
          <w:color w:val="000000"/>
          <w:sz w:val="21"/>
        </w:rPr>
        <w:t>潜在局限</w:t>
      </w:r>
    </w:p>
    <w:p w14:paraId="0A1F293B">
      <w:pPr>
        <w:numPr>
          <w:ilvl w:val="0"/>
          <w:numId w:val="27"/>
        </w:numPr>
        <w:spacing w:before="105" w:after="105" w:line="360" w:lineRule="auto"/>
      </w:pPr>
      <w:r>
        <w:rPr>
          <w:rFonts w:ascii="inter" w:hAnsi="inter" w:eastAsia="inter" w:cs="inter"/>
          <w:color w:val="000000"/>
          <w:sz w:val="21"/>
        </w:rPr>
        <w:t>若缺乏教师培训和跨学科课程设计能力，容易将 STEAM 简化为“多学科拼盘”，而非真正整合。</w:t>
      </w:r>
    </w:p>
    <w:p w14:paraId="47F54C4F">
      <w:pPr>
        <w:numPr>
          <w:ilvl w:val="0"/>
          <w:numId w:val="27"/>
        </w:numPr>
        <w:spacing w:before="105" w:after="105" w:line="360" w:lineRule="auto"/>
      </w:pPr>
      <w:r>
        <w:rPr>
          <w:rFonts w:ascii="inter" w:hAnsi="inter" w:eastAsia="inter" w:cs="inter"/>
          <w:color w:val="000000"/>
          <w:sz w:val="21"/>
        </w:rPr>
        <w:t>项目往往对时间、装备与跨机构协同提出较高要求，中小型馆与资源有限学校面临实施难度。</w:t>
      </w:r>
    </w:p>
    <w:p w14:paraId="3D728FBB">
      <w:pPr>
        <w:numPr>
          <w:ilvl w:val="0"/>
          <w:numId w:val="28"/>
        </w:numPr>
        <w:spacing w:before="105" w:after="105" w:line="360" w:lineRule="auto"/>
      </w:pPr>
      <w:r>
        <w:rPr>
          <w:rFonts w:ascii="inter" w:hAnsi="inter" w:eastAsia="inter" w:cs="inter"/>
          <w:color w:val="000000"/>
          <w:sz w:val="21"/>
        </w:rPr>
        <w:t>适用条件</w:t>
      </w:r>
    </w:p>
    <w:p w14:paraId="0F52BAC8">
      <w:pPr>
        <w:numPr>
          <w:ilvl w:val="0"/>
          <w:numId w:val="29"/>
        </w:numPr>
        <w:spacing w:before="105" w:after="105" w:line="360" w:lineRule="auto"/>
      </w:pPr>
      <w:r>
        <w:rPr>
          <w:rFonts w:ascii="inter" w:hAnsi="inter" w:eastAsia="inter" w:cs="inter"/>
          <w:color w:val="000000"/>
          <w:sz w:val="21"/>
        </w:rPr>
        <w:t>形成稳定的馆校合作机制，明确双方在课程设计、实施与评价中的职责分工。</w:t>
      </w:r>
      <w:bookmarkStart w:id="63" w:name="fnref11_6"/>
      <w:bookmarkEnd w:id="63"/>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bookmarkStart w:id="64" w:name="fnref13_5"/>
      <w:bookmarkEnd w:id="64"/>
      <w:r>
        <w:fldChar w:fldCharType="begin"/>
      </w:r>
      <w:r>
        <w:instrText xml:space="preserve"> HYPERLINK \l "fn13" \h </w:instrText>
      </w:r>
      <w:r>
        <w:fldChar w:fldCharType="separate"/>
      </w:r>
      <w:r>
        <w:rPr>
          <w:rFonts w:ascii="inter" w:hAnsi="inter" w:eastAsia="inter" w:cs="inter"/>
          <w:color w:val="000000"/>
          <w:sz w:val="21"/>
          <w:u w:val="single"/>
          <w:vertAlign w:val="superscript"/>
        </w:rPr>
        <w:t>[13]</w:t>
      </w:r>
      <w:r>
        <w:rPr>
          <w:rFonts w:ascii="inter" w:hAnsi="inter" w:eastAsia="inter" w:cs="inter"/>
          <w:color w:val="000000"/>
          <w:sz w:val="21"/>
          <w:u w:val="single"/>
          <w:vertAlign w:val="superscript"/>
        </w:rPr>
        <w:fldChar w:fldCharType="end"/>
      </w:r>
    </w:p>
    <w:p w14:paraId="2C0CF6E6">
      <w:pPr>
        <w:numPr>
          <w:ilvl w:val="0"/>
          <w:numId w:val="29"/>
        </w:numPr>
        <w:spacing w:before="105" w:after="105" w:line="360" w:lineRule="auto"/>
      </w:pPr>
      <w:r>
        <w:rPr>
          <w:rFonts w:ascii="inter" w:hAnsi="inter" w:eastAsia="inter" w:cs="inter"/>
          <w:color w:val="000000"/>
          <w:sz w:val="21"/>
        </w:rPr>
        <w:t>通过教师培训与资源共享平台，逐步提升教育工作者的跨学科设计与指导能力。</w:t>
      </w:r>
    </w:p>
    <w:p w14:paraId="53DEDFB3">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33083F3B">
      <w:pPr>
        <w:spacing w:before="315" w:after="105" w:line="360" w:lineRule="auto"/>
        <w:ind w:left="-30"/>
        <w:jc w:val="left"/>
      </w:pPr>
      <w:bookmarkStart w:id="65" w:name="六_中国博物馆教育的未来发展展望"/>
      <w:r>
        <w:rPr>
          <w:rFonts w:ascii="inter" w:hAnsi="inter" w:eastAsia="inter" w:cs="inter"/>
          <w:b/>
          <w:color w:val="000000"/>
          <w:sz w:val="24"/>
        </w:rPr>
        <w:t>六、中国博物馆教育的未来发展展望</w:t>
      </w:r>
      <w:bookmarkEnd w:id="65"/>
    </w:p>
    <w:p w14:paraId="04C2A524">
      <w:pPr>
        <w:spacing w:after="210" w:line="360" w:lineRule="auto"/>
      </w:pPr>
      <w:r>
        <w:rPr>
          <w:rFonts w:ascii="inter" w:hAnsi="inter" w:eastAsia="inter" w:cs="inter"/>
          <w:color w:val="000000"/>
        </w:rPr>
        <w:t>（一）与国家战略的协同路径</w:t>
      </w:r>
    </w:p>
    <w:p w14:paraId="1921F621">
      <w:pPr>
        <w:spacing w:before="315" w:after="105" w:line="360" w:lineRule="auto"/>
        <w:ind w:left="-30"/>
        <w:jc w:val="left"/>
      </w:pPr>
      <w:bookmarkStart w:id="66" w:name="表_5_中国博物馆教育与国家_全球战略对接要素分解"/>
      <w:r>
        <w:rPr>
          <w:rFonts w:ascii="inter" w:hAnsi="inter" w:eastAsia="inter" w:cs="inter"/>
          <w:b/>
          <w:color w:val="000000"/>
          <w:sz w:val="24"/>
        </w:rPr>
        <w:t>表 5 中国博物馆教育与国家/全球战略对接要素分解</w:t>
      </w:r>
      <w:bookmarkEnd w:id="66"/>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979"/>
        <w:gridCol w:w="3439"/>
        <w:gridCol w:w="4422"/>
      </w:tblGrid>
      <w:tr w14:paraId="2511B8D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B470194">
            <w:pPr>
              <w:spacing w:after="0" w:line="360" w:lineRule="auto"/>
            </w:pPr>
            <w:r>
              <w:rPr>
                <w:rFonts w:ascii="inter" w:hAnsi="inter" w:eastAsia="inter" w:cs="inter"/>
                <w:color w:val="000000"/>
                <w:sz w:val="17"/>
              </w:rPr>
              <w:t>战略框架</w:t>
            </w:r>
          </w:p>
        </w:tc>
        <w:tc>
          <w:tcPr>
            <w:tcBorders>
              <w:top w:val="single" w:color="000000" w:sz="0" w:space="0"/>
              <w:bottom w:val="single" w:color="000000" w:sz="0" w:space="0"/>
              <w:right w:val="single" w:color="000000" w:sz="0" w:space="0"/>
            </w:tcBorders>
          </w:tcPr>
          <w:p w14:paraId="6243B91E">
            <w:pPr>
              <w:spacing w:after="0" w:line="360" w:lineRule="auto"/>
            </w:pPr>
            <w:r>
              <w:rPr>
                <w:rFonts w:ascii="inter" w:hAnsi="inter" w:eastAsia="inter" w:cs="inter"/>
                <w:color w:val="000000"/>
                <w:sz w:val="17"/>
              </w:rPr>
              <w:t>关联目标</w:t>
            </w:r>
          </w:p>
        </w:tc>
        <w:tc>
          <w:tcPr>
            <w:tcBorders>
              <w:top w:val="single" w:color="000000" w:sz="0" w:space="0"/>
              <w:bottom w:val="single" w:color="000000" w:sz="0" w:space="0"/>
            </w:tcBorders>
          </w:tcPr>
          <w:p w14:paraId="5AEC4EBC">
            <w:pPr>
              <w:spacing w:after="0" w:line="360" w:lineRule="auto"/>
            </w:pPr>
            <w:r>
              <w:rPr>
                <w:rFonts w:ascii="inter" w:hAnsi="inter" w:eastAsia="inter" w:cs="inter"/>
                <w:color w:val="000000"/>
                <w:sz w:val="17"/>
              </w:rPr>
              <w:t>博物馆教育可发挥的作用（建议方向）</w:t>
            </w:r>
          </w:p>
        </w:tc>
      </w:tr>
      <w:tr w14:paraId="4345348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7983367">
            <w:pPr>
              <w:spacing w:after="0" w:line="360" w:lineRule="auto"/>
            </w:pPr>
            <w:r>
              <w:rPr>
                <w:rFonts w:ascii="inter" w:hAnsi="inter" w:eastAsia="inter" w:cs="inter"/>
                <w:color w:val="000000"/>
                <w:sz w:val="17"/>
              </w:rPr>
              <w:t>文化强国战略</w:t>
            </w:r>
          </w:p>
        </w:tc>
        <w:tc>
          <w:tcPr>
            <w:tcBorders>
              <w:top w:val="single" w:color="000000" w:sz="0" w:space="0"/>
              <w:bottom w:val="single" w:color="000000" w:sz="0" w:space="0"/>
              <w:right w:val="single" w:color="000000" w:sz="0" w:space="0"/>
            </w:tcBorders>
          </w:tcPr>
          <w:p w14:paraId="3BCDA848">
            <w:pPr>
              <w:spacing w:after="0" w:line="360" w:lineRule="auto"/>
            </w:pPr>
            <w:r>
              <w:rPr>
                <w:rFonts w:ascii="inter" w:hAnsi="inter" w:eastAsia="inter" w:cs="inter"/>
                <w:color w:val="000000"/>
                <w:sz w:val="17"/>
              </w:rPr>
              <w:t>提升国家文化软实力与公民文化素养。</w:t>
            </w:r>
          </w:p>
        </w:tc>
        <w:tc>
          <w:tcPr>
            <w:tcBorders>
              <w:top w:val="single" w:color="000000" w:sz="0" w:space="0"/>
              <w:bottom w:val="single" w:color="000000" w:sz="0" w:space="0"/>
            </w:tcBorders>
          </w:tcPr>
          <w:p w14:paraId="18049E93">
            <w:pPr>
              <w:spacing w:after="0" w:line="360" w:lineRule="auto"/>
            </w:pPr>
            <w:r>
              <w:rPr>
                <w:rFonts w:ascii="inter" w:hAnsi="inter" w:eastAsia="inter" w:cs="inter"/>
                <w:color w:val="000000"/>
                <w:sz w:val="17"/>
              </w:rPr>
              <w:t>通过教育性展览设计和数字化叙事讲好中国故事、增强文化认同与价值共识</w:t>
            </w:r>
            <w:r>
              <w:fldChar w:fldCharType="begin"/>
            </w:r>
            <w:r>
              <w:instrText xml:space="preserve"> HYPERLINK \l "fn23" \h </w:instrText>
            </w:r>
            <w:r>
              <w:fldChar w:fldCharType="separate"/>
            </w:r>
            <w:r>
              <w:rPr>
                <w:rFonts w:ascii="inter" w:hAnsi="inter" w:eastAsia="inter" w:cs="inter"/>
                <w:color w:val="000000"/>
                <w:sz w:val="17"/>
                <w:u w:val="single"/>
                <w:vertAlign w:val="superscript"/>
              </w:rPr>
              <w:t>[23]</w:t>
            </w:r>
            <w:r>
              <w:rPr>
                <w:rFonts w:ascii="inter" w:hAnsi="inter" w:eastAsia="inter" w:cs="inter"/>
                <w:color w:val="000000"/>
                <w:sz w:val="17"/>
                <w:u w:val="single"/>
                <w:vertAlign w:val="superscript"/>
              </w:rPr>
              <w:fldChar w:fldCharType="end"/>
            </w:r>
            <w:r>
              <w:rPr>
                <w:rFonts w:ascii="inter" w:hAnsi="inter" w:eastAsia="inter" w:cs="inter"/>
                <w:color w:val="000000"/>
                <w:sz w:val="17"/>
              </w:rPr>
              <w:t>。</w:t>
            </w:r>
          </w:p>
        </w:tc>
      </w:tr>
      <w:tr w14:paraId="7FC512C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F314726">
            <w:pPr>
              <w:spacing w:after="0" w:line="360" w:lineRule="auto"/>
            </w:pPr>
            <w:r>
              <w:rPr>
                <w:rFonts w:ascii="inter" w:hAnsi="inter" w:eastAsia="inter" w:cs="inter"/>
                <w:color w:val="000000"/>
                <w:sz w:val="17"/>
              </w:rPr>
              <w:t>数字中国建设</w:t>
            </w:r>
          </w:p>
        </w:tc>
        <w:tc>
          <w:tcPr>
            <w:tcBorders>
              <w:top w:val="single" w:color="000000" w:sz="0" w:space="0"/>
              <w:bottom w:val="single" w:color="000000" w:sz="0" w:space="0"/>
              <w:right w:val="single" w:color="000000" w:sz="0" w:space="0"/>
            </w:tcBorders>
          </w:tcPr>
          <w:p w14:paraId="7F228719">
            <w:pPr>
              <w:spacing w:after="0" w:line="360" w:lineRule="auto"/>
            </w:pPr>
            <w:r>
              <w:rPr>
                <w:rFonts w:ascii="inter" w:hAnsi="inter" w:eastAsia="inter" w:cs="inter"/>
                <w:color w:val="000000"/>
                <w:sz w:val="17"/>
              </w:rPr>
              <w:t>推进文化数字化与智慧文化服务体系。</w:t>
            </w:r>
          </w:p>
        </w:tc>
        <w:tc>
          <w:tcPr>
            <w:tcBorders>
              <w:top w:val="single" w:color="000000" w:sz="0" w:space="0"/>
              <w:bottom w:val="single" w:color="000000" w:sz="0" w:space="0"/>
            </w:tcBorders>
          </w:tcPr>
          <w:p w14:paraId="46723889">
            <w:pPr>
              <w:spacing w:after="0" w:line="360" w:lineRule="auto"/>
            </w:pPr>
            <w:r>
              <w:rPr>
                <w:rFonts w:ascii="inter" w:hAnsi="inter" w:eastAsia="inter" w:cs="inter"/>
                <w:color w:val="000000"/>
                <w:sz w:val="17"/>
              </w:rPr>
              <w:t>在一定程度上系统应用 AI、VR/AR、大数据等技术，建设数字博物馆与在线教育平台</w:t>
            </w:r>
            <w:r>
              <w:fldChar w:fldCharType="begin"/>
            </w:r>
            <w:r>
              <w:instrText xml:space="preserve"> HYPERLINK \l "fn9" \h </w:instrText>
            </w:r>
            <w:r>
              <w:fldChar w:fldCharType="separate"/>
            </w:r>
            <w:r>
              <w:rPr>
                <w:rFonts w:ascii="inter" w:hAnsi="inter" w:eastAsia="inter" w:cs="inter"/>
                <w:color w:val="000000"/>
                <w:sz w:val="17"/>
                <w:u w:val="single"/>
                <w:vertAlign w:val="superscript"/>
              </w:rPr>
              <w:t>[9]</w:t>
            </w:r>
            <w:r>
              <w:rPr>
                <w:rFonts w:ascii="inter" w:hAnsi="inter" w:eastAsia="inter" w:cs="inter"/>
                <w:color w:val="000000"/>
                <w:sz w:val="17"/>
                <w:u w:val="single"/>
                <w:vertAlign w:val="superscript"/>
              </w:rPr>
              <w:fldChar w:fldCharType="end"/>
            </w:r>
            <w:r>
              <w:fldChar w:fldCharType="begin"/>
            </w:r>
            <w:r>
              <w:instrText xml:space="preserve"> HYPERLINK \l "fn19" \h </w:instrText>
            </w:r>
            <w:r>
              <w:fldChar w:fldCharType="separate"/>
            </w:r>
            <w:r>
              <w:rPr>
                <w:rFonts w:ascii="inter" w:hAnsi="inter" w:eastAsia="inter" w:cs="inter"/>
                <w:color w:val="000000"/>
                <w:sz w:val="17"/>
                <w:u w:val="single"/>
                <w:vertAlign w:val="superscript"/>
              </w:rPr>
              <w:t>[19]</w:t>
            </w:r>
            <w:r>
              <w:rPr>
                <w:rFonts w:ascii="inter" w:hAnsi="inter" w:eastAsia="inter" w:cs="inter"/>
                <w:color w:val="000000"/>
                <w:sz w:val="17"/>
                <w:u w:val="single"/>
                <w:vertAlign w:val="superscript"/>
              </w:rPr>
              <w:fldChar w:fldCharType="end"/>
            </w:r>
            <w:r>
              <w:rPr>
                <w:rFonts w:ascii="inter" w:hAnsi="inter" w:eastAsia="inter" w:cs="inter"/>
                <w:color w:val="000000"/>
                <w:sz w:val="17"/>
              </w:rPr>
              <w:t>。</w:t>
            </w:r>
          </w:p>
        </w:tc>
      </w:tr>
      <w:tr w14:paraId="51CEB80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55A60EF">
            <w:pPr>
              <w:spacing w:after="0" w:line="360" w:lineRule="auto"/>
            </w:pPr>
            <w:r>
              <w:rPr>
                <w:rFonts w:ascii="inter" w:hAnsi="inter" w:eastAsia="inter" w:cs="inter"/>
                <w:color w:val="000000"/>
                <w:sz w:val="17"/>
              </w:rPr>
              <w:t>全民科学素养提升</w:t>
            </w:r>
          </w:p>
        </w:tc>
        <w:tc>
          <w:tcPr>
            <w:tcBorders>
              <w:top w:val="single" w:color="000000" w:sz="0" w:space="0"/>
              <w:bottom w:val="single" w:color="000000" w:sz="0" w:space="0"/>
              <w:right w:val="single" w:color="000000" w:sz="0" w:space="0"/>
            </w:tcBorders>
          </w:tcPr>
          <w:p w14:paraId="0420570F">
            <w:pPr>
              <w:spacing w:after="0" w:line="360" w:lineRule="auto"/>
            </w:pPr>
            <w:r>
              <w:rPr>
                <w:rFonts w:ascii="inter" w:hAnsi="inter" w:eastAsia="inter" w:cs="inter"/>
                <w:color w:val="000000"/>
                <w:sz w:val="17"/>
              </w:rPr>
              <w:t>普及科学精神、科学方法与科学思维。</w:t>
            </w:r>
          </w:p>
        </w:tc>
        <w:tc>
          <w:tcPr>
            <w:tcBorders>
              <w:top w:val="single" w:color="000000" w:sz="0" w:space="0"/>
              <w:bottom w:val="single" w:color="000000" w:sz="0" w:space="0"/>
            </w:tcBorders>
          </w:tcPr>
          <w:p w14:paraId="056DB4B2">
            <w:pPr>
              <w:spacing w:after="0" w:line="360" w:lineRule="auto"/>
            </w:pPr>
            <w:r>
              <w:rPr>
                <w:rFonts w:ascii="inter" w:hAnsi="inter" w:eastAsia="inter" w:cs="inter"/>
                <w:color w:val="000000"/>
                <w:sz w:val="17"/>
              </w:rPr>
              <w:t>依托科技馆和综合博物馆开展跨学科学习和 STEAM 教育，构建非正式科学教育网络</w:t>
            </w:r>
            <w:r>
              <w:fldChar w:fldCharType="begin"/>
            </w:r>
            <w:r>
              <w:instrText xml:space="preserve"> HYPERLINK \l "fn11" \h </w:instrText>
            </w:r>
            <w:r>
              <w:fldChar w:fldCharType="separate"/>
            </w:r>
            <w:r>
              <w:rPr>
                <w:rFonts w:ascii="inter" w:hAnsi="inter" w:eastAsia="inter" w:cs="inter"/>
                <w:color w:val="000000"/>
                <w:sz w:val="17"/>
                <w:u w:val="single"/>
                <w:vertAlign w:val="superscript"/>
              </w:rPr>
              <w:t>[11]</w:t>
            </w:r>
            <w:r>
              <w:rPr>
                <w:rFonts w:ascii="inter" w:hAnsi="inter" w:eastAsia="inter" w:cs="inter"/>
                <w:color w:val="000000"/>
                <w:sz w:val="17"/>
                <w:u w:val="single"/>
                <w:vertAlign w:val="superscript"/>
              </w:rPr>
              <w:fldChar w:fldCharType="end"/>
            </w:r>
            <w:r>
              <w:fldChar w:fldCharType="begin"/>
            </w:r>
            <w:r>
              <w:instrText xml:space="preserve"> HYPERLINK \l "fn19" \h </w:instrText>
            </w:r>
            <w:r>
              <w:fldChar w:fldCharType="separate"/>
            </w:r>
            <w:r>
              <w:rPr>
                <w:rFonts w:ascii="inter" w:hAnsi="inter" w:eastAsia="inter" w:cs="inter"/>
                <w:color w:val="000000"/>
                <w:sz w:val="17"/>
                <w:u w:val="single"/>
                <w:vertAlign w:val="superscript"/>
              </w:rPr>
              <w:t>[19]</w:t>
            </w:r>
            <w:r>
              <w:rPr>
                <w:rFonts w:ascii="inter" w:hAnsi="inter" w:eastAsia="inter" w:cs="inter"/>
                <w:color w:val="000000"/>
                <w:sz w:val="17"/>
                <w:u w:val="single"/>
                <w:vertAlign w:val="superscript"/>
              </w:rPr>
              <w:fldChar w:fldCharType="end"/>
            </w:r>
            <w:r>
              <w:fldChar w:fldCharType="begin"/>
            </w:r>
            <w:r>
              <w:instrText xml:space="preserve"> HYPERLINK \l "fn13" \h </w:instrText>
            </w:r>
            <w:r>
              <w:fldChar w:fldCharType="separate"/>
            </w:r>
            <w:r>
              <w:rPr>
                <w:rFonts w:ascii="inter" w:hAnsi="inter" w:eastAsia="inter" w:cs="inter"/>
                <w:color w:val="000000"/>
                <w:sz w:val="17"/>
                <w:u w:val="single"/>
                <w:vertAlign w:val="superscript"/>
              </w:rPr>
              <w:t>[13]</w:t>
            </w:r>
            <w:r>
              <w:rPr>
                <w:rFonts w:ascii="inter" w:hAnsi="inter" w:eastAsia="inter" w:cs="inter"/>
                <w:color w:val="000000"/>
                <w:sz w:val="17"/>
                <w:u w:val="single"/>
                <w:vertAlign w:val="superscript"/>
              </w:rPr>
              <w:fldChar w:fldCharType="end"/>
            </w:r>
            <w:r>
              <w:rPr>
                <w:rFonts w:ascii="inter" w:hAnsi="inter" w:eastAsia="inter" w:cs="inter"/>
                <w:color w:val="000000"/>
                <w:sz w:val="17"/>
              </w:rPr>
              <w:t>。</w:t>
            </w:r>
          </w:p>
        </w:tc>
      </w:tr>
      <w:tr w14:paraId="6C0922C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DE1B045">
            <w:pPr>
              <w:spacing w:after="0" w:line="360" w:lineRule="auto"/>
            </w:pPr>
            <w:r>
              <w:rPr>
                <w:rFonts w:ascii="inter" w:hAnsi="inter" w:eastAsia="inter" w:cs="inter"/>
                <w:color w:val="000000"/>
                <w:sz w:val="17"/>
              </w:rPr>
              <w:t>联合国可持续发展目标（SDGs）</w:t>
            </w:r>
          </w:p>
        </w:tc>
        <w:tc>
          <w:tcPr>
            <w:tcBorders>
              <w:top w:val="single" w:color="000000" w:sz="0" w:space="0"/>
              <w:bottom w:val="single" w:color="000000" w:sz="0" w:space="0"/>
              <w:right w:val="single" w:color="000000" w:sz="0" w:space="0"/>
            </w:tcBorders>
          </w:tcPr>
          <w:p w14:paraId="05EED9EE">
            <w:pPr>
              <w:spacing w:after="0" w:line="360" w:lineRule="auto"/>
            </w:pPr>
            <w:r>
              <w:rPr>
                <w:rFonts w:ascii="inter" w:hAnsi="inter" w:eastAsia="inter" w:cs="inter"/>
                <w:color w:val="000000"/>
                <w:sz w:val="17"/>
              </w:rPr>
              <w:t>SDG4 优质教育、SDG10 减少不平等、SDG11 可持续城市与社区等。</w:t>
            </w:r>
          </w:p>
        </w:tc>
        <w:tc>
          <w:tcPr>
            <w:tcBorders>
              <w:top w:val="single" w:color="000000" w:sz="0" w:space="0"/>
              <w:bottom w:val="single" w:color="000000" w:sz="0" w:space="0"/>
            </w:tcBorders>
          </w:tcPr>
          <w:p w14:paraId="7411A0E3">
            <w:pPr>
              <w:spacing w:after="0" w:line="360" w:lineRule="auto"/>
            </w:pPr>
            <w:r>
              <w:rPr>
                <w:rFonts w:ascii="inter" w:hAnsi="inter" w:eastAsia="inter" w:cs="inter"/>
                <w:color w:val="000000"/>
                <w:sz w:val="17"/>
              </w:rPr>
              <w:t>通过社会包容性项目服务弱势群体，推动终身学习与可持续生活方式教育</w:t>
            </w:r>
            <w:r>
              <w:fldChar w:fldCharType="begin"/>
            </w:r>
            <w:r>
              <w:instrText xml:space="preserve"> HYPERLINK \l "fn1" \h </w:instrText>
            </w:r>
            <w:r>
              <w:fldChar w:fldCharType="separate"/>
            </w:r>
            <w:r>
              <w:rPr>
                <w:rFonts w:ascii="inter" w:hAnsi="inter" w:eastAsia="inter" w:cs="inter"/>
                <w:color w:val="000000"/>
                <w:sz w:val="17"/>
                <w:u w:val="single"/>
                <w:vertAlign w:val="superscript"/>
              </w:rPr>
              <w:t>[1]</w:t>
            </w:r>
            <w:r>
              <w:rPr>
                <w:rFonts w:ascii="inter" w:hAnsi="inter" w:eastAsia="inter" w:cs="inter"/>
                <w:color w:val="000000"/>
                <w:sz w:val="17"/>
                <w:u w:val="single"/>
                <w:vertAlign w:val="superscript"/>
              </w:rPr>
              <w:fldChar w:fldCharType="end"/>
            </w:r>
            <w:r>
              <w:fldChar w:fldCharType="begin"/>
            </w:r>
            <w:r>
              <w:instrText xml:space="preserve"> HYPERLINK \l "fn4" \h </w:instrText>
            </w:r>
            <w:r>
              <w:fldChar w:fldCharType="separate"/>
            </w:r>
            <w:r>
              <w:rPr>
                <w:rFonts w:ascii="inter" w:hAnsi="inter" w:eastAsia="inter" w:cs="inter"/>
                <w:color w:val="000000"/>
                <w:sz w:val="17"/>
                <w:u w:val="single"/>
                <w:vertAlign w:val="superscript"/>
              </w:rPr>
              <w:t>[4]</w:t>
            </w:r>
            <w:r>
              <w:rPr>
                <w:rFonts w:ascii="inter" w:hAnsi="inter" w:eastAsia="inter" w:cs="inter"/>
                <w:color w:val="000000"/>
                <w:sz w:val="17"/>
                <w:u w:val="single"/>
                <w:vertAlign w:val="superscript"/>
              </w:rPr>
              <w:fldChar w:fldCharType="end"/>
            </w:r>
            <w:r>
              <w:fldChar w:fldCharType="begin"/>
            </w:r>
            <w:r>
              <w:instrText xml:space="preserve"> HYPERLINK \l "fn6" \h </w:instrText>
            </w:r>
            <w:r>
              <w:fldChar w:fldCharType="separate"/>
            </w:r>
            <w:r>
              <w:rPr>
                <w:rFonts w:ascii="inter" w:hAnsi="inter" w:eastAsia="inter" w:cs="inter"/>
                <w:color w:val="000000"/>
                <w:sz w:val="17"/>
                <w:u w:val="single"/>
                <w:vertAlign w:val="superscript"/>
              </w:rPr>
              <w:t>[6]</w:t>
            </w:r>
            <w:r>
              <w:rPr>
                <w:rFonts w:ascii="inter" w:hAnsi="inter" w:eastAsia="inter" w:cs="inter"/>
                <w:color w:val="000000"/>
                <w:sz w:val="17"/>
                <w:u w:val="single"/>
                <w:vertAlign w:val="superscript"/>
              </w:rPr>
              <w:fldChar w:fldCharType="end"/>
            </w:r>
            <w:r>
              <w:rPr>
                <w:rFonts w:ascii="inter" w:hAnsi="inter" w:eastAsia="inter" w:cs="inter"/>
                <w:color w:val="000000"/>
                <w:sz w:val="17"/>
              </w:rPr>
              <w:t>。</w:t>
            </w:r>
          </w:p>
        </w:tc>
      </w:tr>
    </w:tbl>
    <w:p w14:paraId="6D22E230"/>
    <w:p w14:paraId="5362A320">
      <w:pPr>
        <w:spacing w:after="210" w:line="360" w:lineRule="auto"/>
      </w:pPr>
      <w:r>
        <w:rPr>
          <w:rFonts w:ascii="inter" w:hAnsi="inter" w:eastAsia="inter" w:cs="inter"/>
          <w:color w:val="000000"/>
        </w:rPr>
        <w:t>（二）面向 2035 的关键趋势判断</w:t>
      </w:r>
    </w:p>
    <w:p w14:paraId="53CFF69A">
      <w:pPr>
        <w:numPr>
          <w:ilvl w:val="0"/>
          <w:numId w:val="30"/>
        </w:numPr>
        <w:spacing w:after="210" w:line="360" w:lineRule="auto"/>
      </w:pPr>
      <w:r>
        <w:rPr>
          <w:rFonts w:ascii="inter" w:hAnsi="inter" w:eastAsia="inter" w:cs="inter"/>
          <w:color w:val="000000"/>
          <w:sz w:val="21"/>
        </w:rPr>
        <w:t>教育功能更加制度化与专业化</w:t>
      </w:r>
      <w:r>
        <w:rPr>
          <w:rFonts w:ascii="inter" w:hAnsi="inter" w:eastAsia="inter" w:cs="inter"/>
          <w:color w:val="000000"/>
          <w:sz w:val="21"/>
        </w:rPr>
        <w:br w:type="textWrapping"/>
      </w:r>
      <w:r>
        <w:rPr>
          <w:rFonts w:ascii="inter" w:hAnsi="inter" w:eastAsia="inter" w:cs="inter"/>
          <w:color w:val="000000"/>
          <w:sz w:val="21"/>
        </w:rPr>
        <w:t>在国家层面政策引导下，博物馆教育有望进一步纳入公共服务绩效评价体系，教育岗位编制与专业发展路径将更加清晰，观众研究与学习评估逐步成为常态。</w:t>
      </w:r>
      <w:bookmarkStart w:id="67" w:name="fnref20_3"/>
      <w:bookmarkEnd w:id="67"/>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bookmarkStart w:id="68" w:name="fnref5_6"/>
      <w:bookmarkEnd w:id="68"/>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bookmarkStart w:id="69" w:name="fnref15_4"/>
      <w:bookmarkEnd w:id="69"/>
      <w:r>
        <w:fldChar w:fldCharType="begin"/>
      </w:r>
      <w:r>
        <w:instrText xml:space="preserve"> HYPERLINK \l "fn15" \h </w:instrText>
      </w:r>
      <w:r>
        <w:fldChar w:fldCharType="separate"/>
      </w:r>
      <w:r>
        <w:rPr>
          <w:rFonts w:ascii="inter" w:hAnsi="inter" w:eastAsia="inter" w:cs="inter"/>
          <w:color w:val="000000"/>
          <w:sz w:val="21"/>
          <w:u w:val="single"/>
          <w:vertAlign w:val="superscript"/>
        </w:rPr>
        <w:t>[15]</w:t>
      </w:r>
      <w:r>
        <w:rPr>
          <w:rFonts w:ascii="inter" w:hAnsi="inter" w:eastAsia="inter" w:cs="inter"/>
          <w:color w:val="000000"/>
          <w:sz w:val="21"/>
          <w:u w:val="single"/>
          <w:vertAlign w:val="superscript"/>
        </w:rPr>
        <w:fldChar w:fldCharType="end"/>
      </w:r>
    </w:p>
    <w:p w14:paraId="0D5D37E7">
      <w:pPr>
        <w:numPr>
          <w:ilvl w:val="0"/>
          <w:numId w:val="30"/>
        </w:numPr>
        <w:spacing w:after="210" w:line="360" w:lineRule="auto"/>
      </w:pPr>
      <w:r>
        <w:rPr>
          <w:rFonts w:ascii="inter" w:hAnsi="inter" w:eastAsia="inter" w:cs="inter"/>
          <w:color w:val="000000"/>
          <w:sz w:val="21"/>
        </w:rPr>
        <w:t>数字化与现场体验的深度融合</w:t>
      </w:r>
      <w:r>
        <w:rPr>
          <w:rFonts w:ascii="inter" w:hAnsi="inter" w:eastAsia="inter" w:cs="inter"/>
          <w:color w:val="000000"/>
          <w:sz w:val="21"/>
        </w:rPr>
        <w:br w:type="textWrapping"/>
      </w:r>
      <w:r>
        <w:rPr>
          <w:rFonts w:ascii="inter" w:hAnsi="inter" w:eastAsia="inter" w:cs="inter"/>
          <w:color w:val="000000"/>
          <w:sz w:val="21"/>
        </w:rPr>
        <w:t>未来更可能呈现“数字化叙事 + 现场体验 + 在线延展”的整体学习路径，虚拟展厅、在线课程与线下工作坊在一定程度上形成互补，而非替代关系。</w:t>
      </w:r>
      <w:bookmarkStart w:id="70" w:name="fnref19_7"/>
      <w:bookmarkEnd w:id="70"/>
      <w:r>
        <w:fldChar w:fldCharType="begin"/>
      </w:r>
      <w:r>
        <w:instrText xml:space="preserve"> HYPERLINK \l "fn19" \h </w:instrText>
      </w:r>
      <w:r>
        <w:fldChar w:fldCharType="separate"/>
      </w:r>
      <w:r>
        <w:rPr>
          <w:rFonts w:ascii="inter" w:hAnsi="inter" w:eastAsia="inter" w:cs="inter"/>
          <w:color w:val="000000"/>
          <w:sz w:val="21"/>
          <w:u w:val="single"/>
          <w:vertAlign w:val="superscript"/>
        </w:rPr>
        <w:t>[19]</w:t>
      </w:r>
      <w:r>
        <w:rPr>
          <w:rFonts w:ascii="inter" w:hAnsi="inter" w:eastAsia="inter" w:cs="inter"/>
          <w:color w:val="000000"/>
          <w:sz w:val="21"/>
          <w:u w:val="single"/>
          <w:vertAlign w:val="superscript"/>
        </w:rPr>
        <w:fldChar w:fldCharType="end"/>
      </w:r>
      <w:bookmarkStart w:id="71" w:name="fnref10_4"/>
      <w:bookmarkEnd w:id="71"/>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72" w:name="fnref9_8"/>
      <w:bookmarkEnd w:id="72"/>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59E9C6A5">
      <w:pPr>
        <w:numPr>
          <w:ilvl w:val="0"/>
          <w:numId w:val="30"/>
        </w:numPr>
        <w:spacing w:after="210" w:line="360" w:lineRule="auto"/>
      </w:pPr>
      <w:r>
        <w:rPr>
          <w:rFonts w:ascii="inter" w:hAnsi="inter" w:eastAsia="inter" w:cs="inter"/>
          <w:color w:val="000000"/>
          <w:sz w:val="21"/>
        </w:rPr>
        <w:t>从“面向学生”到“全生命周期学习者”</w:t>
      </w:r>
      <w:r>
        <w:rPr>
          <w:rFonts w:ascii="inter" w:hAnsi="inter" w:eastAsia="inter" w:cs="inter"/>
          <w:color w:val="000000"/>
          <w:sz w:val="21"/>
        </w:rPr>
        <w:br w:type="textWrapping"/>
      </w:r>
      <w:r>
        <w:rPr>
          <w:rFonts w:ascii="inter" w:hAnsi="inter" w:eastAsia="inter" w:cs="inter"/>
          <w:color w:val="000000"/>
          <w:sz w:val="21"/>
        </w:rPr>
        <w:t>在终身学习理念推动下，博物馆教育对象预计将从以中小学生为主扩展至涵盖儿童、青年、成年人及老年人的全龄谱系，家庭学习与社区学习进一步加强。</w:t>
      </w:r>
      <w:bookmarkStart w:id="73" w:name="fnref1_3"/>
      <w:bookmarkEnd w:id="73"/>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bookmarkStart w:id="74" w:name="fnref4_3"/>
      <w:bookmarkEnd w:id="74"/>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p>
    <w:p w14:paraId="3F341B6D">
      <w:pPr>
        <w:spacing w:after="210" w:line="360" w:lineRule="auto"/>
      </w:pPr>
      <w:r>
        <w:rPr>
          <w:rFonts w:ascii="inter" w:hAnsi="inter" w:eastAsia="inter" w:cs="inter"/>
          <w:color w:val="000000"/>
        </w:rPr>
        <w:t>（三）对中国博物馆未来发展的战略性建议（要点）</w:t>
      </w:r>
    </w:p>
    <w:p w14:paraId="33BD5F2E">
      <w:pPr>
        <w:numPr>
          <w:ilvl w:val="0"/>
          <w:numId w:val="31"/>
        </w:numPr>
        <w:spacing w:before="105" w:after="105" w:line="360" w:lineRule="auto"/>
      </w:pPr>
      <w:r>
        <w:rPr>
          <w:rFonts w:ascii="inter" w:hAnsi="inter" w:eastAsia="inter" w:cs="inter"/>
          <w:color w:val="000000"/>
          <w:sz w:val="21"/>
        </w:rPr>
        <w:t>在治理和政策层面</w:t>
      </w:r>
    </w:p>
    <w:p w14:paraId="6E38562F">
      <w:pPr>
        <w:numPr>
          <w:ilvl w:val="0"/>
          <w:numId w:val="32"/>
        </w:numPr>
        <w:spacing w:before="105" w:after="105" w:line="360" w:lineRule="auto"/>
      </w:pPr>
      <w:r>
        <w:rPr>
          <w:rFonts w:ascii="inter" w:hAnsi="inter" w:eastAsia="inter" w:cs="inter"/>
          <w:color w:val="000000"/>
          <w:sz w:val="21"/>
        </w:rPr>
        <w:t>建议可考虑在国家和地方层面进一步明晰博物馆教育在公共文化服务体系中的功能定位，将教育投入、观众研究和社会包容性指标纳入相关考核。</w:t>
      </w:r>
    </w:p>
    <w:p w14:paraId="004D4BD4">
      <w:pPr>
        <w:numPr>
          <w:ilvl w:val="0"/>
          <w:numId w:val="32"/>
        </w:numPr>
        <w:spacing w:before="105" w:after="105" w:line="360" w:lineRule="auto"/>
      </w:pPr>
      <w:r>
        <w:rPr>
          <w:rFonts w:ascii="inter" w:hAnsi="inter" w:eastAsia="inter" w:cs="inter"/>
          <w:color w:val="000000"/>
          <w:sz w:val="21"/>
        </w:rPr>
        <w:t>在一定程度上推动博物馆与教育、科技、旅游及社区发展等部门的跨部门协同，构建“博物馆+教育+科技+社区”的综合治理框架。</w:t>
      </w:r>
      <w:bookmarkStart w:id="75" w:name="fnref18_1"/>
      <w:bookmarkEnd w:id="75"/>
      <w:r>
        <w:fldChar w:fldCharType="begin"/>
      </w:r>
      <w:r>
        <w:instrText xml:space="preserve"> HYPERLINK \l "fn18" \h </w:instrText>
      </w:r>
      <w:r>
        <w:fldChar w:fldCharType="separate"/>
      </w:r>
      <w:r>
        <w:rPr>
          <w:rFonts w:ascii="inter" w:hAnsi="inter" w:eastAsia="inter" w:cs="inter"/>
          <w:color w:val="000000"/>
          <w:sz w:val="21"/>
          <w:u w:val="single"/>
          <w:vertAlign w:val="superscript"/>
        </w:rPr>
        <w:t>[18]</w:t>
      </w:r>
      <w:r>
        <w:rPr>
          <w:rFonts w:ascii="inter" w:hAnsi="inter" w:eastAsia="inter" w:cs="inter"/>
          <w:color w:val="000000"/>
          <w:sz w:val="21"/>
          <w:u w:val="single"/>
          <w:vertAlign w:val="superscript"/>
        </w:rPr>
        <w:fldChar w:fldCharType="end"/>
      </w:r>
      <w:bookmarkStart w:id="76" w:name="fnref23_3"/>
      <w:bookmarkEnd w:id="76"/>
      <w:r>
        <w:fldChar w:fldCharType="begin"/>
      </w:r>
      <w:r>
        <w:instrText xml:space="preserve"> HYPERLINK \l "fn23" \h </w:instrText>
      </w:r>
      <w:r>
        <w:fldChar w:fldCharType="separate"/>
      </w:r>
      <w:r>
        <w:rPr>
          <w:rFonts w:ascii="inter" w:hAnsi="inter" w:eastAsia="inter" w:cs="inter"/>
          <w:color w:val="000000"/>
          <w:sz w:val="21"/>
          <w:u w:val="single"/>
          <w:vertAlign w:val="superscript"/>
        </w:rPr>
        <w:t>[23]</w:t>
      </w:r>
      <w:r>
        <w:rPr>
          <w:rFonts w:ascii="inter" w:hAnsi="inter" w:eastAsia="inter" w:cs="inter"/>
          <w:color w:val="000000"/>
          <w:sz w:val="21"/>
          <w:u w:val="single"/>
          <w:vertAlign w:val="superscript"/>
        </w:rPr>
        <w:fldChar w:fldCharType="end"/>
      </w:r>
      <w:bookmarkStart w:id="77" w:name="fnref6_5"/>
      <w:bookmarkEnd w:id="77"/>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23921A03">
      <w:pPr>
        <w:numPr>
          <w:ilvl w:val="0"/>
          <w:numId w:val="33"/>
        </w:numPr>
        <w:spacing w:before="105" w:after="105" w:line="360" w:lineRule="auto"/>
      </w:pPr>
      <w:r>
        <w:rPr>
          <w:rFonts w:ascii="inter" w:hAnsi="inter" w:eastAsia="inter" w:cs="inter"/>
          <w:color w:val="000000"/>
          <w:sz w:val="21"/>
        </w:rPr>
        <w:t>在专业队伍与能力建设层面</w:t>
      </w:r>
    </w:p>
    <w:p w14:paraId="082A2701">
      <w:pPr>
        <w:numPr>
          <w:ilvl w:val="0"/>
          <w:numId w:val="34"/>
        </w:numPr>
        <w:spacing w:before="105" w:after="105" w:line="360" w:lineRule="auto"/>
      </w:pPr>
      <w:r>
        <w:rPr>
          <w:rFonts w:ascii="inter" w:hAnsi="inter" w:eastAsia="inter" w:cs="inter"/>
          <w:color w:val="000000"/>
          <w:sz w:val="21"/>
        </w:rPr>
        <w:t>支持建设以教育性展览设计、观众研究、数字化叙事和跨学科学习为核心能力的专业团队，通过高校博物馆学和教育学学科合作培养复合型人才。</w:t>
      </w:r>
      <w:bookmarkStart w:id="78" w:name="fnref22_1"/>
      <w:bookmarkEnd w:id="78"/>
      <w:r>
        <w:fldChar w:fldCharType="begin"/>
      </w:r>
      <w:r>
        <w:instrText xml:space="preserve"> HYPERLINK \l "fn22" \h </w:instrText>
      </w:r>
      <w:r>
        <w:fldChar w:fldCharType="separate"/>
      </w:r>
      <w:r>
        <w:rPr>
          <w:rFonts w:ascii="inter" w:hAnsi="inter" w:eastAsia="inter" w:cs="inter"/>
          <w:color w:val="000000"/>
          <w:sz w:val="21"/>
          <w:u w:val="single"/>
          <w:vertAlign w:val="superscript"/>
        </w:rPr>
        <w:t>[22]</w:t>
      </w:r>
      <w:r>
        <w:rPr>
          <w:rFonts w:ascii="inter" w:hAnsi="inter" w:eastAsia="inter" w:cs="inter"/>
          <w:color w:val="000000"/>
          <w:sz w:val="21"/>
          <w:u w:val="single"/>
          <w:vertAlign w:val="superscript"/>
        </w:rPr>
        <w:fldChar w:fldCharType="end"/>
      </w:r>
      <w:bookmarkStart w:id="79" w:name="fnref20_4"/>
      <w:bookmarkEnd w:id="79"/>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bookmarkStart w:id="80" w:name="fnref11_8"/>
      <w:bookmarkEnd w:id="80"/>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p>
    <w:p w14:paraId="157774EF">
      <w:pPr>
        <w:numPr>
          <w:ilvl w:val="0"/>
          <w:numId w:val="34"/>
        </w:numPr>
        <w:spacing w:before="105" w:after="105" w:line="360" w:lineRule="auto"/>
      </w:pPr>
      <w:r>
        <w:rPr>
          <w:rFonts w:ascii="inter" w:hAnsi="inter" w:eastAsia="inter" w:cs="inter"/>
          <w:color w:val="000000"/>
          <w:sz w:val="21"/>
        </w:rPr>
        <w:t>鼓励与国际机构（如 UNESCO、AAM、英国 Museums Association 等）开展培训与合作项目，引入成熟经验并结合中国情境进行本土化调整。</w:t>
      </w:r>
      <w:bookmarkStart w:id="81" w:name="fnref7_4"/>
      <w:bookmarkEnd w:id="81"/>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82" w:name="fnref5_7"/>
      <w:bookmarkEnd w:id="82"/>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bookmarkStart w:id="83" w:name="fnref18_2"/>
      <w:bookmarkEnd w:id="83"/>
      <w:r>
        <w:fldChar w:fldCharType="begin"/>
      </w:r>
      <w:r>
        <w:instrText xml:space="preserve"> HYPERLINK \l "fn18" \h </w:instrText>
      </w:r>
      <w:r>
        <w:fldChar w:fldCharType="separate"/>
      </w:r>
      <w:r>
        <w:rPr>
          <w:rFonts w:ascii="inter" w:hAnsi="inter" w:eastAsia="inter" w:cs="inter"/>
          <w:color w:val="000000"/>
          <w:sz w:val="21"/>
          <w:u w:val="single"/>
          <w:vertAlign w:val="superscript"/>
        </w:rPr>
        <w:t>[18]</w:t>
      </w:r>
      <w:r>
        <w:rPr>
          <w:rFonts w:ascii="inter" w:hAnsi="inter" w:eastAsia="inter" w:cs="inter"/>
          <w:color w:val="000000"/>
          <w:sz w:val="21"/>
          <w:u w:val="single"/>
          <w:vertAlign w:val="superscript"/>
        </w:rPr>
        <w:fldChar w:fldCharType="end"/>
      </w:r>
    </w:p>
    <w:p w14:paraId="61EE8B65">
      <w:pPr>
        <w:numPr>
          <w:ilvl w:val="0"/>
          <w:numId w:val="35"/>
        </w:numPr>
        <w:spacing w:before="105" w:after="105" w:line="360" w:lineRule="auto"/>
      </w:pPr>
      <w:r>
        <w:rPr>
          <w:rFonts w:ascii="inter" w:hAnsi="inter" w:eastAsia="inter" w:cs="inter"/>
          <w:color w:val="000000"/>
          <w:sz w:val="21"/>
        </w:rPr>
        <w:t>在科技与资源建设层面</w:t>
      </w:r>
    </w:p>
    <w:p w14:paraId="49DF3253">
      <w:pPr>
        <w:numPr>
          <w:ilvl w:val="0"/>
          <w:numId w:val="36"/>
        </w:numPr>
        <w:spacing w:before="105" w:after="105" w:line="360" w:lineRule="auto"/>
      </w:pPr>
      <w:r>
        <w:rPr>
          <w:rFonts w:ascii="inter" w:hAnsi="inter" w:eastAsia="inter" w:cs="inter"/>
          <w:color w:val="000000"/>
          <w:sz w:val="21"/>
        </w:rPr>
        <w:t>建议在总体上遵循“教育目标先行、技术选择其后”的原则，将 AI、VR/AR、大数据等纳入教育项目设计的早期阶段，避免技术与内容脱节。</w:t>
      </w:r>
      <w:bookmarkStart w:id="84" w:name="fnref25_3"/>
      <w:bookmarkEnd w:id="84"/>
      <w:r>
        <w:fldChar w:fldCharType="begin"/>
      </w:r>
      <w:r>
        <w:instrText xml:space="preserve"> HYPERLINK \l "fn25" \h </w:instrText>
      </w:r>
      <w:r>
        <w:fldChar w:fldCharType="separate"/>
      </w:r>
      <w:r>
        <w:rPr>
          <w:rFonts w:ascii="inter" w:hAnsi="inter" w:eastAsia="inter" w:cs="inter"/>
          <w:color w:val="000000"/>
          <w:sz w:val="21"/>
          <w:u w:val="single"/>
          <w:vertAlign w:val="superscript"/>
        </w:rPr>
        <w:t>[25]</w:t>
      </w:r>
      <w:r>
        <w:rPr>
          <w:rFonts w:ascii="inter" w:hAnsi="inter" w:eastAsia="inter" w:cs="inter"/>
          <w:color w:val="000000"/>
          <w:sz w:val="21"/>
          <w:u w:val="single"/>
          <w:vertAlign w:val="superscript"/>
        </w:rPr>
        <w:fldChar w:fldCharType="end"/>
      </w:r>
      <w:bookmarkStart w:id="85" w:name="fnref10_5"/>
      <w:bookmarkEnd w:id="85"/>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86" w:name="fnref9_9"/>
      <w:bookmarkEnd w:id="86"/>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18D855B9">
      <w:pPr>
        <w:numPr>
          <w:ilvl w:val="0"/>
          <w:numId w:val="36"/>
        </w:numPr>
        <w:spacing w:before="105" w:after="105" w:line="360" w:lineRule="auto"/>
      </w:pPr>
      <w:r>
        <w:rPr>
          <w:rFonts w:ascii="inter" w:hAnsi="inter" w:eastAsia="inter" w:cs="inter"/>
          <w:color w:val="000000"/>
          <w:sz w:val="21"/>
        </w:rPr>
        <w:t>在一定程度上通过区域数字资源中心与共享平台，支持中小博物馆共建共用数字展览与教育资源，缓解资源不均问题。</w:t>
      </w:r>
      <w:bookmarkStart w:id="87" w:name="fnref23_4"/>
      <w:bookmarkEnd w:id="87"/>
      <w:r>
        <w:fldChar w:fldCharType="begin"/>
      </w:r>
      <w:r>
        <w:instrText xml:space="preserve"> HYPERLINK \l "fn23" \h </w:instrText>
      </w:r>
      <w:r>
        <w:fldChar w:fldCharType="separate"/>
      </w:r>
      <w:r>
        <w:rPr>
          <w:rFonts w:ascii="inter" w:hAnsi="inter" w:eastAsia="inter" w:cs="inter"/>
          <w:color w:val="000000"/>
          <w:sz w:val="21"/>
          <w:u w:val="single"/>
          <w:vertAlign w:val="superscript"/>
        </w:rPr>
        <w:t>[23]</w:t>
      </w:r>
      <w:r>
        <w:rPr>
          <w:rFonts w:ascii="inter" w:hAnsi="inter" w:eastAsia="inter" w:cs="inter"/>
          <w:color w:val="000000"/>
          <w:sz w:val="21"/>
          <w:u w:val="single"/>
          <w:vertAlign w:val="superscript"/>
        </w:rPr>
        <w:fldChar w:fldCharType="end"/>
      </w:r>
      <w:bookmarkStart w:id="88" w:name="fnref19_8"/>
      <w:bookmarkEnd w:id="88"/>
      <w:r>
        <w:fldChar w:fldCharType="begin"/>
      </w:r>
      <w:r>
        <w:instrText xml:space="preserve"> HYPERLINK \l "fn19" \h </w:instrText>
      </w:r>
      <w:r>
        <w:fldChar w:fldCharType="separate"/>
      </w:r>
      <w:r>
        <w:rPr>
          <w:rFonts w:ascii="inter" w:hAnsi="inter" w:eastAsia="inter" w:cs="inter"/>
          <w:color w:val="000000"/>
          <w:sz w:val="21"/>
          <w:u w:val="single"/>
          <w:vertAlign w:val="superscript"/>
        </w:rPr>
        <w:t>[19]</w:t>
      </w:r>
      <w:r>
        <w:rPr>
          <w:rFonts w:ascii="inter" w:hAnsi="inter" w:eastAsia="inter" w:cs="inter"/>
          <w:color w:val="000000"/>
          <w:sz w:val="21"/>
          <w:u w:val="single"/>
          <w:vertAlign w:val="superscript"/>
        </w:rPr>
        <w:fldChar w:fldCharType="end"/>
      </w:r>
    </w:p>
    <w:p w14:paraId="48F1EDB7">
      <w:pPr>
        <w:numPr>
          <w:ilvl w:val="0"/>
          <w:numId w:val="37"/>
        </w:numPr>
        <w:spacing w:before="105" w:after="105" w:line="360" w:lineRule="auto"/>
      </w:pPr>
      <w:r>
        <w:rPr>
          <w:rFonts w:ascii="inter" w:hAnsi="inter" w:eastAsia="inter" w:cs="inter"/>
          <w:color w:val="000000"/>
          <w:sz w:val="21"/>
        </w:rPr>
        <w:t>在社会包容与可持续发展层面</w:t>
      </w:r>
    </w:p>
    <w:p w14:paraId="34BDD749">
      <w:pPr>
        <w:numPr>
          <w:ilvl w:val="0"/>
          <w:numId w:val="38"/>
        </w:numPr>
        <w:spacing w:before="105" w:after="105" w:line="360" w:lineRule="auto"/>
      </w:pPr>
      <w:r>
        <w:rPr>
          <w:rFonts w:ascii="inter" w:hAnsi="inter" w:eastAsia="inter" w:cs="inter"/>
          <w:color w:val="000000"/>
          <w:sz w:val="21"/>
        </w:rPr>
        <w:t>面向弱势群体、残障人士、移民与新市民等开展具有社会包容性的定向教育项目，通过票价政策、无障碍设计与多语种服务降低参与门槛。</w:t>
      </w:r>
      <w:bookmarkStart w:id="89" w:name="fnref4_4"/>
      <w:bookmarkEnd w:id="89"/>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bookmarkStart w:id="90" w:name="fnref5_8"/>
      <w:bookmarkEnd w:id="90"/>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bookmarkStart w:id="91" w:name="fnref6_6"/>
      <w:bookmarkEnd w:id="91"/>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0FBAAC8C">
      <w:pPr>
        <w:numPr>
          <w:ilvl w:val="0"/>
          <w:numId w:val="38"/>
        </w:numPr>
        <w:spacing w:before="105" w:after="105" w:line="360" w:lineRule="auto"/>
      </w:pPr>
      <w:r>
        <w:rPr>
          <w:rFonts w:ascii="inter" w:hAnsi="inter" w:eastAsia="inter" w:cs="inter"/>
          <w:color w:val="000000"/>
          <w:sz w:val="21"/>
        </w:rPr>
        <w:t>将绿色展陈、环境教育与可持续生活方式主题纳入教育规划，使博物馆成为公众理解和践行可持续发展目标的重要非正式学习环境。</w:t>
      </w:r>
      <w:bookmarkStart w:id="92" w:name="fnref6_7"/>
      <w:bookmarkEnd w:id="92"/>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93" w:name="fnref23_5"/>
      <w:bookmarkEnd w:id="93"/>
      <w:r>
        <w:fldChar w:fldCharType="begin"/>
      </w:r>
      <w:r>
        <w:instrText xml:space="preserve"> HYPERLINK \l "fn23" \h </w:instrText>
      </w:r>
      <w:r>
        <w:fldChar w:fldCharType="separate"/>
      </w:r>
      <w:r>
        <w:rPr>
          <w:rFonts w:ascii="inter" w:hAnsi="inter" w:eastAsia="inter" w:cs="inter"/>
          <w:color w:val="000000"/>
          <w:sz w:val="21"/>
          <w:u w:val="single"/>
          <w:vertAlign w:val="superscript"/>
        </w:rPr>
        <w:t>[23]</w:t>
      </w:r>
      <w:r>
        <w:rPr>
          <w:rFonts w:ascii="inter" w:hAnsi="inter" w:eastAsia="inter" w:cs="inter"/>
          <w:color w:val="000000"/>
          <w:sz w:val="21"/>
          <w:u w:val="single"/>
          <w:vertAlign w:val="superscript"/>
        </w:rPr>
        <w:fldChar w:fldCharType="end"/>
      </w:r>
      <w:bookmarkStart w:id="94" w:name="fnref1_4"/>
      <w:bookmarkEnd w:id="94"/>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p>
    <w:p w14:paraId="54C5F2BB">
      <w:pPr>
        <w:spacing w:before="210" w:after="0" w:line="360" w:lineRule="auto"/>
      </w:pPr>
      <w:r>
        <w:pict>
          <v:rect id="_x0000_s1032" o:spid="_x0000_s1032" o:spt="1" style="height:0.05pt;width:475.5pt;" coordsize="21600,21600">
            <v:path/>
            <v:fill focussize="0,0"/>
            <v:stroke weight="1pt" color="#000000" opacity="0f"/>
            <v:imagedata o:title=""/>
            <o:lock v:ext="edit"/>
            <w10:wrap type="none"/>
            <w10:anchorlock/>
          </v:rect>
        </w:pict>
      </w:r>
    </w:p>
    <w:p w14:paraId="4190E759">
      <w:pPr>
        <w:spacing w:after="210" w:line="360" w:lineRule="auto"/>
      </w:pPr>
      <w:r>
        <w:rPr>
          <w:rFonts w:ascii="inter" w:hAnsi="inter" w:eastAsia="inter" w:cs="inter"/>
          <w:color w:val="000000"/>
        </w:rPr>
        <w:t>以上文本已按学术与政策研究报告的逻辑结构、术语密度与引文规范编排，并系统嵌入多套对比表格与“优势—局限—适用条件”的辩证分析结构，可直接导入文字处理软件另存为可下载的 docx 文档。</w:t>
      </w:r>
      <w:r>
        <w:rPr>
          <w:rFonts w:ascii="inter" w:hAnsi="inter" w:eastAsia="inter" w:cs="inter"/>
          <w:color w:val="000000"/>
        </w:rPr>
        <w:br w:type="textWrapping"/>
      </w:r>
    </w:p>
    <w:p w14:paraId="40284736">
      <w:pPr>
        <w:spacing w:line="360" w:lineRule="auto"/>
      </w:pPr>
      <w:r>
        <w:rPr>
          <w:rFonts w:ascii="inter" w:hAnsi="inter" w:eastAsia="inter" w:cs="inter"/>
          <w:color w:val="000000"/>
        </w:rPr>
        <w:t>⁂</w:t>
      </w:r>
    </w:p>
    <w:p w14:paraId="209EDC41">
      <w:pPr>
        <w:spacing w:before="210" w:after="0" w:line="360" w:lineRule="auto"/>
      </w:pPr>
      <w:r>
        <w:pict>
          <v:rect id="_x0000_s1033" o:spid="_x0000_s1033" o:spt="1" style="height:0.05pt;width:475.5pt;" coordsize="21600,21600">
            <v:path/>
            <v:fill focussize="0,0"/>
            <v:stroke weight="1pt" color="#000000" opacity="0f"/>
            <v:imagedata o:title=""/>
            <o:lock v:ext="edit"/>
            <w10:wrap type="none"/>
            <w10:anchorlock/>
          </v:rect>
        </w:pict>
      </w:r>
    </w:p>
    <w:p w14:paraId="14BB3D2E">
      <w:pPr>
        <w:numPr>
          <w:ilvl w:val="0"/>
          <w:numId w:val="39"/>
        </w:numPr>
        <w:spacing w:after="210" w:line="360" w:lineRule="auto"/>
      </w:pPr>
      <w:bookmarkStart w:id="95" w:name="fn1"/>
      <w:bookmarkEnd w:id="95"/>
      <w:r>
        <w:fldChar w:fldCharType="begin"/>
      </w:r>
      <w:r>
        <w:instrText xml:space="preserve"> HYPERLINK "https://artsineducation.ie/resource/implementation-guidance-for-unesco-framework-for-culture-and-arts-education/" \h </w:instrText>
      </w:r>
      <w:r>
        <w:fldChar w:fldCharType="separate"/>
      </w:r>
      <w:r>
        <w:rPr>
          <w:rFonts w:ascii="inter" w:hAnsi="inter" w:eastAsia="inter" w:cs="inter"/>
          <w:color w:val="000000"/>
          <w:sz w:val="18"/>
          <w:u w:val="single"/>
        </w:rPr>
        <w:t>https://artsineducation.ie/resource/implementation-guidance-for-unesco-framework-for-culture-and-arts-education/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2046BF5">
      <w:pPr>
        <w:numPr>
          <w:ilvl w:val="0"/>
          <w:numId w:val="39"/>
        </w:numPr>
        <w:spacing w:after="210" w:line="360" w:lineRule="auto"/>
      </w:pPr>
      <w:bookmarkStart w:id="96" w:name="fn2"/>
      <w:bookmarkEnd w:id="96"/>
      <w:r>
        <w:fldChar w:fldCharType="begin"/>
      </w:r>
      <w:r>
        <w:instrText xml:space="preserve"> HYPERLINK "https://www.unesco.org/sites/default/files/medias/fichiers/2024/02/WCCAE_UNESCO%20Framework_EN_0.pdf" \h </w:instrText>
      </w:r>
      <w:r>
        <w:fldChar w:fldCharType="separate"/>
      </w:r>
      <w:r>
        <w:rPr>
          <w:rFonts w:ascii="inter" w:hAnsi="inter" w:eastAsia="inter" w:cs="inter"/>
          <w:color w:val="000000"/>
          <w:sz w:val="18"/>
          <w:u w:val="single"/>
        </w:rPr>
        <w:t>https://www.unesco.org/sites/default/files/medias/fichiers/2024/02/WCCAE_UNESCO Framework_EN_0.pdf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69E7BB6">
      <w:pPr>
        <w:numPr>
          <w:ilvl w:val="0"/>
          <w:numId w:val="39"/>
        </w:numPr>
        <w:spacing w:after="210" w:line="360" w:lineRule="auto"/>
      </w:pPr>
      <w:bookmarkStart w:id="97" w:name="fn3"/>
      <w:bookmarkEnd w:id="97"/>
      <w:r>
        <w:fldChar w:fldCharType="begin"/>
      </w:r>
      <w:r>
        <w:instrText xml:space="preserve"> HYPERLINK "https://lifelonglearning-toolkit.uil.unesco.org/en/node/189" \h </w:instrText>
      </w:r>
      <w:r>
        <w:fldChar w:fldCharType="separate"/>
      </w:r>
      <w:r>
        <w:rPr>
          <w:rFonts w:ascii="inter" w:hAnsi="inter" w:eastAsia="inter" w:cs="inter"/>
          <w:color w:val="000000"/>
          <w:sz w:val="18"/>
          <w:u w:val="single"/>
        </w:rPr>
        <w:t>https://lifelonglearning-toolkit.uil.unesco.org/en/node/189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154E11D">
      <w:pPr>
        <w:numPr>
          <w:ilvl w:val="0"/>
          <w:numId w:val="39"/>
        </w:numPr>
        <w:spacing w:after="210" w:line="360" w:lineRule="auto"/>
      </w:pPr>
      <w:bookmarkStart w:id="98" w:name="fn4"/>
      <w:bookmarkEnd w:id="98"/>
      <w:r>
        <w:fldChar w:fldCharType="begin"/>
      </w:r>
      <w:r>
        <w:instrText xml:space="preserve"> HYPERLINK "https://www.weforum.org/stories/2026/01/informal-science-spaces-unlock-learning-excluded-children/" \h </w:instrText>
      </w:r>
      <w:r>
        <w:fldChar w:fldCharType="separate"/>
      </w:r>
      <w:r>
        <w:rPr>
          <w:rFonts w:ascii="inter" w:hAnsi="inter" w:eastAsia="inter" w:cs="inter"/>
          <w:color w:val="000000"/>
          <w:sz w:val="18"/>
          <w:u w:val="single"/>
        </w:rPr>
        <w:t>https://www.weforum.org/stories/2026/01/informal-science-spaces-unlock-learning-excluded-children/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85F53F5">
      <w:pPr>
        <w:numPr>
          <w:ilvl w:val="0"/>
          <w:numId w:val="39"/>
        </w:numPr>
        <w:spacing w:after="210" w:line="360" w:lineRule="auto"/>
      </w:pPr>
      <w:bookmarkStart w:id="99" w:name="fn5"/>
      <w:bookmarkEnd w:id="99"/>
      <w:r>
        <w:fldChar w:fldCharType="begin"/>
      </w:r>
      <w:r>
        <w:instrText xml:space="preserve"> HYPERLINK "https://dera.ioe.ac.uk/id/eprint/4551/22/musuem_vision_report_Redacted.pdf" \h </w:instrText>
      </w:r>
      <w:r>
        <w:fldChar w:fldCharType="separate"/>
      </w:r>
      <w:r>
        <w:rPr>
          <w:rFonts w:ascii="inter" w:hAnsi="inter" w:eastAsia="inter" w:cs="inter"/>
          <w:color w:val="000000"/>
          <w:sz w:val="18"/>
          <w:u w:val="single"/>
        </w:rPr>
        <w:t>https://dera.ioe.ac.uk/id/eprint/4551/22/musuem_vision_report_Redacted.pdf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0C129F8">
      <w:pPr>
        <w:numPr>
          <w:ilvl w:val="0"/>
          <w:numId w:val="39"/>
        </w:numPr>
        <w:spacing w:after="210" w:line="360" w:lineRule="auto"/>
      </w:pPr>
      <w:bookmarkStart w:id="100" w:name="fn6"/>
      <w:bookmarkEnd w:id="100"/>
      <w:r>
        <w:fldChar w:fldCharType="begin"/>
      </w:r>
      <w:r>
        <w:instrText xml:space="preserve"> HYPERLINK "https://cimam.org/resources-publications/unesco-recommendation-concerning-the-protection-and-promotion-of-museums-and-collections/" \h </w:instrText>
      </w:r>
      <w:r>
        <w:fldChar w:fldCharType="separate"/>
      </w:r>
      <w:r>
        <w:rPr>
          <w:rFonts w:ascii="inter" w:hAnsi="inter" w:eastAsia="inter" w:cs="inter"/>
          <w:color w:val="000000"/>
          <w:sz w:val="18"/>
          <w:u w:val="single"/>
        </w:rPr>
        <w:t>https://cimam.org/resources-publications/unesco-recommendation-concerning-the-protection-and-promotion-of-museums-and-collections/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868E8F1">
      <w:pPr>
        <w:numPr>
          <w:ilvl w:val="0"/>
          <w:numId w:val="39"/>
        </w:numPr>
        <w:spacing w:after="210" w:line="360" w:lineRule="auto"/>
      </w:pPr>
      <w:bookmarkStart w:id="101" w:name="fn7"/>
      <w:bookmarkEnd w:id="101"/>
      <w:r>
        <w:fldChar w:fldCharType="begin"/>
      </w:r>
      <w:r>
        <w:instrText xml:space="preserve"> HYPERLINK "https://www.aam-us.org/2024/10/25/museums-and-community-perceptions-and-engagement-a-2024-annual-survey-of-museum-goers-data-story/" \h </w:instrText>
      </w:r>
      <w:r>
        <w:fldChar w:fldCharType="separate"/>
      </w:r>
      <w:r>
        <w:rPr>
          <w:rFonts w:ascii="inter" w:hAnsi="inter" w:eastAsia="inter" w:cs="inter"/>
          <w:color w:val="000000"/>
          <w:sz w:val="18"/>
          <w:u w:val="single"/>
        </w:rPr>
        <w:t>https://www.aam-us.org/2024/10/25/museums-and-community-perceptions-and-engagement-a-2024-annual-survey-of-museum-goers-data-story/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D262383">
      <w:pPr>
        <w:numPr>
          <w:ilvl w:val="0"/>
          <w:numId w:val="39"/>
        </w:numPr>
        <w:spacing w:after="210" w:line="360" w:lineRule="auto"/>
      </w:pPr>
      <w:bookmarkStart w:id="102" w:name="fn8"/>
      <w:bookmarkEnd w:id="102"/>
      <w:r>
        <w:fldChar w:fldCharType="begin"/>
      </w:r>
      <w:r>
        <w:instrText xml:space="preserve"> HYPERLINK "https://museumgoers.aam-us.org" \h </w:instrText>
      </w:r>
      <w:r>
        <w:fldChar w:fldCharType="separate"/>
      </w:r>
      <w:r>
        <w:rPr>
          <w:rFonts w:ascii="inter" w:hAnsi="inter" w:eastAsia="inter" w:cs="inter"/>
          <w:color w:val="000000"/>
          <w:sz w:val="18"/>
          <w:u w:val="single"/>
        </w:rPr>
        <w:t>https://museumgoers.aam-us.org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0D02390">
      <w:pPr>
        <w:numPr>
          <w:ilvl w:val="0"/>
          <w:numId w:val="39"/>
        </w:numPr>
        <w:spacing w:after="210" w:line="360" w:lineRule="auto"/>
      </w:pPr>
      <w:bookmarkStart w:id="103" w:name="fn9"/>
      <w:bookmarkEnd w:id="103"/>
      <w:r>
        <w:fldChar w:fldCharType="begin"/>
      </w:r>
      <w:r>
        <w:instrText xml:space="preserve"> HYPERLINK "https://blooloop.com/museum/in-depth/emerging-museum-technologies/" \h </w:instrText>
      </w:r>
      <w:r>
        <w:fldChar w:fldCharType="separate"/>
      </w:r>
      <w:r>
        <w:rPr>
          <w:rFonts w:ascii="inter" w:hAnsi="inter" w:eastAsia="inter" w:cs="inter"/>
          <w:color w:val="000000"/>
          <w:sz w:val="18"/>
          <w:u w:val="single"/>
        </w:rPr>
        <w:t>https://blooloop.com/museum/in-depth/emerging-museum-technologies/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69B60B7">
      <w:pPr>
        <w:numPr>
          <w:ilvl w:val="0"/>
          <w:numId w:val="39"/>
        </w:numPr>
        <w:spacing w:after="210" w:line="360" w:lineRule="auto"/>
      </w:pPr>
      <w:bookmarkStart w:id="104" w:name="fn10"/>
      <w:bookmarkEnd w:id="104"/>
      <w:r>
        <w:fldChar w:fldCharType="begin"/>
      </w:r>
      <w:r>
        <w:instrText xml:space="preserve"> HYPERLINK "https://www.museumnext.com/article/artificial-intelligence-and-the-future-of-museums/" \h </w:instrText>
      </w:r>
      <w:r>
        <w:fldChar w:fldCharType="separate"/>
      </w:r>
      <w:r>
        <w:rPr>
          <w:rFonts w:ascii="inter" w:hAnsi="inter" w:eastAsia="inter" w:cs="inter"/>
          <w:color w:val="000000"/>
          <w:sz w:val="18"/>
          <w:u w:val="single"/>
        </w:rPr>
        <w:t>https://www.museumnext.com/article/artificial-intelligence-and-the-future-of-museums/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9298919">
      <w:pPr>
        <w:numPr>
          <w:ilvl w:val="0"/>
          <w:numId w:val="39"/>
        </w:numPr>
        <w:spacing w:after="210" w:line="360" w:lineRule="auto"/>
      </w:pPr>
      <w:bookmarkStart w:id="105" w:name="fn11"/>
      <w:bookmarkEnd w:id="105"/>
      <w:r>
        <w:fldChar w:fldCharType="begin"/>
      </w:r>
      <w:r>
        <w:instrText xml:space="preserve"> HYPERLINK "https://openspaces.unk.edu/cgi/viewcontent.cgi?article=1003&amp;context=art-etd-895" \h </w:instrText>
      </w:r>
      <w:r>
        <w:fldChar w:fldCharType="separate"/>
      </w:r>
      <w:r>
        <w:rPr>
          <w:rFonts w:ascii="inter" w:hAnsi="inter" w:eastAsia="inter" w:cs="inter"/>
          <w:color w:val="000000"/>
          <w:sz w:val="18"/>
          <w:u w:val="single"/>
        </w:rPr>
        <w:t>https://openspaces.unk.edu/cgi/viewcontent.cgi?article=1003&amp;context=art-etd-895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9D06C6A">
      <w:pPr>
        <w:numPr>
          <w:ilvl w:val="0"/>
          <w:numId w:val="39"/>
        </w:numPr>
        <w:spacing w:after="210" w:line="360" w:lineRule="auto"/>
      </w:pPr>
      <w:bookmarkStart w:id="106" w:name="fn12"/>
      <w:bookmarkEnd w:id="106"/>
      <w:r>
        <w:fldChar w:fldCharType="begin"/>
      </w:r>
      <w:r>
        <w:instrText xml:space="preserve"> HYPERLINK "https://ssec.si.edu/stemvisions-blog/picking-steam" \h </w:instrText>
      </w:r>
      <w:r>
        <w:fldChar w:fldCharType="separate"/>
      </w:r>
      <w:r>
        <w:rPr>
          <w:rFonts w:ascii="inter" w:hAnsi="inter" w:eastAsia="inter" w:cs="inter"/>
          <w:color w:val="000000"/>
          <w:sz w:val="18"/>
          <w:u w:val="single"/>
        </w:rPr>
        <w:t>https://ssec.si.edu/stemvisions-blog/picking-steam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1A927E8">
      <w:pPr>
        <w:numPr>
          <w:ilvl w:val="0"/>
          <w:numId w:val="39"/>
        </w:numPr>
        <w:spacing w:after="210" w:line="360" w:lineRule="auto"/>
      </w:pPr>
      <w:bookmarkStart w:id="107" w:name="fn13"/>
      <w:bookmarkEnd w:id="107"/>
      <w:r>
        <w:fldChar w:fldCharType="begin"/>
      </w:r>
      <w:r>
        <w:instrText xml:space="preserve"> HYPERLINK "https://aaslh.org/steam-for-sites/" \h </w:instrText>
      </w:r>
      <w:r>
        <w:fldChar w:fldCharType="separate"/>
      </w:r>
      <w:r>
        <w:rPr>
          <w:rFonts w:ascii="inter" w:hAnsi="inter" w:eastAsia="inter" w:cs="inter"/>
          <w:color w:val="000000"/>
          <w:sz w:val="18"/>
          <w:u w:val="single"/>
        </w:rPr>
        <w:t>https://aaslh.org/steam-for-sites/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EA19FC9">
      <w:pPr>
        <w:numPr>
          <w:ilvl w:val="0"/>
          <w:numId w:val="39"/>
        </w:numPr>
        <w:spacing w:after="210" w:line="360" w:lineRule="auto"/>
      </w:pPr>
      <w:bookmarkStart w:id="108" w:name="fn14"/>
      <w:bookmarkEnd w:id="108"/>
      <w:r>
        <w:fldChar w:fldCharType="begin"/>
      </w:r>
      <w:r>
        <w:instrText xml:space="preserve"> HYPERLINK "https://www.arteducators.org/resources/platform-and-position-statements/naea-position-statements-curriculum/552-naea-position-statement-on-steam-education/" \h </w:instrText>
      </w:r>
      <w:r>
        <w:fldChar w:fldCharType="separate"/>
      </w:r>
      <w:r>
        <w:rPr>
          <w:rFonts w:ascii="inter" w:hAnsi="inter" w:eastAsia="inter" w:cs="inter"/>
          <w:color w:val="000000"/>
          <w:sz w:val="18"/>
          <w:u w:val="single"/>
        </w:rPr>
        <w:t>https://www.arteducators.org/resources/platform-and-position-statements/naea-position-statements-curriculum/552-naea-position-statement-on-steam-education/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3238136">
      <w:pPr>
        <w:numPr>
          <w:ilvl w:val="0"/>
          <w:numId w:val="39"/>
        </w:numPr>
        <w:spacing w:after="210" w:line="360" w:lineRule="auto"/>
      </w:pPr>
      <w:bookmarkStart w:id="109" w:name="fn15"/>
      <w:bookmarkEnd w:id="109"/>
      <w:r>
        <w:fldChar w:fldCharType="begin"/>
      </w:r>
      <w:r>
        <w:instrText xml:space="preserve"> HYPERLINK "https://www.aam-us.org/programs/accreditation-excellence-programs/community-engagement-assessment/" \h </w:instrText>
      </w:r>
      <w:r>
        <w:fldChar w:fldCharType="separate"/>
      </w:r>
      <w:r>
        <w:rPr>
          <w:rFonts w:ascii="inter" w:hAnsi="inter" w:eastAsia="inter" w:cs="inter"/>
          <w:color w:val="000000"/>
          <w:sz w:val="18"/>
          <w:u w:val="single"/>
        </w:rPr>
        <w:t>https://www.aam-us.org/programs/accreditation-excellence-programs/community-engagement-assessment/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F3EE30B">
      <w:pPr>
        <w:numPr>
          <w:ilvl w:val="0"/>
          <w:numId w:val="39"/>
        </w:numPr>
        <w:spacing w:after="210" w:line="360" w:lineRule="auto"/>
      </w:pPr>
      <w:bookmarkStart w:id="110" w:name="fn16"/>
      <w:bookmarkEnd w:id="110"/>
      <w:r>
        <w:fldChar w:fldCharType="begin"/>
      </w:r>
      <w:r>
        <w:instrText xml:space="preserve"> HYPERLINK "https://www.museumsassociation.org/museums-journal/news/2025/11/museum-sector-bodies-welcome-curriculum-recommendations/" \h </w:instrText>
      </w:r>
      <w:r>
        <w:fldChar w:fldCharType="separate"/>
      </w:r>
      <w:r>
        <w:rPr>
          <w:rFonts w:ascii="inter" w:hAnsi="inter" w:eastAsia="inter" w:cs="inter"/>
          <w:color w:val="000000"/>
          <w:sz w:val="18"/>
          <w:u w:val="single"/>
        </w:rPr>
        <w:t>https://www.museumsassociation.org/museums-journal/news/2025/11/museum-sector-bodies-welcome-curriculum-recommendations/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C76E2F8">
      <w:pPr>
        <w:numPr>
          <w:ilvl w:val="0"/>
          <w:numId w:val="39"/>
        </w:numPr>
        <w:spacing w:after="210" w:line="360" w:lineRule="auto"/>
      </w:pPr>
      <w:bookmarkStart w:id="111" w:name="fn17"/>
      <w:bookmarkEnd w:id="111"/>
      <w:r>
        <w:fldChar w:fldCharType="begin"/>
      </w:r>
      <w:r>
        <w:instrText xml:space="preserve"> HYPERLINK "https://www.museumsassociation.org/museums-journal/analysis/2025/04/a-blueprint-for-cultural-education/" \h </w:instrText>
      </w:r>
      <w:r>
        <w:fldChar w:fldCharType="separate"/>
      </w:r>
      <w:r>
        <w:rPr>
          <w:rFonts w:ascii="inter" w:hAnsi="inter" w:eastAsia="inter" w:cs="inter"/>
          <w:color w:val="000000"/>
          <w:sz w:val="18"/>
          <w:u w:val="single"/>
        </w:rPr>
        <w:t>https://www.museumsassociation.org/museums-journal/analysis/2025/04/a-blueprint-for-cultural-education/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DF3D82F">
      <w:pPr>
        <w:numPr>
          <w:ilvl w:val="0"/>
          <w:numId w:val="39"/>
        </w:numPr>
        <w:spacing w:after="210" w:line="360" w:lineRule="auto"/>
      </w:pPr>
      <w:bookmarkStart w:id="112" w:name="fn18"/>
      <w:bookmarkEnd w:id="112"/>
      <w:r>
        <w:fldChar w:fldCharType="begin"/>
      </w:r>
      <w:r>
        <w:instrText xml:space="preserve"> HYPERLINK "https://www.museumsassociation.org/campaigns/learning-and-engagement/manifesto/" \h </w:instrText>
      </w:r>
      <w:r>
        <w:fldChar w:fldCharType="separate"/>
      </w:r>
      <w:r>
        <w:rPr>
          <w:rFonts w:ascii="inter" w:hAnsi="inter" w:eastAsia="inter" w:cs="inter"/>
          <w:color w:val="000000"/>
          <w:sz w:val="18"/>
          <w:u w:val="single"/>
        </w:rPr>
        <w:t>https://www.museumsassociation.org/campaigns/learning-and-engagement/manifesto/</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FAB25CB">
      <w:pPr>
        <w:numPr>
          <w:ilvl w:val="0"/>
          <w:numId w:val="39"/>
        </w:numPr>
        <w:spacing w:after="210" w:line="360" w:lineRule="auto"/>
      </w:pPr>
      <w:bookmarkStart w:id="113" w:name="fn19"/>
      <w:bookmarkEnd w:id="113"/>
      <w:r>
        <w:fldChar w:fldCharType="begin"/>
      </w:r>
      <w:r>
        <w:instrText xml:space="preserve"> HYPERLINK "https://www.sciencedirect.com/science/article/abs/pii/S1296207410001068" \h </w:instrText>
      </w:r>
      <w:r>
        <w:fldChar w:fldCharType="separate"/>
      </w:r>
      <w:r>
        <w:rPr>
          <w:rFonts w:ascii="inter" w:hAnsi="inter" w:eastAsia="inter" w:cs="inter"/>
          <w:color w:val="000000"/>
          <w:sz w:val="18"/>
          <w:u w:val="single"/>
        </w:rPr>
        <w:t>https://www.sciencedirect.com/science/article/abs/pii/S1296207410001068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A5E4FD3">
      <w:pPr>
        <w:numPr>
          <w:ilvl w:val="0"/>
          <w:numId w:val="39"/>
        </w:numPr>
        <w:spacing w:after="210" w:line="360" w:lineRule="auto"/>
      </w:pPr>
      <w:bookmarkStart w:id="114" w:name="fn20"/>
      <w:bookmarkEnd w:id="114"/>
      <w:r>
        <w:fldChar w:fldCharType="begin"/>
      </w:r>
      <w:r>
        <w:instrText xml:space="preserve"> HYPERLINK "https://ideas.repec.org/a/axf/gbppsa/v12y2025ip63-69.html" \h </w:instrText>
      </w:r>
      <w:r>
        <w:fldChar w:fldCharType="separate"/>
      </w:r>
      <w:r>
        <w:rPr>
          <w:rFonts w:ascii="inter" w:hAnsi="inter" w:eastAsia="inter" w:cs="inter"/>
          <w:color w:val="000000"/>
          <w:sz w:val="18"/>
          <w:u w:val="single"/>
        </w:rPr>
        <w:t>https://ideas.repec.org/a/axf/gbppsa/v12y2025ip63-69.html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334604A">
      <w:pPr>
        <w:numPr>
          <w:ilvl w:val="0"/>
          <w:numId w:val="39"/>
        </w:numPr>
        <w:spacing w:after="210" w:line="360" w:lineRule="auto"/>
      </w:pPr>
      <w:bookmarkStart w:id="115" w:name="fn21"/>
      <w:bookmarkEnd w:id="115"/>
      <w:r>
        <w:fldChar w:fldCharType="begin"/>
      </w:r>
      <w:r>
        <w:instrText xml:space="preserve"> HYPERLINK "https://www.aam-us.org/2017/07/24/museum-education-chinas-next-big-build-out/" \h </w:instrText>
      </w:r>
      <w:r>
        <w:fldChar w:fldCharType="separate"/>
      </w:r>
      <w:r>
        <w:rPr>
          <w:rFonts w:ascii="inter" w:hAnsi="inter" w:eastAsia="inter" w:cs="inter"/>
          <w:color w:val="000000"/>
          <w:sz w:val="18"/>
          <w:u w:val="single"/>
        </w:rPr>
        <w:t>https://www.aam-us.org/2017/07/24/museum-education-chinas-next-big-build-out/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226E6BC">
      <w:pPr>
        <w:numPr>
          <w:ilvl w:val="0"/>
          <w:numId w:val="39"/>
        </w:numPr>
        <w:spacing w:after="210" w:line="360" w:lineRule="auto"/>
      </w:pPr>
      <w:bookmarkStart w:id="116" w:name="fn22"/>
      <w:bookmarkEnd w:id="116"/>
      <w:r>
        <w:fldChar w:fldCharType="begin"/>
      </w:r>
      <w:r>
        <w:instrText xml:space="preserve"> HYPERLINK "https://ojs.bonfuturepress.com/index.php/GHSS/article/view/1816?articlesBySimilarityPage=14" \h </w:instrText>
      </w:r>
      <w:r>
        <w:fldChar w:fldCharType="separate"/>
      </w:r>
      <w:r>
        <w:rPr>
          <w:rFonts w:ascii="inter" w:hAnsi="inter" w:eastAsia="inter" w:cs="inter"/>
          <w:color w:val="000000"/>
          <w:sz w:val="18"/>
          <w:u w:val="single"/>
        </w:rPr>
        <w:t>https://ojs.bonfuturepress.com/index.php/GHSS/article/view/1816?articlesBySimilarityPage=14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D8E0E4B">
      <w:pPr>
        <w:numPr>
          <w:ilvl w:val="0"/>
          <w:numId w:val="39"/>
        </w:numPr>
        <w:spacing w:after="210" w:line="360" w:lineRule="auto"/>
      </w:pPr>
      <w:bookmarkStart w:id="117" w:name="fn23"/>
      <w:bookmarkEnd w:id="117"/>
      <w:r>
        <w:fldChar w:fldCharType="begin"/>
      </w:r>
      <w:r>
        <w:instrText xml:space="preserve"> HYPERLINK "https://iigf-china.com/wp-content/uploads/2023/09/Exploring-the-Path-to-Sustainable-Development-of-Museums.pdf" \h </w:instrText>
      </w:r>
      <w:r>
        <w:fldChar w:fldCharType="separate"/>
      </w:r>
      <w:r>
        <w:rPr>
          <w:rFonts w:ascii="inter" w:hAnsi="inter" w:eastAsia="inter" w:cs="inter"/>
          <w:color w:val="000000"/>
          <w:sz w:val="18"/>
          <w:u w:val="single"/>
        </w:rPr>
        <w:t>https://iigf-china.com/wp-content/uploads/2023/09/Exploring-the-Path-to-Sustainable-Development-of-Museums.pdf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5E91C07">
      <w:pPr>
        <w:numPr>
          <w:ilvl w:val="0"/>
          <w:numId w:val="39"/>
        </w:numPr>
        <w:spacing w:after="210" w:line="360" w:lineRule="auto"/>
      </w:pPr>
      <w:bookmarkStart w:id="118" w:name="fn24"/>
      <w:bookmarkEnd w:id="118"/>
      <w:r>
        <w:fldChar w:fldCharType="begin"/>
      </w:r>
      <w:r>
        <w:instrText xml:space="preserve"> HYPERLINK "https://www.cambridgepublish.com/ytr/article/view/52" \h </w:instrText>
      </w:r>
      <w:r>
        <w:fldChar w:fldCharType="separate"/>
      </w:r>
      <w:r>
        <w:rPr>
          <w:rFonts w:ascii="inter" w:hAnsi="inter" w:eastAsia="inter" w:cs="inter"/>
          <w:color w:val="000000"/>
          <w:sz w:val="18"/>
          <w:u w:val="single"/>
        </w:rPr>
        <w:t>https://www.cambridgepublish.com/ytr/article/view/52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EAED714">
      <w:pPr>
        <w:numPr>
          <w:ilvl w:val="0"/>
          <w:numId w:val="39"/>
        </w:numPr>
        <w:spacing w:after="210" w:line="360" w:lineRule="auto"/>
      </w:pPr>
      <w:bookmarkStart w:id="119" w:name="fn25"/>
      <w:bookmarkEnd w:id="119"/>
      <w:r>
        <w:fldChar w:fldCharType="begin"/>
      </w:r>
      <w:r>
        <w:instrText xml:space="preserve"> HYPERLINK "https://themuseumcreative.com/blog/the-future-of-ai-content-in-museums" \h </w:instrText>
      </w:r>
      <w:r>
        <w:fldChar w:fldCharType="separate"/>
      </w:r>
      <w:r>
        <w:rPr>
          <w:rFonts w:ascii="inter" w:hAnsi="inter" w:eastAsia="inter" w:cs="inter"/>
          <w:color w:val="000000"/>
          <w:sz w:val="18"/>
          <w:u w:val="single"/>
        </w:rPr>
        <w:t>https://themuseumcreative.com/blog/the-future-of-ai-content-in-museums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0C41C14">
      <w:pPr>
        <w:numPr>
          <w:ilvl w:val="0"/>
          <w:numId w:val="39"/>
        </w:numPr>
        <w:spacing w:after="210" w:line="360" w:lineRule="auto"/>
      </w:pPr>
      <w:bookmarkStart w:id="120" w:name="fn26"/>
      <w:bookmarkEnd w:id="120"/>
      <w:r>
        <w:fldChar w:fldCharType="begin"/>
      </w:r>
      <w:r>
        <w:instrText xml:space="preserve"> HYPERLINK "https://www.dpm.org.cn/Uploads/File/2024/05/20/u664ae571d1204.pdf" \h </w:instrText>
      </w:r>
      <w:r>
        <w:fldChar w:fldCharType="separate"/>
      </w:r>
      <w:r>
        <w:rPr>
          <w:rFonts w:ascii="inter" w:hAnsi="inter" w:eastAsia="inter" w:cs="inter"/>
          <w:color w:val="000000"/>
          <w:sz w:val="18"/>
          <w:u w:val="single"/>
        </w:rPr>
        <w:t>https://www.dpm.org.cn/Uploads/File/2024/05/20/u664ae571d1204.pdf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8D80547">
      <w:pPr>
        <w:numPr>
          <w:ilvl w:val="0"/>
          <w:numId w:val="39"/>
        </w:numPr>
        <w:spacing w:after="210" w:line="360" w:lineRule="auto"/>
      </w:pPr>
      <w:bookmarkStart w:id="121" w:name="fn27"/>
      <w:bookmarkEnd w:id="121"/>
      <w:r>
        <w:fldChar w:fldCharType="begin"/>
      </w:r>
      <w:r>
        <w:instrText xml:space="preserve"> HYPERLINK "https://madison-proceedings.com/index.php/aehssr/article/download/986/984" \h </w:instrText>
      </w:r>
      <w:r>
        <w:fldChar w:fldCharType="separate"/>
      </w:r>
      <w:r>
        <w:rPr>
          <w:rFonts w:ascii="inter" w:hAnsi="inter" w:eastAsia="inter" w:cs="inter"/>
          <w:color w:val="000000"/>
          <w:sz w:val="18"/>
          <w:u w:val="single"/>
        </w:rPr>
        <w:t>https://madison-proceedings.com/index.php/aehssr/article/download/986/984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4833936">
      <w:pPr>
        <w:numPr>
          <w:ilvl w:val="0"/>
          <w:numId w:val="39"/>
        </w:numPr>
        <w:spacing w:after="210" w:line="360" w:lineRule="auto"/>
      </w:pPr>
      <w:bookmarkStart w:id="122" w:name="fn28"/>
      <w:bookmarkEnd w:id="122"/>
      <w:r>
        <w:fldChar w:fldCharType="begin"/>
      </w:r>
      <w:r>
        <w:instrText xml:space="preserve"> HYPERLINK "https://www.unesco.org/en/articles/implementation-guidance-unesco-framework-culture-and-arts-education" \h </w:instrText>
      </w:r>
      <w:r>
        <w:fldChar w:fldCharType="separate"/>
      </w:r>
      <w:r>
        <w:rPr>
          <w:rFonts w:ascii="inter" w:hAnsi="inter" w:eastAsia="inter" w:cs="inter"/>
          <w:color w:val="000000"/>
          <w:sz w:val="18"/>
          <w:u w:val="single"/>
        </w:rPr>
        <w:t>https://www.unesco.org/en/articles/implementation-guidance-unesco-framework-culture-and-arts-education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89ED512">
      <w:pPr>
        <w:numPr>
          <w:ilvl w:val="0"/>
          <w:numId w:val="39"/>
        </w:numPr>
        <w:spacing w:after="210" w:line="360" w:lineRule="auto"/>
      </w:pPr>
      <w:bookmarkStart w:id="123" w:name="fn29"/>
      <w:bookmarkEnd w:id="123"/>
      <w:r>
        <w:fldChar w:fldCharType="begin"/>
      </w:r>
      <w:r>
        <w:instrText xml:space="preserve"> HYPERLINK "https://www.culture.gouv.fr/Media/Thematiques/Developpement-culturel/Files/Culture-et-sante/un-cadre-pour-l-education-culturelle-et-artistique-2025-en-anglais" \h </w:instrText>
      </w:r>
      <w:r>
        <w:fldChar w:fldCharType="separate"/>
      </w:r>
      <w:r>
        <w:rPr>
          <w:rFonts w:ascii="inter" w:hAnsi="inter" w:eastAsia="inter" w:cs="inter"/>
          <w:color w:val="000000"/>
          <w:sz w:val="18"/>
          <w:u w:val="single"/>
        </w:rPr>
        <w:t>https://www.culture.gouv.fr/Media/Thematiques/Developpement-culturel/Files/Culture-et-sante/un-cadre-pour-l-education-culturelle-et-artistique-2025-en-anglais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6D7A5E5">
      <w:pPr>
        <w:numPr>
          <w:ilvl w:val="0"/>
          <w:numId w:val="39"/>
        </w:numPr>
        <w:spacing w:after="210" w:line="360" w:lineRule="auto"/>
      </w:pPr>
      <w:bookmarkStart w:id="124" w:name="fn30"/>
      <w:bookmarkEnd w:id="124"/>
      <w:r>
        <w:fldChar w:fldCharType="begin"/>
      </w:r>
      <w:r>
        <w:instrText xml:space="preserve"> HYPERLINK "https://www.aam-us.org/2024/10/18/the-influence-of-staff-on-museum-engagement-and-visitation-a-2024-annual-survey-of-museum-goers-data-story/" \h </w:instrText>
      </w:r>
      <w:r>
        <w:fldChar w:fldCharType="separate"/>
      </w:r>
      <w:r>
        <w:rPr>
          <w:rFonts w:ascii="inter" w:hAnsi="inter" w:eastAsia="inter" w:cs="inter"/>
          <w:color w:val="000000"/>
          <w:sz w:val="18"/>
          <w:u w:val="single"/>
        </w:rPr>
        <w:t>https://www.aam-us.org/2024/10/18/the-influence-of-staff-on-museum-engagement-and-visitation-a-2024-annual-survey-of-museum-goers-data-story/</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1"/>
      <w:numFmt w:val="bullet"/>
      <w:lvlText w:val=""/>
      <w:lvlJc w:val="left"/>
      <w:pPr>
        <w:tabs>
          <w:tab w:val="left" w:pos="900"/>
        </w:tabs>
        <w:ind w:left="540" w:hanging="360"/>
      </w:pPr>
      <w:rPr>
        <w:rFonts w:hint="default" w:ascii="Symbol" w:hAnsi="Symbol"/>
      </w:rPr>
    </w:lvl>
  </w:abstractNum>
  <w:abstractNum w:abstractNumId="1">
    <w:nsid w:val="8461FADE"/>
    <w:multiLevelType w:val="singleLevel"/>
    <w:tmpl w:val="8461FADE"/>
    <w:lvl w:ilvl="0" w:tentative="0">
      <w:start w:val="1"/>
      <w:numFmt w:val="decimal"/>
      <w:lvlText w:val="%1."/>
      <w:lvlJc w:val="left"/>
      <w:pPr>
        <w:tabs>
          <w:tab w:val="left" w:pos="900"/>
        </w:tabs>
        <w:ind w:left="540" w:hanging="360"/>
      </w:pPr>
    </w:lvl>
  </w:abstractNum>
  <w:abstractNum w:abstractNumId="2">
    <w:nsid w:val="9239341B"/>
    <w:multiLevelType w:val="singleLevel"/>
    <w:tmpl w:val="9239341B"/>
    <w:lvl w:ilvl="0" w:tentative="0">
      <w:start w:val="3"/>
      <w:numFmt w:val="decimal"/>
      <w:lvlText w:val="%1."/>
      <w:lvlJc w:val="left"/>
      <w:pPr>
        <w:tabs>
          <w:tab w:val="left" w:pos="900"/>
        </w:tabs>
        <w:ind w:left="540" w:hanging="360"/>
      </w:pPr>
    </w:lvl>
  </w:abstractNum>
  <w:abstractNum w:abstractNumId="3">
    <w:nsid w:val="9288B902"/>
    <w:multiLevelType w:val="singleLevel"/>
    <w:tmpl w:val="9288B902"/>
    <w:lvl w:ilvl="0" w:tentative="0">
      <w:start w:val="1"/>
      <w:numFmt w:val="bullet"/>
      <w:lvlText w:val=""/>
      <w:lvlJc w:val="left"/>
      <w:pPr>
        <w:tabs>
          <w:tab w:val="left" w:pos="900"/>
        </w:tabs>
        <w:ind w:left="540" w:hanging="360"/>
      </w:pPr>
      <w:rPr>
        <w:rFonts w:hint="default" w:ascii="Symbol" w:hAnsi="Symbol"/>
      </w:rPr>
    </w:lvl>
  </w:abstractNum>
  <w:abstractNum w:abstractNumId="4">
    <w:nsid w:val="9C8AC8EF"/>
    <w:multiLevelType w:val="singleLevel"/>
    <w:tmpl w:val="9C8AC8EF"/>
    <w:lvl w:ilvl="0" w:tentative="0">
      <w:start w:val="1"/>
      <w:numFmt w:val="bullet"/>
      <w:lvlText w:val=""/>
      <w:lvlJc w:val="left"/>
      <w:pPr>
        <w:tabs>
          <w:tab w:val="left" w:pos="900"/>
        </w:tabs>
        <w:ind w:left="540" w:hanging="360"/>
      </w:pPr>
      <w:rPr>
        <w:rFonts w:hint="default" w:ascii="Symbol" w:hAnsi="Symbol"/>
      </w:rPr>
    </w:lvl>
  </w:abstractNum>
  <w:abstractNum w:abstractNumId="5">
    <w:nsid w:val="B0F1ACD9"/>
    <w:multiLevelType w:val="singleLevel"/>
    <w:tmpl w:val="B0F1ACD9"/>
    <w:lvl w:ilvl="0" w:tentative="0">
      <w:start w:val="1"/>
      <w:numFmt w:val="decimal"/>
      <w:lvlText w:val="%1."/>
      <w:lvlJc w:val="left"/>
      <w:pPr>
        <w:tabs>
          <w:tab w:val="left" w:pos="900"/>
        </w:tabs>
        <w:ind w:left="540" w:hanging="360"/>
      </w:pPr>
    </w:lvl>
  </w:abstractNum>
  <w:abstractNum w:abstractNumId="6">
    <w:nsid w:val="B5E306ED"/>
    <w:multiLevelType w:val="singleLevel"/>
    <w:tmpl w:val="B5E306ED"/>
    <w:lvl w:ilvl="0" w:tentative="0">
      <w:start w:val="3"/>
      <w:numFmt w:val="decimal"/>
      <w:lvlText w:val="%1."/>
      <w:lvlJc w:val="left"/>
      <w:pPr>
        <w:tabs>
          <w:tab w:val="left" w:pos="900"/>
        </w:tabs>
        <w:ind w:left="540" w:hanging="360"/>
      </w:pPr>
    </w:lvl>
  </w:abstractNum>
  <w:abstractNum w:abstractNumId="7">
    <w:nsid w:val="BE923771"/>
    <w:multiLevelType w:val="singleLevel"/>
    <w:tmpl w:val="BE923771"/>
    <w:lvl w:ilvl="0" w:tentative="0">
      <w:start w:val="1"/>
      <w:numFmt w:val="bullet"/>
      <w:lvlText w:val=""/>
      <w:lvlJc w:val="left"/>
      <w:pPr>
        <w:tabs>
          <w:tab w:val="left" w:pos="900"/>
        </w:tabs>
        <w:ind w:left="540" w:hanging="360"/>
      </w:pPr>
      <w:rPr>
        <w:rFonts w:hint="default" w:ascii="Symbol" w:hAnsi="Symbol"/>
      </w:rPr>
    </w:lvl>
  </w:abstractNum>
  <w:abstractNum w:abstractNumId="8">
    <w:nsid w:val="BF205925"/>
    <w:multiLevelType w:val="singleLevel"/>
    <w:tmpl w:val="BF205925"/>
    <w:lvl w:ilvl="0" w:tentative="0">
      <w:start w:val="1"/>
      <w:numFmt w:val="bullet"/>
      <w:lvlText w:val=""/>
      <w:lvlJc w:val="left"/>
      <w:pPr>
        <w:tabs>
          <w:tab w:val="left" w:pos="900"/>
        </w:tabs>
        <w:ind w:left="540" w:hanging="360"/>
      </w:pPr>
      <w:rPr>
        <w:rFonts w:hint="default" w:ascii="Symbol" w:hAnsi="Symbol"/>
      </w:rPr>
    </w:lvl>
  </w:abstractNum>
  <w:abstractNum w:abstractNumId="9">
    <w:nsid w:val="C8879AEF"/>
    <w:multiLevelType w:val="singleLevel"/>
    <w:tmpl w:val="C8879AEF"/>
    <w:lvl w:ilvl="0" w:tentative="0">
      <w:start w:val="1"/>
      <w:numFmt w:val="bullet"/>
      <w:lvlText w:val=""/>
      <w:lvlJc w:val="left"/>
      <w:pPr>
        <w:tabs>
          <w:tab w:val="left" w:pos="900"/>
        </w:tabs>
        <w:ind w:left="540" w:hanging="360"/>
      </w:pPr>
      <w:rPr>
        <w:rFonts w:hint="default" w:ascii="Symbol" w:hAnsi="Symbol"/>
      </w:rPr>
    </w:lvl>
  </w:abstractNum>
  <w:abstractNum w:abstractNumId="10">
    <w:nsid w:val="CF092B84"/>
    <w:multiLevelType w:val="singleLevel"/>
    <w:tmpl w:val="CF092B84"/>
    <w:lvl w:ilvl="0" w:tentative="0">
      <w:start w:val="1"/>
      <w:numFmt w:val="decimal"/>
      <w:lvlText w:val="%1."/>
      <w:lvlJc w:val="left"/>
      <w:pPr>
        <w:tabs>
          <w:tab w:val="left" w:pos="900"/>
        </w:tabs>
        <w:ind w:left="540" w:hanging="360"/>
      </w:pPr>
    </w:lvl>
  </w:abstractNum>
  <w:abstractNum w:abstractNumId="11">
    <w:nsid w:val="D7F9FE59"/>
    <w:multiLevelType w:val="singleLevel"/>
    <w:tmpl w:val="D7F9FE59"/>
    <w:lvl w:ilvl="0" w:tentative="0">
      <w:start w:val="1"/>
      <w:numFmt w:val="decimal"/>
      <w:lvlText w:val="%1."/>
      <w:lvlJc w:val="left"/>
      <w:pPr>
        <w:tabs>
          <w:tab w:val="left" w:pos="900"/>
        </w:tabs>
        <w:ind w:left="540" w:hanging="360"/>
      </w:pPr>
    </w:lvl>
  </w:abstractNum>
  <w:abstractNum w:abstractNumId="12">
    <w:nsid w:val="DCBA6B53"/>
    <w:multiLevelType w:val="singleLevel"/>
    <w:tmpl w:val="DCBA6B53"/>
    <w:lvl w:ilvl="0" w:tentative="0">
      <w:start w:val="1"/>
      <w:numFmt w:val="bullet"/>
      <w:lvlText w:val=""/>
      <w:lvlJc w:val="left"/>
      <w:pPr>
        <w:tabs>
          <w:tab w:val="left" w:pos="900"/>
        </w:tabs>
        <w:ind w:left="540" w:hanging="360"/>
      </w:pPr>
      <w:rPr>
        <w:rFonts w:hint="default" w:ascii="Symbol" w:hAnsi="Symbol"/>
      </w:rPr>
    </w:lvl>
  </w:abstractNum>
  <w:abstractNum w:abstractNumId="13">
    <w:nsid w:val="E093A4B0"/>
    <w:multiLevelType w:val="singleLevel"/>
    <w:tmpl w:val="E093A4B0"/>
    <w:lvl w:ilvl="0" w:tentative="0">
      <w:start w:val="1"/>
      <w:numFmt w:val="bullet"/>
      <w:lvlText w:val=""/>
      <w:lvlJc w:val="left"/>
      <w:pPr>
        <w:tabs>
          <w:tab w:val="left" w:pos="900"/>
        </w:tabs>
        <w:ind w:left="540" w:hanging="360"/>
      </w:pPr>
      <w:rPr>
        <w:rFonts w:hint="default" w:ascii="Symbol" w:hAnsi="Symbol"/>
      </w:rPr>
    </w:lvl>
  </w:abstractNum>
  <w:abstractNum w:abstractNumId="14">
    <w:nsid w:val="F4B5D9F5"/>
    <w:multiLevelType w:val="singleLevel"/>
    <w:tmpl w:val="F4B5D9F5"/>
    <w:lvl w:ilvl="0" w:tentative="0">
      <w:start w:val="1"/>
      <w:numFmt w:val="bullet"/>
      <w:lvlText w:val=""/>
      <w:lvlJc w:val="left"/>
      <w:pPr>
        <w:tabs>
          <w:tab w:val="left" w:pos="900"/>
        </w:tabs>
        <w:ind w:left="540" w:hanging="360"/>
      </w:pPr>
      <w:rPr>
        <w:rFonts w:hint="default" w:ascii="Symbol" w:hAnsi="Symbol"/>
      </w:rPr>
    </w:lvl>
  </w:abstractNum>
  <w:abstractNum w:abstractNumId="15">
    <w:nsid w:val="F7735DC9"/>
    <w:multiLevelType w:val="singleLevel"/>
    <w:tmpl w:val="F7735DC9"/>
    <w:lvl w:ilvl="0" w:tentative="0">
      <w:start w:val="4"/>
      <w:numFmt w:val="decimal"/>
      <w:lvlText w:val="%1."/>
      <w:lvlJc w:val="left"/>
      <w:pPr>
        <w:tabs>
          <w:tab w:val="left" w:pos="900"/>
        </w:tabs>
        <w:ind w:left="540" w:hanging="360"/>
      </w:pPr>
    </w:lvl>
  </w:abstractNum>
  <w:abstractNum w:abstractNumId="16">
    <w:nsid w:val="0053208E"/>
    <w:multiLevelType w:val="singleLevel"/>
    <w:tmpl w:val="0053208E"/>
    <w:lvl w:ilvl="0" w:tentative="0">
      <w:start w:val="1"/>
      <w:numFmt w:val="decimal"/>
      <w:lvlText w:val="%1."/>
      <w:lvlJc w:val="left"/>
      <w:pPr>
        <w:tabs>
          <w:tab w:val="left" w:pos="900"/>
        </w:tabs>
        <w:ind w:left="540" w:hanging="360"/>
      </w:pPr>
    </w:lvl>
  </w:abstractNum>
  <w:abstractNum w:abstractNumId="17">
    <w:nsid w:val="0248C179"/>
    <w:multiLevelType w:val="singleLevel"/>
    <w:tmpl w:val="0248C179"/>
    <w:lvl w:ilvl="0" w:tentative="0">
      <w:start w:val="1"/>
      <w:numFmt w:val="bullet"/>
      <w:lvlText w:val=""/>
      <w:lvlJc w:val="left"/>
      <w:pPr>
        <w:tabs>
          <w:tab w:val="left" w:pos="900"/>
        </w:tabs>
        <w:ind w:left="540" w:hanging="360"/>
      </w:pPr>
      <w:rPr>
        <w:rFonts w:hint="default" w:ascii="Symbol" w:hAnsi="Symbol"/>
      </w:rPr>
    </w:lvl>
  </w:abstractNum>
  <w:abstractNum w:abstractNumId="18">
    <w:nsid w:val="03D62ECE"/>
    <w:multiLevelType w:val="singleLevel"/>
    <w:tmpl w:val="03D62ECE"/>
    <w:lvl w:ilvl="0" w:tentative="0">
      <w:start w:val="1"/>
      <w:numFmt w:val="decimal"/>
      <w:lvlText w:val="%1."/>
      <w:lvlJc w:val="left"/>
      <w:pPr>
        <w:tabs>
          <w:tab w:val="left" w:pos="900"/>
        </w:tabs>
        <w:ind w:left="540" w:hanging="360"/>
      </w:pPr>
    </w:lvl>
  </w:abstractNum>
  <w:abstractNum w:abstractNumId="19">
    <w:nsid w:val="0E640482"/>
    <w:multiLevelType w:val="singleLevel"/>
    <w:tmpl w:val="0E640482"/>
    <w:lvl w:ilvl="0" w:tentative="0">
      <w:start w:val="3"/>
      <w:numFmt w:val="decimal"/>
      <w:lvlText w:val="%1."/>
      <w:lvlJc w:val="left"/>
      <w:pPr>
        <w:tabs>
          <w:tab w:val="left" w:pos="900"/>
        </w:tabs>
        <w:ind w:left="540" w:hanging="360"/>
      </w:pPr>
    </w:lvl>
  </w:abstractNum>
  <w:abstractNum w:abstractNumId="20">
    <w:nsid w:val="243FCF68"/>
    <w:multiLevelType w:val="singleLevel"/>
    <w:tmpl w:val="243FCF68"/>
    <w:lvl w:ilvl="0" w:tentative="0">
      <w:start w:val="3"/>
      <w:numFmt w:val="decimal"/>
      <w:lvlText w:val="%1."/>
      <w:lvlJc w:val="left"/>
      <w:pPr>
        <w:tabs>
          <w:tab w:val="left" w:pos="900"/>
        </w:tabs>
        <w:ind w:left="540" w:hanging="360"/>
      </w:pPr>
    </w:lvl>
  </w:abstractNum>
  <w:abstractNum w:abstractNumId="21">
    <w:nsid w:val="2470EC97"/>
    <w:multiLevelType w:val="singleLevel"/>
    <w:tmpl w:val="2470EC97"/>
    <w:lvl w:ilvl="0" w:tentative="0">
      <w:start w:val="3"/>
      <w:numFmt w:val="decimal"/>
      <w:lvlText w:val="%1."/>
      <w:lvlJc w:val="left"/>
      <w:pPr>
        <w:tabs>
          <w:tab w:val="left" w:pos="900"/>
        </w:tabs>
        <w:ind w:left="540" w:hanging="360"/>
      </w:pPr>
    </w:lvl>
  </w:abstractNum>
  <w:abstractNum w:abstractNumId="22">
    <w:nsid w:val="25B654F3"/>
    <w:multiLevelType w:val="singleLevel"/>
    <w:tmpl w:val="25B654F3"/>
    <w:lvl w:ilvl="0" w:tentative="0">
      <w:start w:val="1"/>
      <w:numFmt w:val="bullet"/>
      <w:lvlText w:val=""/>
      <w:lvlJc w:val="left"/>
      <w:pPr>
        <w:tabs>
          <w:tab w:val="left" w:pos="900"/>
        </w:tabs>
        <w:ind w:left="540" w:hanging="360"/>
      </w:pPr>
      <w:rPr>
        <w:rFonts w:hint="default" w:ascii="Symbol" w:hAnsi="Symbol"/>
      </w:rPr>
    </w:lvl>
  </w:abstractNum>
  <w:abstractNum w:abstractNumId="23">
    <w:nsid w:val="2A8F537B"/>
    <w:multiLevelType w:val="singleLevel"/>
    <w:tmpl w:val="2A8F537B"/>
    <w:lvl w:ilvl="0" w:tentative="0">
      <w:start w:val="1"/>
      <w:numFmt w:val="bullet"/>
      <w:lvlText w:val=""/>
      <w:lvlJc w:val="left"/>
      <w:pPr>
        <w:tabs>
          <w:tab w:val="left" w:pos="900"/>
        </w:tabs>
        <w:ind w:left="540" w:hanging="360"/>
      </w:pPr>
      <w:rPr>
        <w:rFonts w:hint="default" w:ascii="Symbol" w:hAnsi="Symbol"/>
      </w:rPr>
    </w:lvl>
  </w:abstractNum>
  <w:abstractNum w:abstractNumId="24">
    <w:nsid w:val="30FC5B15"/>
    <w:multiLevelType w:val="singleLevel"/>
    <w:tmpl w:val="30FC5B15"/>
    <w:lvl w:ilvl="0" w:tentative="0">
      <w:start w:val="1"/>
      <w:numFmt w:val="decimal"/>
      <w:lvlText w:val="%1."/>
      <w:lvlJc w:val="left"/>
      <w:pPr>
        <w:tabs>
          <w:tab w:val="left" w:pos="900"/>
        </w:tabs>
        <w:ind w:left="540" w:hanging="360"/>
      </w:pPr>
    </w:lvl>
  </w:abstractNum>
  <w:abstractNum w:abstractNumId="25">
    <w:nsid w:val="39A0D9AC"/>
    <w:multiLevelType w:val="singleLevel"/>
    <w:tmpl w:val="39A0D9AC"/>
    <w:lvl w:ilvl="0" w:tentative="0">
      <w:start w:val="1"/>
      <w:numFmt w:val="decimal"/>
      <w:lvlText w:val="%1."/>
      <w:lvlJc w:val="left"/>
      <w:pPr>
        <w:tabs>
          <w:tab w:val="left" w:pos="900"/>
        </w:tabs>
        <w:ind w:left="540" w:hanging="360"/>
      </w:pPr>
    </w:lvl>
  </w:abstractNum>
  <w:abstractNum w:abstractNumId="26">
    <w:nsid w:val="46A08BB8"/>
    <w:multiLevelType w:val="singleLevel"/>
    <w:tmpl w:val="46A08BB8"/>
    <w:lvl w:ilvl="0" w:tentative="0">
      <w:start w:val="1"/>
      <w:numFmt w:val="bullet"/>
      <w:lvlText w:val=""/>
      <w:lvlJc w:val="left"/>
      <w:pPr>
        <w:tabs>
          <w:tab w:val="left" w:pos="900"/>
        </w:tabs>
        <w:ind w:left="540" w:hanging="360"/>
      </w:pPr>
      <w:rPr>
        <w:rFonts w:hint="default" w:ascii="Symbol" w:hAnsi="Symbol"/>
      </w:rPr>
    </w:lvl>
  </w:abstractNum>
  <w:abstractNum w:abstractNumId="27">
    <w:nsid w:val="4C1BAE26"/>
    <w:multiLevelType w:val="singleLevel"/>
    <w:tmpl w:val="4C1BAE26"/>
    <w:lvl w:ilvl="0" w:tentative="0">
      <w:start w:val="2"/>
      <w:numFmt w:val="decimal"/>
      <w:lvlText w:val="%1."/>
      <w:lvlJc w:val="left"/>
      <w:pPr>
        <w:tabs>
          <w:tab w:val="left" w:pos="900"/>
        </w:tabs>
        <w:ind w:left="540" w:hanging="360"/>
      </w:pPr>
    </w:lvl>
  </w:abstractNum>
  <w:abstractNum w:abstractNumId="28">
    <w:nsid w:val="4D4DC07F"/>
    <w:multiLevelType w:val="singleLevel"/>
    <w:tmpl w:val="4D4DC07F"/>
    <w:lvl w:ilvl="0" w:tentative="0">
      <w:start w:val="2"/>
      <w:numFmt w:val="decimal"/>
      <w:lvlText w:val="%1."/>
      <w:lvlJc w:val="left"/>
      <w:pPr>
        <w:tabs>
          <w:tab w:val="left" w:pos="900"/>
        </w:tabs>
        <w:ind w:left="540" w:hanging="360"/>
      </w:pPr>
    </w:lvl>
  </w:abstractNum>
  <w:abstractNum w:abstractNumId="29">
    <w:nsid w:val="4D94DA66"/>
    <w:multiLevelType w:val="singleLevel"/>
    <w:tmpl w:val="4D94DA66"/>
    <w:lvl w:ilvl="0" w:tentative="0">
      <w:start w:val="1"/>
      <w:numFmt w:val="bullet"/>
      <w:lvlText w:val=""/>
      <w:lvlJc w:val="left"/>
      <w:pPr>
        <w:tabs>
          <w:tab w:val="left" w:pos="900"/>
        </w:tabs>
        <w:ind w:left="540" w:hanging="360"/>
      </w:pPr>
      <w:rPr>
        <w:rFonts w:hint="default" w:ascii="Symbol" w:hAnsi="Symbol"/>
      </w:rPr>
    </w:lvl>
  </w:abstractNum>
  <w:abstractNum w:abstractNumId="30">
    <w:nsid w:val="58765686"/>
    <w:multiLevelType w:val="singleLevel"/>
    <w:tmpl w:val="58765686"/>
    <w:lvl w:ilvl="0" w:tentative="0">
      <w:start w:val="1"/>
      <w:numFmt w:val="bullet"/>
      <w:lvlText w:val=""/>
      <w:lvlJc w:val="left"/>
      <w:pPr>
        <w:tabs>
          <w:tab w:val="left" w:pos="900"/>
        </w:tabs>
        <w:ind w:left="540" w:hanging="360"/>
      </w:pPr>
      <w:rPr>
        <w:rFonts w:hint="default" w:ascii="Symbol" w:hAnsi="Symbol"/>
      </w:rPr>
    </w:lvl>
  </w:abstractNum>
  <w:abstractNum w:abstractNumId="31">
    <w:nsid w:val="59ADCABA"/>
    <w:multiLevelType w:val="singleLevel"/>
    <w:tmpl w:val="59ADCABA"/>
    <w:lvl w:ilvl="0" w:tentative="0">
      <w:start w:val="1"/>
      <w:numFmt w:val="decimal"/>
      <w:lvlText w:val="%1."/>
      <w:lvlJc w:val="left"/>
      <w:pPr>
        <w:tabs>
          <w:tab w:val="left" w:pos="900"/>
        </w:tabs>
        <w:ind w:left="540" w:hanging="360"/>
      </w:pPr>
    </w:lvl>
  </w:abstractNum>
  <w:abstractNum w:abstractNumId="32">
    <w:nsid w:val="5A241D34"/>
    <w:multiLevelType w:val="singleLevel"/>
    <w:tmpl w:val="5A241D34"/>
    <w:lvl w:ilvl="0" w:tentative="0">
      <w:start w:val="1"/>
      <w:numFmt w:val="decimal"/>
      <w:lvlText w:val="%1."/>
      <w:lvlJc w:val="left"/>
      <w:pPr>
        <w:tabs>
          <w:tab w:val="left" w:pos="900"/>
        </w:tabs>
        <w:ind w:left="540" w:hanging="360"/>
      </w:pPr>
    </w:lvl>
  </w:abstractNum>
  <w:abstractNum w:abstractNumId="33">
    <w:nsid w:val="60382F6E"/>
    <w:multiLevelType w:val="singleLevel"/>
    <w:tmpl w:val="60382F6E"/>
    <w:lvl w:ilvl="0" w:tentative="0">
      <w:start w:val="1"/>
      <w:numFmt w:val="bullet"/>
      <w:lvlText w:val=""/>
      <w:lvlJc w:val="left"/>
      <w:pPr>
        <w:tabs>
          <w:tab w:val="left" w:pos="900"/>
        </w:tabs>
        <w:ind w:left="540" w:hanging="360"/>
      </w:pPr>
      <w:rPr>
        <w:rFonts w:hint="default" w:ascii="Symbol" w:hAnsi="Symbol"/>
      </w:rPr>
    </w:lvl>
  </w:abstractNum>
  <w:abstractNum w:abstractNumId="34">
    <w:nsid w:val="629F7852"/>
    <w:multiLevelType w:val="singleLevel"/>
    <w:tmpl w:val="629F7852"/>
    <w:lvl w:ilvl="0" w:tentative="0">
      <w:start w:val="3"/>
      <w:numFmt w:val="decimal"/>
      <w:lvlText w:val="%1."/>
      <w:lvlJc w:val="left"/>
      <w:pPr>
        <w:tabs>
          <w:tab w:val="left" w:pos="900"/>
        </w:tabs>
        <w:ind w:left="540" w:hanging="360"/>
      </w:pPr>
    </w:lvl>
  </w:abstractNum>
  <w:abstractNum w:abstractNumId="35">
    <w:nsid w:val="72183CF9"/>
    <w:multiLevelType w:val="singleLevel"/>
    <w:tmpl w:val="72183CF9"/>
    <w:lvl w:ilvl="0" w:tentative="0">
      <w:start w:val="2"/>
      <w:numFmt w:val="decimal"/>
      <w:lvlText w:val="%1."/>
      <w:lvlJc w:val="left"/>
      <w:pPr>
        <w:tabs>
          <w:tab w:val="left" w:pos="900"/>
        </w:tabs>
        <w:ind w:left="540" w:hanging="360"/>
      </w:pPr>
    </w:lvl>
  </w:abstractNum>
  <w:abstractNum w:abstractNumId="36">
    <w:nsid w:val="77ECEA79"/>
    <w:multiLevelType w:val="singleLevel"/>
    <w:tmpl w:val="77ECEA79"/>
    <w:lvl w:ilvl="0" w:tentative="0">
      <w:start w:val="2"/>
      <w:numFmt w:val="decimal"/>
      <w:lvlText w:val="%1."/>
      <w:lvlJc w:val="left"/>
      <w:pPr>
        <w:tabs>
          <w:tab w:val="left" w:pos="900"/>
        </w:tabs>
        <w:ind w:left="540" w:hanging="360"/>
      </w:pPr>
    </w:lvl>
  </w:abstractNum>
  <w:abstractNum w:abstractNumId="37">
    <w:nsid w:val="7C246926"/>
    <w:multiLevelType w:val="singleLevel"/>
    <w:tmpl w:val="7C246926"/>
    <w:lvl w:ilvl="0" w:tentative="0">
      <w:start w:val="1"/>
      <w:numFmt w:val="bullet"/>
      <w:lvlText w:val=""/>
      <w:lvlJc w:val="left"/>
      <w:pPr>
        <w:tabs>
          <w:tab w:val="left" w:pos="900"/>
        </w:tabs>
        <w:ind w:left="540" w:hanging="360"/>
      </w:pPr>
      <w:rPr>
        <w:rFonts w:hint="default" w:ascii="Symbol" w:hAnsi="Symbol"/>
      </w:rPr>
    </w:lvl>
  </w:abstractNum>
  <w:abstractNum w:abstractNumId="38">
    <w:nsid w:val="7DEC2089"/>
    <w:multiLevelType w:val="singleLevel"/>
    <w:tmpl w:val="7DEC2089"/>
    <w:lvl w:ilvl="0" w:tentative="0">
      <w:start w:val="2"/>
      <w:numFmt w:val="decimal"/>
      <w:lvlText w:val="%1."/>
      <w:lvlJc w:val="left"/>
      <w:pPr>
        <w:tabs>
          <w:tab w:val="left" w:pos="900"/>
        </w:tabs>
        <w:ind w:left="540" w:hanging="360"/>
      </w:pPr>
    </w:lvl>
  </w:abstractNum>
  <w:num w:numId="1">
    <w:abstractNumId w:val="16"/>
  </w:num>
  <w:num w:numId="2">
    <w:abstractNumId w:val="10"/>
  </w:num>
  <w:num w:numId="3">
    <w:abstractNumId w:val="31"/>
  </w:num>
  <w:num w:numId="4">
    <w:abstractNumId w:val="8"/>
  </w:num>
  <w:num w:numId="5">
    <w:abstractNumId w:val="6"/>
  </w:num>
  <w:num w:numId="6">
    <w:abstractNumId w:val="18"/>
  </w:num>
  <w:num w:numId="7">
    <w:abstractNumId w:val="22"/>
  </w:num>
  <w:num w:numId="8">
    <w:abstractNumId w:val="35"/>
  </w:num>
  <w:num w:numId="9">
    <w:abstractNumId w:val="17"/>
  </w:num>
  <w:num w:numId="10">
    <w:abstractNumId w:val="2"/>
  </w:num>
  <w:num w:numId="11">
    <w:abstractNumId w:val="23"/>
  </w:num>
  <w:num w:numId="12">
    <w:abstractNumId w:val="32"/>
  </w:num>
  <w:num w:numId="13">
    <w:abstractNumId w:val="9"/>
  </w:num>
  <w:num w:numId="14">
    <w:abstractNumId w:val="28"/>
  </w:num>
  <w:num w:numId="15">
    <w:abstractNumId w:val="14"/>
  </w:num>
  <w:num w:numId="16">
    <w:abstractNumId w:val="21"/>
  </w:num>
  <w:num w:numId="17">
    <w:abstractNumId w:val="12"/>
  </w:num>
  <w:num w:numId="18">
    <w:abstractNumId w:val="11"/>
  </w:num>
  <w:num w:numId="19">
    <w:abstractNumId w:val="4"/>
  </w:num>
  <w:num w:numId="20">
    <w:abstractNumId w:val="27"/>
  </w:num>
  <w:num w:numId="21">
    <w:abstractNumId w:val="33"/>
  </w:num>
  <w:num w:numId="22">
    <w:abstractNumId w:val="19"/>
  </w:num>
  <w:num w:numId="23">
    <w:abstractNumId w:val="26"/>
  </w:num>
  <w:num w:numId="24">
    <w:abstractNumId w:val="5"/>
  </w:num>
  <w:num w:numId="25">
    <w:abstractNumId w:val="37"/>
  </w:num>
  <w:num w:numId="26">
    <w:abstractNumId w:val="36"/>
  </w:num>
  <w:num w:numId="27">
    <w:abstractNumId w:val="7"/>
  </w:num>
  <w:num w:numId="28">
    <w:abstractNumId w:val="34"/>
  </w:num>
  <w:num w:numId="29">
    <w:abstractNumId w:val="3"/>
  </w:num>
  <w:num w:numId="30">
    <w:abstractNumId w:val="25"/>
  </w:num>
  <w:num w:numId="31">
    <w:abstractNumId w:val="1"/>
  </w:num>
  <w:num w:numId="32">
    <w:abstractNumId w:val="30"/>
  </w:num>
  <w:num w:numId="33">
    <w:abstractNumId w:val="38"/>
  </w:num>
  <w:num w:numId="34">
    <w:abstractNumId w:val="0"/>
  </w:num>
  <w:num w:numId="35">
    <w:abstractNumId w:val="20"/>
  </w:num>
  <w:num w:numId="36">
    <w:abstractNumId w:val="29"/>
  </w:num>
  <w:num w:numId="37">
    <w:abstractNumId w:val="15"/>
  </w:num>
  <w:num w:numId="38">
    <w:abstractNumId w:val="13"/>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52724E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3">
    <w:name w:val="Default Paragraph Font"/>
    <w:semiHidden/>
    <w:uiPriority w:val="0"/>
  </w:style>
  <w:style w:type="table" w:default="1" w:styleId="2">
    <w:name w:val="Normal Table"/>
    <w:semiHidden/>
    <w:unhideWhenUsed/>
    <w:qFormat/>
    <w:uiPriority w:val="99"/>
    <w:tblPr>
      <w:tblCellMar>
        <w:top w:w="80" w:type="dxa"/>
        <w:left w:w="160" w:type="dxa"/>
        <w:bottom w:w="80" w:type="dxa"/>
        <w:right w:w="160" w:type="dxa"/>
      </w:tblCellMar>
    </w:tblPr>
  </w:style>
  <w:style w:type="character" w:customStyle="1" w:styleId="4">
    <w:name w:val="Verbatim Char"/>
    <w:qFormat/>
    <w:uiPriority w:val="0"/>
    <w:rPr>
      <w:rFonts w:ascii="Consolas" w:hAnsi="Consolas"/>
      <w:sz w:val="22"/>
    </w:rPr>
  </w:style>
  <w:style w:type="table" w:customStyle="1" w:styleId="5">
    <w:name w:val="Normal Grid"/>
    <w:basedOn w:val="2"/>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Words>2148</Words>
  <Characters>2339</Characters>
  <TotalTime>0</TotalTime>
  <ScaleCrop>false</ScaleCrop>
  <LinksUpToDate>false</LinksUpToDate>
  <CharactersWithSpaces>2360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2026-01-14T18:20:00Z</dcterms:created>
  <dc:creator>html-to-docx</dc:creator>
  <cp:keywords>html-to-docx</cp:keywords>
  <cp:lastModifiedBy>dyx</cp:lastModifiedBy>
  <dcterms:modified xsi:type="dcterms:W3CDTF">2026-01-14T18:20:44Z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264AEBA06FDC462E85FA150F687BDEA9_12</vt:lpwstr>
  </property>
</Properties>
</file>