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32"/>
        <w:spacing w:before="50" w:line="313" w:lineRule="auto"/>
        <w:rPr/>
      </w:pPr>
      <w:r>
        <w:rPr>
          <w:spacing w:val="5"/>
        </w:rPr>
        <w:t>作为一位资深黄金市场分析师，以下是基于当前宏观环境(截至2026年1月中旬)、历</w:t>
      </w:r>
      <w:r>
        <w:rPr>
          <w:spacing w:val="4"/>
        </w:rPr>
        <w:t>史周期规</w:t>
      </w:r>
      <w:r>
        <w:rPr/>
        <w:t xml:space="preserve">  </w:t>
      </w:r>
      <w:r>
        <w:rPr>
          <w:spacing w:val="3"/>
        </w:rPr>
        <w:t>律、技术形态和多维度驱动因素的完整专业分析报告。当前金价已突破4600美元/盎司，处于历</w:t>
      </w:r>
      <w:r>
        <w:rPr>
          <w:spacing w:val="14"/>
        </w:rPr>
        <w:t xml:space="preserve"> </w:t>
      </w:r>
      <w:r>
        <w:rPr>
          <w:spacing w:val="-2"/>
        </w:rPr>
        <w:t>史新高区域，整体呈现强势结构性牛市延续特征。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1" w:line="219" w:lineRule="auto"/>
        <w:outlineLvl w:val="2"/>
        <w:rPr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1.</w:t>
      </w:r>
      <w:r>
        <w:rPr>
          <w:sz w:val="31"/>
          <w:szCs w:val="31"/>
          <w:b/>
          <w:bCs/>
          <w:spacing w:val="5"/>
        </w:rPr>
        <w:t>历史走势回顾(2010年至今)</w:t>
      </w:r>
    </w:p>
    <w:p>
      <w:pPr>
        <w:pStyle w:val="BodyText"/>
        <w:ind w:right="71"/>
        <w:spacing w:before="209" w:line="324" w:lineRule="auto"/>
        <w:rPr/>
      </w:pPr>
      <w:r>
        <w:rPr>
          <w:spacing w:val="2"/>
        </w:rPr>
        <w:t>黄金自2010年以来经历了多个鲜明周期，核心由实际利率、通胀预期、美元周期、央行政策与地</w:t>
      </w:r>
      <w:r>
        <w:rPr/>
        <w:t xml:space="preserve"> </w:t>
      </w:r>
      <w:r>
        <w:rPr>
          <w:spacing w:val="-4"/>
        </w:rPr>
        <w:t>缘政治风险共同驱动。</w:t>
      </w:r>
    </w:p>
    <w:p>
      <w:pPr>
        <w:pStyle w:val="BodyText"/>
        <w:ind w:left="499" w:right="146" w:hanging="140"/>
        <w:spacing w:before="128" w:line="313" w:lineRule="auto"/>
        <w:rPr/>
      </w:pPr>
      <w:r>
        <w:rPr>
          <w:spacing w:val="4"/>
        </w:rPr>
        <w:t>·2010-2012/2011年牛市顶峰：金价从约1100美元持续上涨，至2011年9月触及</w:t>
      </w:r>
      <w:r>
        <w:rPr>
          <w:spacing w:val="3"/>
        </w:rPr>
        <w:t>历史高点约</w:t>
      </w:r>
      <w:r>
        <w:rPr/>
        <w:t xml:space="preserve"> </w:t>
      </w:r>
      <w:r>
        <w:rPr>
          <w:spacing w:val="3"/>
        </w:rPr>
        <w:t>1920美元。主导驱动为全球金融危机余波+欧债危机全面</w:t>
      </w:r>
      <w:r>
        <w:rPr>
          <w:spacing w:val="2"/>
        </w:rPr>
        <w:t>爆发，市场避险情绪极度高涨；美</w:t>
      </w:r>
      <w:r>
        <w:rPr/>
        <w:t xml:space="preserve"> </w:t>
      </w:r>
      <w:r>
        <w:rPr>
          <w:spacing w:val="1"/>
        </w:rPr>
        <w:t>联储维持零利率+首轮</w:t>
      </w:r>
      <w:r>
        <w:rPr>
          <w:rFonts w:ascii="SimSun" w:hAnsi="SimSun" w:eastAsia="SimSun" w:cs="SimSun"/>
        </w:rPr>
        <w:t>QE</w:t>
      </w:r>
      <w:r>
        <w:rPr>
          <w:rFonts w:ascii="SimSun" w:hAnsi="SimSun" w:eastAsia="SimSun" w:cs="SimSun"/>
          <w:spacing w:val="1"/>
        </w:rPr>
        <w:t>,</w:t>
      </w:r>
      <w:r>
        <w:rPr>
          <w:rFonts w:ascii="SimSun" w:hAnsi="SimSun" w:eastAsia="SimSun" w:cs="SimSun"/>
          <w:spacing w:val="97"/>
        </w:rPr>
        <w:t xml:space="preserve"> </w:t>
      </w:r>
      <w:r>
        <w:rPr>
          <w:spacing w:val="1"/>
        </w:rPr>
        <w:t>实际利率深度负值；美元指数走弱；全</w:t>
      </w:r>
      <w:r>
        <w:rPr/>
        <w:t>球黄金</w:t>
      </w:r>
      <w:r>
        <w:rPr>
          <w:rFonts w:ascii="SimSun" w:hAnsi="SimSun" w:eastAsia="SimSun" w:cs="SimSun"/>
        </w:rPr>
        <w:t>ETF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持仓快速增</w:t>
      </w:r>
    </w:p>
    <w:p>
      <w:pPr>
        <w:pStyle w:val="BodyText"/>
        <w:ind w:left="500"/>
        <w:spacing w:before="7" w:line="213" w:lineRule="auto"/>
        <w:rPr/>
      </w:pPr>
      <w:r>
        <w:rPr/>
        <w:t>加。2011年见顶后，市场开始定价美联储政策转向预期。</w:t>
      </w:r>
    </w:p>
    <w:p>
      <w:pPr>
        <w:pStyle w:val="BodyText"/>
        <w:ind w:left="359"/>
        <w:spacing w:before="283" w:line="213" w:lineRule="auto"/>
        <w:rPr/>
      </w:pPr>
      <w:r>
        <w:rPr>
          <w:spacing w:val="9"/>
        </w:rPr>
        <w:t>·2013-2015年熊市：</w:t>
      </w:r>
      <w:r>
        <w:rPr>
          <w:spacing w:val="9"/>
        </w:rPr>
        <w:t xml:space="preserve"> </w:t>
      </w:r>
      <w:r>
        <w:rPr>
          <w:spacing w:val="9"/>
        </w:rPr>
        <w:t>金价从高位暴跌，2013年4月单月跌幅超20%,至2015年底触底约</w:t>
      </w:r>
    </w:p>
    <w:p>
      <w:pPr>
        <w:pStyle w:val="BodyText"/>
        <w:ind w:left="500" w:right="69"/>
        <w:spacing w:before="126" w:line="333" w:lineRule="auto"/>
        <w:rPr/>
      </w:pPr>
      <w:r>
        <w:rPr/>
        <w:t>1050美元。核心转折为“缩减恐慌”</w:t>
      </w:r>
      <w:r>
        <w:rPr>
          <w:rFonts w:ascii="Times New Roman" w:hAnsi="Times New Roman" w:eastAsia="Times New Roman" w:cs="Times New Roman"/>
        </w:rPr>
        <w:t>taper       Tantrum), </w:t>
      </w:r>
      <w:r>
        <w:rPr>
          <w:spacing w:val="-1"/>
        </w:rPr>
        <w:t>美联储暗示结束</w:t>
      </w:r>
      <w:r>
        <w:rPr>
          <w:rFonts w:ascii="Times New Roman" w:hAnsi="Times New Roman" w:eastAsia="Times New Roman" w:cs="Times New Roman"/>
          <w:spacing w:val="-1"/>
        </w:rPr>
        <w:t>QE</w:t>
      </w:r>
      <w:r>
        <w:rPr>
          <w:spacing w:val="-1"/>
        </w:rPr>
        <w:t>并启动加息周期，</w:t>
      </w:r>
      <w:r>
        <w:rPr/>
        <w:t xml:space="preserve"> </w:t>
      </w:r>
      <w:r>
        <w:rPr/>
        <w:t>实际利率快速回升，美元指数强势上涨；黄金</w:t>
      </w:r>
      <w:r>
        <w:rPr>
          <w:rFonts w:ascii="SimSun" w:hAnsi="SimSun" w:eastAsia="SimSun" w:cs="SimSun"/>
        </w:rPr>
        <w:t>ETF</w:t>
      </w:r>
      <w:r>
        <w:rPr>
          <w:rFonts w:ascii="SimSun" w:hAnsi="SimSun" w:eastAsia="SimSun" w:cs="SimSun"/>
          <w:spacing w:val="-38"/>
        </w:rPr>
        <w:t xml:space="preserve"> </w:t>
      </w:r>
      <w:r>
        <w:rPr/>
        <w:t>出现史上最大规模赎回；风险偏好回升主</w:t>
      </w:r>
      <w:r>
        <w:rPr/>
        <w:t xml:space="preserve">  </w:t>
      </w:r>
      <w:r>
        <w:rPr>
          <w:spacing w:val="-9"/>
        </w:rPr>
        <w:t>导市场。</w:t>
      </w:r>
    </w:p>
    <w:p>
      <w:pPr>
        <w:pStyle w:val="BodyText"/>
        <w:ind w:left="359"/>
        <w:spacing w:before="78" w:line="213" w:lineRule="auto"/>
        <w:rPr/>
      </w:pPr>
      <w:r>
        <w:rPr>
          <w:spacing w:val="7"/>
        </w:rPr>
        <w:t>·2016-2019年震荡筑底与缓慢上行：金价在1050-1370美元区间反复筑底，2</w:t>
      </w:r>
      <w:r>
        <w:rPr>
          <w:spacing w:val="6"/>
        </w:rPr>
        <w:t>019年突破</w:t>
      </w:r>
    </w:p>
    <w:p>
      <w:pPr>
        <w:pStyle w:val="BodyText"/>
        <w:ind w:left="500" w:right="31"/>
        <w:spacing w:before="153" w:line="340" w:lineRule="auto"/>
        <w:rPr/>
      </w:pPr>
      <w:r>
        <w:rPr>
          <w:spacing w:val="3"/>
        </w:rPr>
        <w:t>1400美元。驱动因素包括美联储加息周期结束</w:t>
      </w:r>
      <w:r>
        <w:rPr>
          <w:spacing w:val="2"/>
        </w:rPr>
        <w:t>、转向降息预期；中美贸易摩擦初现；央行购</w:t>
      </w:r>
      <w:r>
        <w:rPr/>
        <w:t xml:space="preserve"> </w:t>
      </w:r>
      <w:r>
        <w:rPr>
          <w:spacing w:val="8"/>
        </w:rPr>
        <w:t>金行为开始回暖(从2018年起加速)。</w:t>
      </w:r>
    </w:p>
    <w:p>
      <w:pPr>
        <w:pStyle w:val="BodyText"/>
        <w:ind w:left="499" w:hanging="140"/>
        <w:spacing w:before="108" w:line="312" w:lineRule="auto"/>
        <w:rPr/>
      </w:pPr>
      <w:r>
        <w:rPr>
          <w:spacing w:val="8"/>
        </w:rPr>
        <w:t>·</w:t>
      </w:r>
      <w:r>
        <w:rPr>
          <w:spacing w:val="-102"/>
        </w:rPr>
        <w:t xml:space="preserve"> </w:t>
      </w:r>
      <w:r>
        <w:rPr>
          <w:spacing w:val="8"/>
        </w:rPr>
        <w:t>2020年疫情后暴涨：金价从约1450美元快速冲至2020年8月历史新高2075美元。</w:t>
      </w:r>
      <w:r>
        <w:rPr>
          <w:spacing w:val="7"/>
        </w:rPr>
        <w:t>主导为疫</w:t>
      </w:r>
      <w:r>
        <w:rPr/>
        <w:t xml:space="preserve"> </w:t>
      </w:r>
      <w:r>
        <w:rPr>
          <w:spacing w:val="-2"/>
        </w:rPr>
        <w:t>情引发的全球经济停摆+美联储“无限量</w:t>
      </w:r>
      <w:r>
        <w:rPr>
          <w:rFonts w:ascii="SimSun" w:hAnsi="SimSun" w:eastAsia="SimSun" w:cs="SimSun"/>
          <w:spacing w:val="-2"/>
        </w:rPr>
        <w:t>QE”+</w:t>
      </w:r>
      <w:r>
        <w:rPr>
          <w:spacing w:val="-2"/>
        </w:rPr>
        <w:t>零利率政策；实际利率大幅负值；</w:t>
      </w:r>
      <w:r>
        <w:rPr>
          <w:spacing w:val="-3"/>
        </w:rPr>
        <w:t>避险需求与</w:t>
      </w:r>
    </w:p>
    <w:p>
      <w:pPr>
        <w:pStyle w:val="BodyText"/>
        <w:ind w:left="500"/>
        <w:spacing w:before="17" w:line="213" w:lineRule="auto"/>
        <w:rPr/>
      </w:pPr>
      <w:r>
        <w:rPr>
          <w:spacing w:val="-1"/>
        </w:rPr>
        <w:t>通胀预期共振；黄金</w:t>
      </w:r>
      <w:r>
        <w:rPr>
          <w:rFonts w:ascii="Times New Roman" w:hAnsi="Times New Roman" w:eastAsia="Times New Roman" w:cs="Times New Roman"/>
          <w:spacing w:val="-1"/>
        </w:rPr>
        <w:t>ETF</w:t>
      </w:r>
      <w:r>
        <w:rPr>
          <w:spacing w:val="-1"/>
        </w:rPr>
        <w:t>持仓创纪录增长。</w:t>
      </w:r>
    </w:p>
    <w:p>
      <w:pPr>
        <w:pStyle w:val="BodyText"/>
        <w:ind w:left="499" w:right="182" w:hanging="140"/>
        <w:spacing w:before="273" w:line="317" w:lineRule="auto"/>
        <w:rPr/>
      </w:pPr>
      <w:r>
        <w:rPr>
          <w:spacing w:val="5"/>
        </w:rPr>
        <w:t>·2021-2022年高位回调与震荡：金</w:t>
      </w:r>
      <w:r>
        <w:rPr>
          <w:spacing w:val="4"/>
        </w:rPr>
        <w:t>价回落至2022年11月低点约1615美元，主要因美联储激</w:t>
      </w:r>
      <w:r>
        <w:rPr/>
        <w:t xml:space="preserve"> </w:t>
      </w:r>
      <w:r>
        <w:rPr>
          <w:spacing w:val="7"/>
        </w:rPr>
        <w:t>进加息(抗击40年高通胀)、实际利率转正、美元指数创20年新高。</w:t>
      </w:r>
    </w:p>
    <w:p>
      <w:pPr>
        <w:pStyle w:val="BodyText"/>
        <w:ind w:left="499" w:right="115" w:hanging="140"/>
        <w:spacing w:before="94" w:line="330" w:lineRule="auto"/>
        <w:rPr/>
      </w:pPr>
      <w:r>
        <w:rPr>
          <w:spacing w:val="9"/>
        </w:rPr>
        <w:t>·2023-2025年新牛市启动与加速：金价重回上行通道，2024-2025年连续突破新高，至</w:t>
      </w:r>
      <w:r>
        <w:rPr>
          <w:spacing w:val="6"/>
        </w:rPr>
        <w:t xml:space="preserve">  </w:t>
      </w:r>
      <w:r>
        <w:rPr>
          <w:spacing w:val="12"/>
        </w:rPr>
        <w:t>2025年底已超4000美元，2026年初进一步冲至4600+美元。核心驱动转向结构性：全球</w:t>
      </w:r>
      <w:r>
        <w:rPr>
          <w:spacing w:val="4"/>
        </w:rPr>
        <w:t xml:space="preserve"> </w:t>
      </w:r>
      <w:r>
        <w:rPr>
          <w:spacing w:val="11"/>
        </w:rPr>
        <w:t>央行连续三年超1000吨/年购金(去美元化+储备多元化);地缘政治风险长期化(俄乌、中</w:t>
      </w:r>
      <w:r>
        <w:rPr>
          <w:spacing w:val="15"/>
        </w:rPr>
        <w:t xml:space="preserve"> </w:t>
      </w:r>
      <w:r>
        <w:rPr>
          <w:spacing w:val="6"/>
        </w:rPr>
        <w:t>东、贸易战升级);美联储从2025年起进入降息周期，实际利率再度趋向负值；美元周期性</w:t>
      </w:r>
      <w:r>
        <w:rPr>
          <w:spacing w:val="11"/>
        </w:rPr>
        <w:t xml:space="preserve"> </w:t>
      </w:r>
      <w:r>
        <w:rPr>
          <w:spacing w:val="9"/>
        </w:rPr>
        <w:t>走弱；黄金</w:t>
      </w:r>
      <w:r>
        <w:rPr>
          <w:rFonts w:ascii="SimSun" w:hAnsi="SimSun" w:eastAsia="SimSun" w:cs="SimSun"/>
        </w:rPr>
        <w:t>ETF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9"/>
        </w:rPr>
        <w:t>与实物需求(尤其是亚洲)同步回暖。</w:t>
      </w:r>
    </w:p>
    <w:p>
      <w:pPr>
        <w:pStyle w:val="BodyText"/>
        <w:ind w:right="92"/>
        <w:spacing w:before="166" w:line="313" w:lineRule="auto"/>
        <w:rPr/>
      </w:pPr>
      <w:r>
        <w:rPr>
          <w:spacing w:val="2"/>
        </w:rPr>
        <w:t>总体而言，黄金长周期与实际利率负值区间高度正相</w:t>
      </w:r>
      <w:r>
        <w:rPr>
          <w:spacing w:val="1"/>
        </w:rPr>
        <w:t>关，每当实际利率深度负值+美元弱势+避险</w:t>
      </w:r>
      <w:r>
        <w:rPr/>
        <w:t xml:space="preserve"> </w:t>
      </w:r>
      <w:r>
        <w:rPr>
          <w:spacing w:val="-3"/>
        </w:rPr>
        <w:t>需求共振时，金价均进入加速上涨阶段。</w:t>
      </w:r>
    </w:p>
    <w:p>
      <w:pPr>
        <w:spacing w:line="313" w:lineRule="auto"/>
        <w:sectPr>
          <w:pgSz w:w="12240" w:h="15840"/>
          <w:pgMar w:top="1148" w:right="1010" w:bottom="0" w:left="989" w:header="0" w:footer="0" w:gutter="0"/>
        </w:sectPr>
        <w:rPr/>
      </w:pPr>
    </w:p>
    <w:p>
      <w:pPr>
        <w:pStyle w:val="BodyText"/>
        <w:ind w:left="4"/>
        <w:spacing w:before="60" w:line="222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</w:rPr>
        <w:t>2.</w:t>
      </w:r>
      <w:r>
        <w:rPr>
          <w:sz w:val="30"/>
          <w:szCs w:val="30"/>
          <w:b/>
          <w:bCs/>
        </w:rPr>
        <w:t>未来趋势可能性分析</w:t>
      </w:r>
    </w:p>
    <w:p>
      <w:pPr>
        <w:pStyle w:val="BodyText"/>
        <w:ind w:right="115"/>
        <w:spacing w:before="211" w:line="320" w:lineRule="auto"/>
        <w:jc w:val="both"/>
        <w:rPr/>
      </w:pPr>
      <w:r>
        <w:rPr>
          <w:spacing w:val="-4"/>
        </w:rPr>
        <w:t>当前宏观环境呈现“降息周期+顽固地缘风险+央行购金常态化+美元结构</w:t>
      </w:r>
      <w:r>
        <w:rPr>
          <w:spacing w:val="-5"/>
        </w:rPr>
        <w:t>性弱化”特征，但也存在</w:t>
      </w:r>
      <w:r>
        <w:rPr/>
        <w:t xml:space="preserve"> </w:t>
      </w:r>
      <w:r>
        <w:rPr/>
        <w:t>美国经济潜在韧性、通胀反复、政策不确定性等对冲力量。基于历史规律与当前态势，推演三种</w:t>
      </w:r>
      <w:r>
        <w:rPr>
          <w:spacing w:val="13"/>
        </w:rPr>
        <w:t xml:space="preserve"> </w:t>
      </w:r>
      <w:r>
        <w:rPr>
          <w:spacing w:val="10"/>
        </w:rPr>
        <w:t>主要情景(概率由高到低排序):</w:t>
      </w:r>
    </w:p>
    <w:p>
      <w:pPr>
        <w:pStyle w:val="BodyText"/>
        <w:ind w:left="373"/>
        <w:spacing w:before="118" w:line="213" w:lineRule="auto"/>
        <w:rPr/>
      </w:pPr>
      <w:r>
        <w:rPr>
          <w:b/>
          <w:bCs/>
          <w:spacing w:val="8"/>
        </w:rPr>
        <w:t>·</w:t>
      </w:r>
      <w:r>
        <w:rPr>
          <w:spacing w:val="-89"/>
        </w:rPr>
        <w:t xml:space="preserve"> </w:t>
      </w:r>
      <w:r>
        <w:rPr>
          <w:b/>
          <w:bCs/>
          <w:spacing w:val="8"/>
        </w:rPr>
        <w:t>牛市延续/加速情景(基准概率最高，约5</w:t>
      </w:r>
      <w:r>
        <w:rPr>
          <w:b/>
          <w:bCs/>
          <w:spacing w:val="7"/>
        </w:rPr>
        <w:t>0-60%)</w:t>
      </w:r>
    </w:p>
    <w:p>
      <w:pPr>
        <w:pStyle w:val="BodyText"/>
        <w:ind w:left="500" w:right="115"/>
        <w:spacing w:before="162" w:line="319" w:lineRule="auto"/>
        <w:rPr/>
      </w:pPr>
      <w:r>
        <w:rPr>
          <w:spacing w:val="8"/>
        </w:rPr>
        <w:t>假设美联储2026年继续降息(至少再降75-</w:t>
      </w:r>
      <w:r>
        <w:rPr>
          <w:spacing w:val="7"/>
        </w:rPr>
        <w:t>150</w:t>
      </w:r>
      <w:r>
        <w:rPr>
          <w:rFonts w:ascii="SimSun" w:hAnsi="SimSun" w:eastAsia="SimSun" w:cs="SimSun"/>
        </w:rPr>
        <w:t>bp</w:t>
      </w:r>
      <w:r>
        <w:rPr>
          <w:rFonts w:ascii="SimSun" w:hAnsi="SimSun" w:eastAsia="SimSun" w:cs="SimSun"/>
          <w:spacing w:val="7"/>
        </w:rPr>
        <w:t>)、</w:t>
      </w:r>
      <w:r>
        <w:rPr>
          <w:rFonts w:ascii="SimSun" w:hAnsi="SimSun" w:eastAsia="SimSun" w:cs="SimSun"/>
          <w:spacing w:val="-65"/>
        </w:rPr>
        <w:t xml:space="preserve"> </w:t>
      </w:r>
      <w:r>
        <w:rPr>
          <w:spacing w:val="7"/>
        </w:rPr>
        <w:t>美国财政赤字压力迫使政策更鸽派、</w:t>
      </w:r>
      <w:r>
        <w:rPr/>
        <w:t xml:space="preserve"> </w:t>
      </w:r>
      <w:r>
        <w:rPr>
          <w:spacing w:val="11"/>
        </w:rPr>
        <w:t>地缘冲突(中东、台海、贸易战)不缓解、央行购金维持700-900吨/年、美元指数跌破关</w:t>
      </w:r>
      <w:r>
        <w:rPr>
          <w:spacing w:val="1"/>
        </w:rPr>
        <w:t xml:space="preserve"> </w:t>
      </w:r>
      <w:r>
        <w:rPr>
          <w:spacing w:val="-8"/>
        </w:rPr>
        <w:t>键支撑。</w:t>
      </w:r>
    </w:p>
    <w:p>
      <w:pPr>
        <w:pStyle w:val="BodyText"/>
        <w:ind w:left="500"/>
        <w:spacing w:before="10" w:line="221" w:lineRule="auto"/>
        <w:rPr/>
      </w:pPr>
      <w:r>
        <w:rPr/>
        <w:t>金价逻辑：实际利率进一步负值+避险与配置需求共振。</w:t>
      </w:r>
    </w:p>
    <w:p>
      <w:pPr>
        <w:pStyle w:val="BodyText"/>
        <w:ind w:left="500" w:right="118"/>
        <w:spacing w:before="123" w:line="324" w:lineRule="auto"/>
        <w:rPr/>
      </w:pPr>
      <w:r>
        <w:rPr>
          <w:spacing w:val="16"/>
        </w:rPr>
        <w:t>可能路径：先宽幅震荡后上破，2026年底目</w:t>
      </w:r>
      <w:r>
        <w:rPr>
          <w:spacing w:val="15"/>
        </w:rPr>
        <w:t>标4800-5500美元，甚至挑战6000美元(若</w:t>
      </w:r>
      <w:r>
        <w:rPr/>
        <w:t xml:space="preserve"> </w:t>
      </w:r>
      <w:r>
        <w:rPr>
          <w:spacing w:val="4"/>
        </w:rPr>
        <w:t>出现系统性风险事件)。历史类似：2020</w:t>
      </w:r>
      <w:r>
        <w:rPr>
          <w:spacing w:val="3"/>
        </w:rPr>
        <w:t>年疫情</w:t>
      </w:r>
      <w:r>
        <w:rPr>
          <w:rFonts w:ascii="SimSun" w:hAnsi="SimSun" w:eastAsia="SimSun" w:cs="SimSun"/>
        </w:rPr>
        <w:t>QE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3"/>
        </w:rPr>
        <w:t>阶段。</w:t>
      </w:r>
    </w:p>
    <w:p>
      <w:pPr>
        <w:pStyle w:val="BodyText"/>
        <w:ind w:left="373"/>
        <w:spacing w:before="133" w:line="221" w:lineRule="auto"/>
        <w:rPr/>
      </w:pPr>
      <w:r>
        <w:rPr>
          <w:b/>
          <w:bCs/>
          <w:spacing w:val="9"/>
        </w:rPr>
        <w:t>·</w:t>
      </w:r>
      <w:r>
        <w:rPr>
          <w:spacing w:val="-85"/>
        </w:rPr>
        <w:t xml:space="preserve"> </w:t>
      </w:r>
      <w:r>
        <w:rPr>
          <w:b/>
          <w:bCs/>
          <w:spacing w:val="9"/>
        </w:rPr>
        <w:t>宽幅震荡/高位整理情景(概率30-40%)</w:t>
      </w:r>
    </w:p>
    <w:p>
      <w:pPr>
        <w:pStyle w:val="BodyText"/>
        <w:ind w:left="500" w:right="151"/>
        <w:spacing w:before="110" w:line="329" w:lineRule="auto"/>
        <w:rPr/>
      </w:pPr>
      <w:r>
        <w:rPr>
          <w:spacing w:val="6"/>
        </w:rPr>
        <w:t>假设美联储降息节奏放缓(仅50-75</w:t>
      </w:r>
      <w:r>
        <w:rPr>
          <w:rFonts w:ascii="Times New Roman" w:hAnsi="Times New Roman" w:eastAsia="Times New Roman" w:cs="Times New Roman"/>
        </w:rPr>
        <w:t>bp</w:t>
      </w:r>
      <w:r>
        <w:rPr>
          <w:rFonts w:ascii="Times New Roman" w:hAnsi="Times New Roman" w:eastAsia="Times New Roman" w:cs="Times New Roman"/>
          <w:spacing w:val="6"/>
        </w:rPr>
        <w:t>)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6"/>
        </w:rPr>
        <w:t>、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6"/>
        </w:rPr>
        <w:t>美国经济软着陆成功、通胀回落但不失</w:t>
      </w:r>
      <w:r>
        <w:rPr>
          <w:spacing w:val="5"/>
        </w:rPr>
        <w:t>控、地缘</w:t>
      </w:r>
      <w:r>
        <w:rPr/>
        <w:t xml:space="preserve"> </w:t>
      </w:r>
      <w:r>
        <w:rPr>
          <w:spacing w:val="-3"/>
        </w:rPr>
        <w:t>风险阶段性缓和但未消失、多空因素拉锯。</w:t>
      </w:r>
    </w:p>
    <w:p>
      <w:pPr>
        <w:pStyle w:val="BodyText"/>
        <w:ind w:left="500"/>
        <w:spacing w:before="1" w:line="212" w:lineRule="auto"/>
        <w:rPr/>
      </w:pPr>
      <w:r>
        <w:rPr>
          <w:spacing w:val="-1"/>
        </w:rPr>
        <w:t>金价逻辑：缺乏全新单边驱动，获利回吐与新资金进场交替。</w:t>
      </w:r>
    </w:p>
    <w:p>
      <w:pPr>
        <w:pStyle w:val="BodyText"/>
        <w:ind w:left="500" w:right="200"/>
        <w:spacing w:before="134" w:line="332" w:lineRule="auto"/>
        <w:rPr/>
      </w:pPr>
      <w:r>
        <w:rPr>
          <w:spacing w:val="14"/>
        </w:rPr>
        <w:t>可能路径：主要在4200-5200美元区间高位宽幅震荡，年度涨幅10-20%,但不排除阶段</w:t>
      </w:r>
      <w:r>
        <w:rPr/>
        <w:t xml:space="preserve"> </w:t>
      </w:r>
      <w:r>
        <w:rPr>
          <w:spacing w:val="14"/>
        </w:rPr>
        <w:t>性回调15-20%。类似2016-2019年慢</w:t>
      </w:r>
      <w:r>
        <w:rPr>
          <w:spacing w:val="13"/>
        </w:rPr>
        <w:t>牛。</w:t>
      </w:r>
    </w:p>
    <w:p>
      <w:pPr>
        <w:pStyle w:val="BodyText"/>
        <w:ind w:left="370"/>
        <w:spacing w:before="113" w:line="213" w:lineRule="auto"/>
        <w:rPr/>
      </w:pPr>
      <w:r>
        <w:rPr>
          <w:spacing w:val="9"/>
        </w:rPr>
        <w:t>·</w:t>
      </w:r>
      <w:r>
        <w:rPr>
          <w:b/>
          <w:bCs/>
          <w:spacing w:val="9"/>
        </w:rPr>
        <w:t>熊市/深度回调情景(概率较低，10-20%,需重大变化)</w:t>
      </w:r>
    </w:p>
    <w:p>
      <w:pPr>
        <w:pStyle w:val="BodyText"/>
        <w:ind w:left="500"/>
        <w:spacing w:before="126" w:line="327" w:lineRule="auto"/>
        <w:rPr/>
      </w:pPr>
      <w:r>
        <w:rPr/>
        <w:t>假设美国经济超预期韧性、通胀反弹导致美联储暂停/转向、美元重</w:t>
      </w:r>
      <w:r>
        <w:rPr>
          <w:spacing w:val="-1"/>
        </w:rPr>
        <w:t>回强势、央行购金显著放</w:t>
      </w:r>
      <w:r>
        <w:rPr/>
        <w:t xml:space="preserve"> </w:t>
      </w:r>
      <w:r>
        <w:rPr>
          <w:spacing w:val="-4"/>
        </w:rPr>
        <w:t>缓、地缘风险大幅降温。</w:t>
      </w:r>
    </w:p>
    <w:p>
      <w:pPr>
        <w:pStyle w:val="BodyText"/>
        <w:ind w:left="500"/>
        <w:spacing w:before="2" w:line="220" w:lineRule="auto"/>
        <w:rPr/>
      </w:pPr>
      <w:r>
        <w:rPr>
          <w:spacing w:val="1"/>
        </w:rPr>
        <w:t>金价逻辑：实际利率重新转正+机会成本上升+风险偏好全面回升。</w:t>
      </w:r>
    </w:p>
    <w:p>
      <w:pPr>
        <w:pStyle w:val="BodyText"/>
        <w:ind w:left="500" w:right="262"/>
        <w:spacing w:before="133" w:line="324" w:lineRule="auto"/>
        <w:rPr/>
      </w:pPr>
      <w:r>
        <w:rPr>
          <w:spacing w:val="10"/>
        </w:rPr>
        <w:t>可能路径：跌破关键长期支撑，回调至3800-4200美元，甚至测试3500美元下方。类似</w:t>
      </w:r>
      <w:r>
        <w:rPr>
          <w:spacing w:val="6"/>
        </w:rPr>
        <w:t xml:space="preserve"> </w:t>
      </w:r>
      <w:r>
        <w:rPr>
          <w:spacing w:val="4"/>
        </w:rPr>
        <w:t>2013年缩减恐慌。</w:t>
      </w:r>
    </w:p>
    <w:p>
      <w:pPr>
        <w:pStyle w:val="BodyText"/>
        <w:ind w:right="195"/>
        <w:spacing w:before="157" w:line="328" w:lineRule="auto"/>
        <w:rPr/>
      </w:pPr>
      <w:r>
        <w:rPr>
          <w:spacing w:val="4"/>
        </w:rPr>
        <w:t>不确定性认知：黄金当前估值已处历史极值区域，短期过热风险上升，但结构性买盘(央行+长</w:t>
      </w:r>
      <w:r>
        <w:rPr>
          <w:spacing w:val="6"/>
        </w:rPr>
        <w:t xml:space="preserve"> </w:t>
      </w:r>
      <w:r>
        <w:rPr>
          <w:spacing w:val="4"/>
        </w:rPr>
        <w:t>期配置)提供强力地板，深度系统性熊市概率</w:t>
      </w:r>
      <w:r>
        <w:rPr>
          <w:spacing w:val="3"/>
        </w:rPr>
        <w:t>较低。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2"/>
        </w:rPr>
        <w:t>3.</w:t>
      </w:r>
      <w:r>
        <w:rPr>
          <w:sz w:val="30"/>
          <w:szCs w:val="30"/>
          <w:b/>
          <w:bCs/>
          <w:spacing w:val="2"/>
        </w:rPr>
        <w:t>关键技术位置识别</w:t>
      </w:r>
    </w:p>
    <w:p>
      <w:pPr>
        <w:pStyle w:val="BodyText"/>
        <w:spacing w:before="231" w:line="213" w:lineRule="auto"/>
        <w:rPr/>
      </w:pPr>
      <w:r>
        <w:rPr>
          <w:spacing w:val="-2"/>
        </w:rPr>
        <w:t>当前日线/周线级别呈强势多头排列，价格远高于所有主要长期均线。</w:t>
      </w:r>
    </w:p>
    <w:p>
      <w:pPr>
        <w:pStyle w:val="BodyText"/>
        <w:spacing w:before="253" w:line="222" w:lineRule="auto"/>
        <w:rPr/>
      </w:pPr>
      <w:r>
        <w:rPr>
          <w:spacing w:val="12"/>
        </w:rPr>
        <w:t>关键支撑位(从强到弱):</w:t>
      </w:r>
    </w:p>
    <w:p>
      <w:pPr>
        <w:spacing w:line="222" w:lineRule="auto"/>
        <w:sectPr>
          <w:pgSz w:w="12240" w:h="15840"/>
          <w:pgMar w:top="1255" w:right="1039" w:bottom="0" w:left="989" w:header="0" w:footer="0" w:gutter="0"/>
        </w:sectPr>
        <w:rPr/>
      </w:pPr>
    </w:p>
    <w:p>
      <w:pPr>
        <w:pStyle w:val="BodyText"/>
        <w:ind w:left="359"/>
        <w:spacing w:before="49" w:line="219" w:lineRule="auto"/>
        <w:rPr/>
      </w:pPr>
      <w:r>
        <w:rPr>
          <w:spacing w:val="8"/>
        </w:rPr>
        <w:t>·</w:t>
      </w:r>
      <w:r>
        <w:rPr>
          <w:spacing w:val="-97"/>
        </w:rPr>
        <w:t xml:space="preserve"> </w:t>
      </w:r>
      <w:r>
        <w:rPr>
          <w:spacing w:val="8"/>
        </w:rPr>
        <w:t>短期支撑：4550-4580美元(近期低点与短期上升趋势线)。</w:t>
      </w:r>
    </w:p>
    <w:p>
      <w:pPr>
        <w:pStyle w:val="BodyText"/>
        <w:ind w:left="359"/>
        <w:spacing w:before="246" w:line="221" w:lineRule="auto"/>
        <w:rPr/>
      </w:pPr>
      <w:r>
        <w:rPr>
          <w:spacing w:val="16"/>
        </w:rPr>
        <w:t>·</w:t>
      </w:r>
      <w:r>
        <w:rPr>
          <w:spacing w:val="-73"/>
        </w:rPr>
        <w:t xml:space="preserve"> </w:t>
      </w:r>
      <w:r>
        <w:rPr>
          <w:spacing w:val="16"/>
        </w:rPr>
        <w:t>中期重要支撑：4420-4500美元(前</w:t>
      </w:r>
      <w:r>
        <w:rPr>
          <w:spacing w:val="15"/>
        </w:rPr>
        <w:t>期高点转支撑+短期斐波那契38.2%-50%回撤区)。</w:t>
      </w:r>
    </w:p>
    <w:p>
      <w:pPr>
        <w:pStyle w:val="BodyText"/>
        <w:ind w:left="499" w:right="173" w:hanging="140"/>
        <w:spacing w:before="242" w:line="273" w:lineRule="auto"/>
        <w:rPr/>
      </w:pPr>
      <w:r>
        <w:rPr>
          <w:spacing w:val="12"/>
        </w:rPr>
        <w:t>·</w:t>
      </w:r>
      <w:r>
        <w:rPr>
          <w:spacing w:val="-89"/>
        </w:rPr>
        <w:t xml:space="preserve"> </w:t>
      </w:r>
      <w:r>
        <w:rPr>
          <w:spacing w:val="12"/>
        </w:rPr>
        <w:t>强支撑/第一道防线：4200-4300美元(多重依据</w:t>
      </w:r>
      <w:r>
        <w:rPr>
          <w:spacing w:val="11"/>
        </w:rPr>
        <w:t>：2025年多次起涨区+长期上升通道下</w:t>
      </w:r>
      <w:r>
        <w:rPr/>
        <w:t xml:space="preserve"> </w:t>
      </w:r>
      <w:r>
        <w:rPr>
          <w:spacing w:val="25"/>
        </w:rPr>
        <w:t>轨+50%斐波那契回撤(从2022低点至当前高点)+关键心理位)。</w:t>
      </w:r>
    </w:p>
    <w:p>
      <w:pPr>
        <w:pStyle w:val="BodyText"/>
        <w:ind w:left="499" w:right="27" w:hanging="140"/>
        <w:spacing w:before="257" w:line="270" w:lineRule="auto"/>
        <w:rPr/>
      </w:pPr>
      <w:r>
        <w:rPr>
          <w:spacing w:val="15"/>
        </w:rPr>
        <w:t>·</w:t>
      </w:r>
      <w:r>
        <w:rPr>
          <w:spacing w:val="-92"/>
        </w:rPr>
        <w:t xml:space="preserve"> </w:t>
      </w:r>
      <w:r>
        <w:rPr>
          <w:spacing w:val="15"/>
        </w:rPr>
        <w:t>深度回调支撑：3800-4000美元(200周</w:t>
      </w:r>
      <w:r>
        <w:rPr>
          <w:spacing w:val="14"/>
        </w:rPr>
        <w:t>均线当前大致位置+2025年上半年主要成交密集</w:t>
      </w:r>
      <w:r>
        <w:rPr/>
        <w:t xml:space="preserve"> </w:t>
      </w:r>
      <w:r>
        <w:rPr>
          <w:spacing w:val="13"/>
        </w:rPr>
        <w:t>区+61.8%斐波那契回撤)。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spacing w:val="11"/>
        </w:rPr>
        <w:t>关键压力位(从近到远):</w:t>
      </w:r>
    </w:p>
    <w:p>
      <w:pPr>
        <w:pStyle w:val="BodyText"/>
        <w:ind w:left="359"/>
        <w:spacing w:before="261" w:line="221" w:lineRule="auto"/>
        <w:rPr/>
      </w:pPr>
      <w:r>
        <w:rPr>
          <w:spacing w:val="12"/>
        </w:rPr>
        <w:t>·</w:t>
      </w:r>
      <w:r>
        <w:rPr>
          <w:spacing w:val="-87"/>
        </w:rPr>
        <w:t xml:space="preserve"> </w:t>
      </w:r>
      <w:r>
        <w:rPr>
          <w:spacing w:val="12"/>
        </w:rPr>
        <w:t>短期压力：4650-4700美元(当前历史高点区域+扩展目标)。</w:t>
      </w:r>
    </w:p>
    <w:p>
      <w:pPr>
        <w:pStyle w:val="BodyText"/>
        <w:ind w:left="359"/>
        <w:spacing w:before="253" w:line="221" w:lineRule="auto"/>
        <w:rPr/>
      </w:pPr>
      <w:r>
        <w:rPr>
          <w:spacing w:val="14"/>
        </w:rPr>
        <w:t>·</w:t>
      </w:r>
      <w:r>
        <w:rPr>
          <w:spacing w:val="-62"/>
        </w:rPr>
        <w:t xml:space="preserve"> </w:t>
      </w:r>
      <w:r>
        <w:rPr>
          <w:spacing w:val="14"/>
        </w:rPr>
        <w:t>中期目标：4800-5000美元(161.8%斐波那契扩展+整数关口+市场预期集中区)。</w:t>
      </w:r>
    </w:p>
    <w:p>
      <w:pPr>
        <w:pStyle w:val="BodyText"/>
        <w:ind w:left="359"/>
        <w:spacing w:before="232" w:line="213" w:lineRule="auto"/>
        <w:rPr/>
      </w:pPr>
      <w:r>
        <w:rPr>
          <w:spacing w:val="2"/>
        </w:rPr>
        <w:t>·远期开放目标：5200-5500美元+(若牛市加速，历史规律显示</w:t>
      </w:r>
      <w:r>
        <w:rPr>
          <w:spacing w:val="1"/>
        </w:rPr>
        <w:t>可出现价格“真空区”)。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79" w:line="213" w:lineRule="auto"/>
        <w:rPr/>
      </w:pPr>
      <w:r>
        <w:rPr>
          <w:spacing w:val="7"/>
        </w:rPr>
        <w:t>技术框架总结：只要守住4200-4300美元核心支撑，多头</w:t>
      </w:r>
      <w:r>
        <w:rPr>
          <w:spacing w:val="6"/>
        </w:rPr>
        <w:t>结构完整；跌破则需警惕趋势拐点。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1"/>
        </w:rPr>
        <w:t>4.</w:t>
      </w:r>
      <w:r>
        <w:rPr>
          <w:sz w:val="30"/>
          <w:szCs w:val="30"/>
          <w:b/>
          <w:bCs/>
          <w:spacing w:val="1"/>
        </w:rPr>
        <w:t>分析框架整合</w:t>
      </w:r>
    </w:p>
    <w:p>
      <w:pPr>
        <w:pStyle w:val="BodyText"/>
        <w:ind w:left="359"/>
        <w:spacing w:before="219" w:line="221" w:lineRule="auto"/>
        <w:rPr/>
      </w:pPr>
      <w:r>
        <w:rPr>
          <w:spacing w:val="-1"/>
        </w:rPr>
        <w:t>·基本面提供中长期方向：央行购金+负实际利率+地缘长期化=结构性牛市底座。</w:t>
      </w:r>
    </w:p>
    <w:p>
      <w:pPr>
        <w:pStyle w:val="BodyText"/>
        <w:ind w:left="499" w:hanging="140"/>
        <w:spacing w:before="231" w:line="281" w:lineRule="auto"/>
        <w:rPr/>
      </w:pPr>
      <w:r>
        <w:rPr>
          <w:spacing w:val="-2"/>
        </w:rPr>
        <w:t>·技术面确认入场/出场时机：当前强势通道运行，</w:t>
      </w:r>
      <w:r>
        <w:rPr>
          <w:spacing w:val="-3"/>
        </w:rPr>
        <w:t>关键支撑提供买入机会，压力区观察获利了</w:t>
      </w:r>
      <w:r>
        <w:rPr/>
        <w:t xml:space="preserve"> </w:t>
      </w:r>
      <w:r>
        <w:rPr>
          <w:spacing w:val="-5"/>
        </w:rPr>
        <w:t>结或突破延续。</w:t>
      </w:r>
    </w:p>
    <w:p>
      <w:pPr>
        <w:pStyle w:val="BodyText"/>
        <w:ind w:left="499" w:right="167" w:hanging="140"/>
        <w:spacing w:before="252" w:line="273" w:lineRule="auto"/>
        <w:rPr/>
      </w:pPr>
      <w:r>
        <w:rPr>
          <w:spacing w:val="-2"/>
        </w:rPr>
        <w:t>·情绪面印证：极端看多后常伴随震荡回调，</w:t>
      </w:r>
      <w:r>
        <w:rPr>
          <w:spacing w:val="-3"/>
        </w:rPr>
        <w:t>但未见大规模</w:t>
      </w:r>
      <w:r>
        <w:rPr>
          <w:rFonts w:ascii="SimSun" w:hAnsi="SimSun" w:eastAsia="SimSun" w:cs="SimSun"/>
          <w:spacing w:val="-3"/>
        </w:rPr>
        <w:t>ETF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3"/>
        </w:rPr>
        <w:t>赎回或央行减持信号，情绪过</w:t>
      </w:r>
      <w:r>
        <w:rPr/>
        <w:t xml:space="preserve"> </w:t>
      </w:r>
      <w:r>
        <w:rPr>
          <w:spacing w:val="-3"/>
        </w:rPr>
        <w:t>热但未崩盘。</w:t>
      </w:r>
    </w:p>
    <w:p>
      <w:pPr>
        <w:pStyle w:val="BodyText"/>
        <w:ind w:right="26"/>
        <w:spacing w:before="289" w:line="341" w:lineRule="auto"/>
        <w:rPr/>
      </w:pPr>
      <w:r>
        <w:rPr>
          <w:spacing w:val="-8"/>
        </w:rPr>
        <w:t>综合判断：2026年黄金大概率延续高位强势格局，首选“牛市延续”与“宽幅震荡”情景，核心操作</w:t>
      </w:r>
      <w:r>
        <w:rPr/>
        <w:t xml:space="preserve"> </w:t>
      </w:r>
      <w:r>
        <w:rPr>
          <w:spacing w:val="-15"/>
        </w:rPr>
        <w:t>思路为“回调低吸、压力减仓、突破加仓”。</w:t>
      </w:r>
    </w:p>
    <w:p>
      <w:pPr>
        <w:pStyle w:val="BodyText"/>
        <w:ind w:left="4"/>
        <w:spacing w:before="324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核心结论思维导图</w:t>
      </w:r>
    </w:p>
    <w:p>
      <w:pPr>
        <w:spacing w:line="222" w:lineRule="auto"/>
        <w:sectPr>
          <w:pgSz w:w="12240" w:h="15840"/>
          <w:pgMar w:top="1247" w:right="1041" w:bottom="0" w:left="980" w:header="0" w:footer="0" w:gutter="0"/>
        </w:sectPr>
        <w:rPr>
          <w:sz w:val="30"/>
          <w:szCs w:val="30"/>
        </w:rPr>
      </w:pPr>
    </w:p>
    <w:tbl>
      <w:tblPr>
        <w:tblStyle w:val="TableNormal"/>
        <w:tblW w:w="10120" w:type="dxa"/>
        <w:tblInd w:w="46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120"/>
      </w:tblGrid>
      <w:tr>
        <w:trPr>
          <w:trHeight w:val="7600" w:hRule="atLeast"/>
        </w:trPr>
        <w:tc>
          <w:tcPr>
            <w:tcW w:w="10120" w:type="dxa"/>
            <w:vAlign w:val="top"/>
          </w:tcPr>
          <w:p>
            <w:pPr>
              <w:pStyle w:val="TableText"/>
              <w:ind w:left="1154"/>
              <w:spacing w:before="238"/>
              <w:rPr/>
            </w:pPr>
            <w:r>
              <w:rPr>
                <w:spacing w:val="-3"/>
              </w:rPr>
              <w:t>text</w:t>
            </w:r>
          </w:p>
          <w:p>
            <w:pPr>
              <w:pStyle w:val="TableText"/>
              <w:ind w:left="1154"/>
              <w:spacing w:before="194" w:line="219" w:lineRule="auto"/>
              <w:rPr/>
            </w:pPr>
            <w:r>
              <w:rPr>
                <w:spacing w:val="3"/>
              </w:rPr>
              <w:t>未来黄金趋势(2026年核心展望)</w:t>
            </w:r>
          </w:p>
          <w:p>
            <w:pPr>
              <w:pStyle w:val="TableText"/>
              <w:ind w:left="1154"/>
              <w:spacing w:before="55" w:line="219" w:lineRule="auto"/>
              <w:rPr/>
            </w:pPr>
            <w:r>
              <w:rPr>
                <w:spacing w:val="2"/>
              </w:rPr>
              <w:t>牛市延续/加速(基准，50-60%)</w:t>
            </w:r>
          </w:p>
          <w:p>
            <w:pPr>
              <w:pStyle w:val="TableText"/>
              <w:ind w:left="1154"/>
              <w:spacing w:before="45" w:line="219" w:lineRule="auto"/>
              <w:rPr/>
            </w:pPr>
            <w:r>
              <w:rPr>
                <w:spacing w:val="-1"/>
              </w:rPr>
              <w:t>十 驱动：美联储继续降息+地缘升级+央行购金700t+</w:t>
            </w:r>
          </w:p>
          <w:p>
            <w:pPr>
              <w:pStyle w:val="TableText"/>
              <w:ind w:left="1154"/>
              <w:spacing w:before="36" w:line="220" w:lineRule="auto"/>
              <w:rPr/>
            </w:pPr>
            <w:r>
              <w:rPr>
                <w:spacing w:val="2"/>
              </w:rPr>
              <w:t>目标：4800→5500+美元(甚至6000)</w:t>
            </w:r>
          </w:p>
          <w:p>
            <w:pPr>
              <w:pStyle w:val="TableText"/>
              <w:ind w:left="1154"/>
              <w:spacing w:before="21" w:line="218" w:lineRule="auto"/>
              <w:rPr/>
            </w:pPr>
            <w:r>
              <w:rPr>
                <w:spacing w:val="3"/>
              </w:rPr>
              <w:t>宽幅震荡/高位整理(30-40%)</w:t>
            </w:r>
          </w:p>
          <w:p>
            <w:pPr>
              <w:pStyle w:val="TableText"/>
              <w:ind w:left="1154"/>
              <w:spacing w:before="48" w:line="219" w:lineRule="auto"/>
              <w:rPr/>
            </w:pPr>
            <w:r>
              <w:rPr/>
              <w:t>十 驱动：降息放缓+经济软着陆+风险阶段缓和</w:t>
            </w:r>
          </w:p>
          <w:p>
            <w:pPr>
              <w:pStyle w:val="TableText"/>
              <w:ind w:left="1154"/>
              <w:spacing w:before="45" w:line="219" w:lineRule="auto"/>
              <w:rPr/>
            </w:pPr>
            <w:r>
              <w:rPr>
                <w:spacing w:val="2"/>
              </w:rPr>
              <w:t>区间：4200-5200美元(年度+10-20%)</w:t>
            </w:r>
          </w:p>
          <w:p>
            <w:pPr>
              <w:pStyle w:val="TableText"/>
              <w:ind w:left="1154"/>
              <w:spacing w:before="26" w:line="219" w:lineRule="auto"/>
              <w:rPr/>
            </w:pPr>
            <w:r>
              <w:rPr>
                <w:spacing w:val="2"/>
              </w:rPr>
              <w:t>熊市/深度回调(较低，10-20%)</w:t>
            </w:r>
          </w:p>
          <w:p>
            <w:pPr>
              <w:pStyle w:val="TableText"/>
              <w:ind w:left="1154"/>
              <w:spacing w:before="43" w:line="219" w:lineRule="auto"/>
              <w:rPr/>
            </w:pPr>
            <w:r>
              <w:rPr>
                <w:spacing w:val="-6"/>
              </w:rPr>
              <w:t>—驱动：美联储暂停+通胀反弹+美元强势</w:t>
            </w:r>
          </w:p>
          <w:p>
            <w:pPr>
              <w:pStyle w:val="TableText"/>
              <w:ind w:left="1154"/>
              <w:spacing w:before="78" w:line="220" w:lineRule="auto"/>
              <w:rPr/>
            </w:pPr>
            <w:r>
              <w:rPr>
                <w:spacing w:val="2"/>
              </w:rPr>
              <w:t>目标：3800-4200美元(甚至3500下方)</w:t>
            </w:r>
          </w:p>
          <w:p>
            <w:pPr>
              <w:pStyle w:val="TableText"/>
              <w:ind w:left="1154"/>
              <w:spacing w:before="193" w:line="219" w:lineRule="auto"/>
              <w:rPr/>
            </w:pPr>
            <w:r>
              <w:rPr>
                <w:spacing w:val="4"/>
              </w:rPr>
              <w:t>关键支撑位置(由强到弱)</w:t>
            </w:r>
          </w:p>
          <w:p>
            <w:pPr>
              <w:pStyle w:val="TableText"/>
              <w:ind w:left="1154"/>
              <w:spacing w:before="156" w:line="220" w:lineRule="auto"/>
              <w:rPr/>
            </w:pPr>
            <w:r>
              <w:rPr>
                <w:spacing w:val="-7"/>
              </w:rPr>
              <w:t>—短期：4550-4580美元</w:t>
            </w:r>
          </w:p>
          <w:p>
            <w:pPr>
              <w:pStyle w:val="TableText"/>
              <w:ind w:left="1154"/>
              <w:spacing w:before="44" w:line="220" w:lineRule="auto"/>
              <w:rPr/>
            </w:pPr>
            <w:r>
              <w:rPr>
                <w:spacing w:val="-2"/>
              </w:rPr>
              <w:t>十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中期：4420-4500美元</w:t>
            </w:r>
          </w:p>
          <w:p>
            <w:pPr>
              <w:pStyle w:val="TableText"/>
              <w:ind w:left="1154"/>
              <w:spacing w:before="43" w:line="219" w:lineRule="auto"/>
              <w:rPr/>
            </w:pPr>
            <w:r>
              <w:rPr>
                <w:spacing w:val="-3"/>
              </w:rPr>
              <w:t>—核心防线：4200-4300美元(多重技术+心理)</w:t>
            </w:r>
          </w:p>
          <w:p>
            <w:pPr>
              <w:pStyle w:val="TableText"/>
              <w:ind w:left="1154"/>
              <w:spacing w:before="116" w:line="220" w:lineRule="auto"/>
              <w:rPr/>
            </w:pPr>
            <w:r>
              <w:rPr>
                <w:spacing w:val="2"/>
              </w:rPr>
              <w:t>深度：3800-4000美元(200周均线+关键</w:t>
            </w:r>
            <w:r>
              <w:rPr>
                <w:spacing w:val="1"/>
              </w:rPr>
              <w:t>回撤)</w:t>
            </w:r>
          </w:p>
          <w:p>
            <w:pPr>
              <w:pStyle w:val="TableText"/>
              <w:ind w:left="1154"/>
              <w:spacing w:before="204" w:line="219" w:lineRule="auto"/>
              <w:rPr/>
            </w:pPr>
            <w:r>
              <w:rPr>
                <w:spacing w:val="4"/>
              </w:rPr>
              <w:t>关键压力位置(由近到远)</w:t>
            </w:r>
          </w:p>
          <w:p>
            <w:pPr>
              <w:pStyle w:val="TableText"/>
              <w:ind w:left="1154"/>
              <w:spacing w:before="125" w:line="219" w:lineRule="auto"/>
              <w:rPr/>
            </w:pPr>
            <w:r>
              <w:rPr>
                <w:spacing w:val="2"/>
              </w:rPr>
              <w:t>十 短期：4650-4700美元(当前高点区)</w:t>
            </w:r>
          </w:p>
          <w:p>
            <w:pPr>
              <w:pStyle w:val="TableText"/>
              <w:ind w:left="1154"/>
              <w:spacing w:before="35" w:line="219" w:lineRule="auto"/>
              <w:rPr/>
            </w:pPr>
            <w:r>
              <w:rPr>
                <w:spacing w:val="2"/>
              </w:rPr>
              <w:t>中期：4800-5000美元(扩展+整数)</w:t>
            </w:r>
          </w:p>
          <w:p>
            <w:pPr>
              <w:pStyle w:val="TableText"/>
              <w:ind w:left="1154"/>
              <w:spacing w:before="86" w:line="220" w:lineRule="auto"/>
              <w:rPr/>
            </w:pPr>
            <w:r>
              <w:rPr>
                <w:spacing w:val="2"/>
              </w:rPr>
              <w:t>L远期：5200-5500美元+(开放目标)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78" w:line="213" w:lineRule="auto"/>
        <w:rPr/>
      </w:pPr>
      <w:r>
        <w:rPr>
          <w:b/>
          <w:bCs/>
          <w:spacing w:val="-4"/>
        </w:rPr>
        <w:t>以上分析基于当前公开宏观数据、技术形态与市场共识，仅供参考，投资有风险，入市需谨慎。</w:t>
      </w:r>
    </w:p>
    <w:sectPr>
      <w:pgSz w:w="12240" w:h="15840"/>
      <w:pgMar w:top="1115" w:right="1044" w:bottom="0" w:left="102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2026-03-16T00:00:31</vt:filetime>
  </property>
  <property fmtid="{D5CDD505-2E9C-101B-9397-08002B2CF9AE}" pid="4" name="UsrData">
    <vt:lpwstr>69b6d79c259dfc001fa654a4wl</vt:lpwstr>
  </property>
</Properties>
</file>