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"/>
        <w:spacing w:before="90" w:line="219" w:lineRule="auto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spacing w:val="3"/>
        </w:rPr>
        <w:t>2010年至今黄金价格走势分析报告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20" w:line="219" w:lineRule="auto"/>
        <w:outlineLvl w:val="1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7"/>
        </w:rPr>
        <w:t>1.</w:t>
      </w:r>
      <w:r>
        <w:rPr>
          <w:sz w:val="37"/>
          <w:szCs w:val="37"/>
          <w:b/>
          <w:bCs/>
          <w:spacing w:val="7"/>
        </w:rPr>
        <w:t>过去的情况(2010年至今)</w:t>
      </w:r>
    </w:p>
    <w:p>
      <w:pPr>
        <w:pStyle w:val="BodyText"/>
        <w:ind w:right="192"/>
        <w:spacing w:before="216" w:line="340" w:lineRule="auto"/>
        <w:rPr/>
      </w:pPr>
      <w:r>
        <w:rPr>
          <w:spacing w:val="10"/>
        </w:rPr>
        <w:t>从2010年到现在(2026年1月),黄金</w:t>
      </w:r>
      <w:r>
        <w:rPr>
          <w:spacing w:val="9"/>
        </w:rPr>
        <w:t>价格整体呈现先涨后跌、再强势上涨的长期牛市格局，当</w:t>
      </w:r>
      <w:r>
        <w:rPr/>
        <w:t xml:space="preserve"> </w:t>
      </w:r>
      <w:r>
        <w:rPr>
          <w:spacing w:val="-2"/>
        </w:rPr>
        <w:t>前价格已创历史新高。</w:t>
      </w:r>
    </w:p>
    <w:p>
      <w:pPr>
        <w:pStyle w:val="BodyText"/>
        <w:ind w:left="509" w:right="27" w:hanging="140"/>
        <w:spacing w:before="66" w:line="328" w:lineRule="auto"/>
        <w:rPr/>
      </w:pPr>
      <w:r>
        <w:rPr>
          <w:spacing w:val="4"/>
        </w:rPr>
        <w:t>·2010-2011年：黄金从约1100-1200美元/盎司快速上涨，到2011年9月达到历史高点约1920</w:t>
      </w:r>
      <w:r>
        <w:rPr>
          <w:spacing w:val="13"/>
        </w:rPr>
        <w:t xml:space="preserve"> </w:t>
      </w:r>
      <w:r>
        <w:rPr>
          <w:spacing w:val="-2"/>
        </w:rPr>
        <w:t>美元/盎司，主要受欧债危机和美国债务上限问题推动。</w:t>
      </w:r>
    </w:p>
    <w:p>
      <w:pPr>
        <w:pStyle w:val="BodyText"/>
        <w:ind w:left="509" w:right="169" w:hanging="140"/>
        <w:spacing w:before="128" w:line="304" w:lineRule="auto"/>
        <w:rPr/>
      </w:pPr>
      <w:r>
        <w:rPr>
          <w:spacing w:val="3"/>
        </w:rPr>
        <w:t>·2012-2015年：</w:t>
      </w:r>
      <w:r>
        <w:rPr>
          <w:spacing w:val="-65"/>
        </w:rPr>
        <w:t xml:space="preserve"> </w:t>
      </w:r>
      <w:r>
        <w:rPr>
          <w:spacing w:val="3"/>
        </w:rPr>
        <w:t>进入漫长熊市，价格逐步回落，到2015年底跌至约1050-1100美元/盎司低</w:t>
      </w:r>
      <w:r>
        <w:rPr/>
        <w:t xml:space="preserve"> </w:t>
      </w:r>
      <w:r>
        <w:rPr>
          <w:spacing w:val="-2"/>
        </w:rPr>
        <w:t>点，主要因为美联储结束</w:t>
      </w:r>
      <w:r>
        <w:rPr>
          <w:rFonts w:ascii="Times New Roman" w:hAnsi="Times New Roman" w:eastAsia="Times New Roman" w:cs="Times New Roman"/>
          <w:spacing w:val="-2"/>
        </w:rPr>
        <w:t>QE</w:t>
      </w:r>
      <w:r>
        <w:rPr>
          <w:spacing w:val="-2"/>
        </w:rPr>
        <w:t>并准备加息。</w:t>
      </w:r>
    </w:p>
    <w:p>
      <w:pPr>
        <w:pStyle w:val="BodyText"/>
        <w:ind w:left="369"/>
        <w:spacing w:before="158" w:line="213" w:lineRule="auto"/>
        <w:rPr/>
      </w:pPr>
      <w:r>
        <w:rPr>
          <w:spacing w:val="5"/>
        </w:rPr>
        <w:t>·2016-2020年：</w:t>
      </w:r>
      <w:r>
        <w:rPr>
          <w:spacing w:val="5"/>
        </w:rPr>
        <w:t xml:space="preserve"> </w:t>
      </w:r>
      <w:r>
        <w:rPr>
          <w:spacing w:val="5"/>
        </w:rPr>
        <w:t>重新上涨，2020年8月因疫情冲击创下2075美元/盎司新</w:t>
      </w:r>
      <w:r>
        <w:rPr>
          <w:spacing w:val="4"/>
        </w:rPr>
        <w:t>高。</w:t>
      </w:r>
    </w:p>
    <w:p>
      <w:pPr>
        <w:pStyle w:val="BodyText"/>
        <w:ind w:left="369"/>
        <w:spacing w:before="263" w:line="213" w:lineRule="auto"/>
        <w:rPr/>
      </w:pPr>
      <w:r>
        <w:rPr>
          <w:spacing w:val="3"/>
        </w:rPr>
        <w:t>·2021-2022年：</w:t>
      </w:r>
      <w:r>
        <w:rPr>
          <w:spacing w:val="-36"/>
        </w:rPr>
        <w:t xml:space="preserve"> </w:t>
      </w:r>
      <w:r>
        <w:rPr>
          <w:spacing w:val="3"/>
        </w:rPr>
        <w:t>美联储激进加息，黄金回落至1600-1700美元/盎司附</w:t>
      </w:r>
      <w:r>
        <w:rPr>
          <w:spacing w:val="2"/>
        </w:rPr>
        <w:t>近。</w:t>
      </w:r>
    </w:p>
    <w:p>
      <w:pPr>
        <w:pStyle w:val="BodyText"/>
        <w:ind w:left="369"/>
        <w:spacing w:before="263" w:line="213" w:lineRule="auto"/>
        <w:rPr/>
      </w:pPr>
      <w:r>
        <w:rPr>
          <w:spacing w:val="8"/>
        </w:rPr>
        <w:t>·2023-2026年：</w:t>
      </w:r>
      <w:r>
        <w:rPr>
          <w:spacing w:val="8"/>
        </w:rPr>
        <w:t xml:space="preserve"> </w:t>
      </w:r>
      <w:r>
        <w:rPr>
          <w:spacing w:val="8"/>
        </w:rPr>
        <w:t>强势反弹，受益于央行大规模购金和地缘冲突，2025年涨幅超过55%,</w:t>
      </w:r>
    </w:p>
    <w:p>
      <w:pPr>
        <w:pStyle w:val="BodyText"/>
        <w:ind w:left="509" w:right="26"/>
        <w:spacing w:before="144" w:line="332" w:lineRule="auto"/>
        <w:rPr/>
      </w:pPr>
      <w:r>
        <w:rPr>
          <w:spacing w:val="14"/>
        </w:rPr>
        <w:t>2026年初突破4600美元/盎司，当前(2026年1月中旬)价格约4620美元/盎司附近，不断</w:t>
      </w:r>
      <w:r>
        <w:rPr>
          <w:spacing w:val="18"/>
        </w:rPr>
        <w:t xml:space="preserve"> </w:t>
      </w:r>
      <w:r>
        <w:rPr>
          <w:spacing w:val="-2"/>
        </w:rPr>
        <w:t>刷新纪录。</w:t>
      </w:r>
    </w:p>
    <w:p>
      <w:pPr>
        <w:pStyle w:val="BodyText"/>
        <w:ind w:left="3"/>
        <w:spacing w:before="164" w:line="222" w:lineRule="auto"/>
        <w:rPr/>
      </w:pPr>
      <w:r>
        <w:rPr>
          <w:b/>
          <w:bCs/>
          <w:spacing w:val="1"/>
        </w:rPr>
        <w:t>主要影响事件和因素</w:t>
      </w:r>
      <w:r>
        <w:rPr>
          <w:spacing w:val="-14"/>
        </w:rPr>
        <w:t xml:space="preserve"> </w:t>
      </w:r>
      <w:r>
        <w:rPr>
          <w:spacing w:val="1"/>
        </w:rPr>
        <w:t>(这些是大家公认的黄金价格驱动因素):</w:t>
      </w:r>
    </w:p>
    <w:p>
      <w:pPr>
        <w:pStyle w:val="BodyText"/>
        <w:ind w:left="509" w:right="29" w:hanging="136"/>
        <w:spacing w:before="244" w:line="268" w:lineRule="auto"/>
        <w:rPr/>
      </w:pPr>
      <w:r>
        <w:rPr>
          <w:b/>
          <w:bCs/>
          <w:spacing w:val="7"/>
        </w:rPr>
        <w:t>·</w:t>
      </w:r>
      <w:r>
        <w:rPr>
          <w:spacing w:val="-101"/>
        </w:rPr>
        <w:t xml:space="preserve"> </w:t>
      </w:r>
      <w:r>
        <w:rPr>
          <w:b/>
          <w:bCs/>
          <w:spacing w:val="7"/>
        </w:rPr>
        <w:t>美联储货币政策</w:t>
      </w:r>
      <w:r>
        <w:rPr>
          <w:spacing w:val="7"/>
        </w:rPr>
        <w:t xml:space="preserve"> </w:t>
      </w:r>
      <w:r>
        <w:rPr>
          <w:spacing w:val="7"/>
        </w:rPr>
        <w:t>(加息/降息):加息周期(比如2022年)提高持有黄</w:t>
      </w:r>
      <w:r>
        <w:rPr>
          <w:spacing w:val="6"/>
        </w:rPr>
        <w:t>金的机会成本，金价通</w:t>
      </w:r>
      <w:r>
        <w:rPr/>
        <w:t xml:space="preserve"> </w:t>
      </w:r>
      <w:r>
        <w:rPr>
          <w:spacing w:val="11"/>
        </w:rPr>
        <w:t>常下跌；降息或宽松预期(比如2020年</w:t>
      </w:r>
      <w:r>
        <w:rPr>
          <w:spacing w:val="10"/>
        </w:rPr>
        <w:t>疫情期间)利好黄金上涨。</w:t>
      </w:r>
    </w:p>
    <w:p>
      <w:pPr>
        <w:pStyle w:val="BodyText"/>
        <w:ind w:left="509" w:right="201" w:hanging="136"/>
        <w:spacing w:before="281" w:line="265" w:lineRule="auto"/>
        <w:rPr/>
      </w:pPr>
      <w:r>
        <w:rPr>
          <w:b/>
          <w:bCs/>
          <w:spacing w:val="6"/>
        </w:rPr>
        <w:t>·地缘政治冲突</w:t>
      </w:r>
      <w:r>
        <w:rPr>
          <w:spacing w:val="6"/>
        </w:rPr>
        <w:t xml:space="preserve"> </w:t>
      </w:r>
      <w:r>
        <w:rPr>
          <w:spacing w:val="6"/>
        </w:rPr>
        <w:t>(战争、地区紧张):如2011年欧债、2020年疫情、2022年</w:t>
      </w:r>
      <w:r>
        <w:rPr>
          <w:spacing w:val="5"/>
        </w:rPr>
        <w:t>俄乌冲突、近期</w:t>
      </w:r>
      <w:r>
        <w:rPr/>
        <w:t xml:space="preserve"> </w:t>
      </w:r>
      <w:r>
        <w:rPr>
          <w:spacing w:val="-2"/>
        </w:rPr>
        <w:t>中东局势等，避险需求推升金价。</w:t>
      </w:r>
    </w:p>
    <w:p>
      <w:pPr>
        <w:pStyle w:val="BodyText"/>
        <w:ind w:left="509" w:hanging="136"/>
        <w:spacing w:before="263" w:line="269" w:lineRule="auto"/>
        <w:rPr/>
      </w:pPr>
      <w:r>
        <w:rPr>
          <w:b/>
          <w:bCs/>
          <w:spacing w:val="8"/>
        </w:rPr>
        <w:t>·通胀水平：</w:t>
      </w:r>
      <w:r>
        <w:rPr>
          <w:spacing w:val="8"/>
        </w:rPr>
        <w:t>高通胀时期(如2020-2022年初)黄金作为抗通胀资产表现强势；通胀低迷时吸</w:t>
      </w:r>
      <w:r>
        <w:rPr/>
        <w:t xml:space="preserve"> </w:t>
      </w:r>
      <w:r>
        <w:rPr>
          <w:spacing w:val="-2"/>
        </w:rPr>
        <w:t>引力减弱。</w:t>
      </w:r>
    </w:p>
    <w:p>
      <w:pPr>
        <w:pStyle w:val="BodyText"/>
        <w:ind w:left="373"/>
        <w:spacing w:before="260" w:line="213" w:lineRule="auto"/>
        <w:rPr/>
      </w:pPr>
      <w:r>
        <w:rPr>
          <w:b/>
          <w:bCs/>
          <w:spacing w:val="5"/>
        </w:rPr>
        <w:t>·</w:t>
      </w:r>
      <w:r>
        <w:rPr>
          <w:spacing w:val="-94"/>
        </w:rPr>
        <w:t xml:space="preserve"> </w:t>
      </w:r>
      <w:r>
        <w:rPr>
          <w:b/>
          <w:bCs/>
          <w:spacing w:val="5"/>
        </w:rPr>
        <w:t>美元强弱：</w:t>
      </w:r>
      <w:r>
        <w:rPr>
          <w:spacing w:val="5"/>
        </w:rPr>
        <w:t>美元指数上涨(比如2022年)通常压低金</w:t>
      </w:r>
      <w:r>
        <w:rPr>
          <w:spacing w:val="4"/>
        </w:rPr>
        <w:t>价，二者呈明显负相关。</w:t>
      </w:r>
    </w:p>
    <w:p>
      <w:pPr>
        <w:pStyle w:val="BodyText"/>
        <w:ind w:left="509" w:right="295" w:hanging="136"/>
        <w:spacing w:before="275" w:line="273" w:lineRule="auto"/>
        <w:rPr/>
      </w:pPr>
      <w:r>
        <w:rPr>
          <w:b/>
          <w:bCs/>
          <w:spacing w:val="12"/>
        </w:rPr>
        <w:t>·黄金</w:t>
      </w:r>
      <w:r>
        <w:rPr>
          <w:rFonts w:ascii="Times New Roman" w:hAnsi="Times New Roman" w:eastAsia="Times New Roman" w:cs="Times New Roman"/>
          <w:b/>
          <w:bCs/>
        </w:rPr>
        <w:t>ETF</w:t>
      </w:r>
      <w:r>
        <w:rPr>
          <w:b/>
          <w:bCs/>
          <w:spacing w:val="12"/>
        </w:rPr>
        <w:t>持仓：</w:t>
      </w:r>
      <w:r>
        <w:rPr>
          <w:spacing w:val="12"/>
        </w:rPr>
        <w:t>投资者通过</w:t>
      </w:r>
      <w:r>
        <w:rPr>
          <w:rFonts w:ascii="Times New Roman" w:hAnsi="Times New Roman" w:eastAsia="Times New Roman" w:cs="Times New Roman"/>
        </w:rPr>
        <w:t>ETF</w:t>
      </w:r>
      <w:r>
        <w:rPr>
          <w:spacing w:val="12"/>
        </w:rPr>
        <w:t>大量买入(如2020年)推高价格，</w:t>
      </w:r>
      <w:r>
        <w:rPr>
          <w:spacing w:val="11"/>
        </w:rPr>
        <w:t>流出时(如2013-2015</w:t>
      </w:r>
      <w:r>
        <w:rPr/>
        <w:t xml:space="preserve"> </w:t>
      </w:r>
      <w:r>
        <w:rPr>
          <w:spacing w:val="14"/>
        </w:rPr>
        <w:t>年)导致下跌。</w:t>
      </w:r>
    </w:p>
    <w:p>
      <w:pPr>
        <w:pStyle w:val="BodyText"/>
        <w:ind w:left="509" w:right="23" w:hanging="140"/>
        <w:spacing w:before="250" w:line="260" w:lineRule="auto"/>
        <w:rPr/>
      </w:pPr>
      <w:r>
        <w:rPr/>
        <w:t>·各国央行购金：尤其是2018年以来，中国、印度、土耳其等央行持续大规模买</w:t>
      </w:r>
      <w:r>
        <w:rPr>
          <w:spacing w:val="-1"/>
        </w:rPr>
        <w:t>入，提供强劲</w:t>
      </w:r>
      <w:r>
        <w:rPr/>
        <w:t xml:space="preserve"> </w:t>
      </w:r>
      <w:r>
        <w:rPr>
          <w:spacing w:val="8"/>
        </w:rPr>
        <w:t>底部支撑，2023-2025年成为金价上涨主驱动之一。</w:t>
      </w:r>
    </w:p>
    <w:p>
      <w:pPr>
        <w:spacing w:line="260" w:lineRule="auto"/>
        <w:sectPr>
          <w:pgSz w:w="12240" w:h="15840"/>
          <w:pgMar w:top="1141" w:right="1031" w:bottom="0" w:left="980" w:header="0" w:footer="0" w:gutter="0"/>
        </w:sectPr>
        <w:rPr/>
      </w:pPr>
    </w:p>
    <w:p>
      <w:pPr>
        <w:pStyle w:val="BodyText"/>
        <w:ind w:left="5"/>
        <w:spacing w:before="72" w:line="221" w:lineRule="auto"/>
        <w:outlineLvl w:val="1"/>
        <w:rPr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8"/>
        </w:rPr>
        <w:t>2.</w:t>
      </w:r>
      <w:r>
        <w:rPr>
          <w:rFonts w:ascii="SimSun" w:hAnsi="SimSun" w:eastAsia="SimSun" w:cs="SimSun"/>
          <w:sz w:val="36"/>
          <w:szCs w:val="36"/>
          <w:spacing w:val="-95"/>
        </w:rPr>
        <w:t xml:space="preserve"> </w:t>
      </w:r>
      <w:r>
        <w:rPr>
          <w:sz w:val="36"/>
          <w:szCs w:val="36"/>
          <w:b/>
          <w:bCs/>
          <w:spacing w:val="-8"/>
        </w:rPr>
        <w:t>以后可能会怎样</w:t>
      </w:r>
    </w:p>
    <w:p>
      <w:pPr>
        <w:pStyle w:val="BodyText"/>
        <w:ind w:right="27"/>
        <w:spacing w:before="209" w:line="328" w:lineRule="auto"/>
        <w:rPr/>
      </w:pPr>
      <w:r>
        <w:rPr>
          <w:spacing w:val="8"/>
        </w:rPr>
        <w:t>当前(2026年初)黄金处于历史高位，短期可能有回调压力，但中长期趋势依然偏强势。未</w:t>
      </w:r>
      <w:r>
        <w:rPr>
          <w:spacing w:val="7"/>
        </w:rPr>
        <w:t>来走</w:t>
      </w:r>
      <w:r>
        <w:rPr/>
        <w:t xml:space="preserve"> </w:t>
      </w:r>
      <w:r>
        <w:rPr>
          <w:spacing w:val="-2"/>
        </w:rPr>
        <w:t>势主要取决于宏观环境，可能出现三种情景：</w:t>
      </w:r>
    </w:p>
    <w:p>
      <w:pPr>
        <w:pStyle w:val="BodyText"/>
        <w:ind w:left="499" w:right="212" w:hanging="140"/>
        <w:spacing w:before="118" w:line="312" w:lineRule="auto"/>
        <w:rPr/>
      </w:pPr>
      <w:r>
        <w:rPr>
          <w:spacing w:val="6"/>
        </w:rPr>
        <w:t>·</w:t>
      </w:r>
      <w:r>
        <w:rPr>
          <w:spacing w:val="-82"/>
        </w:rPr>
        <w:t xml:space="preserve"> </w:t>
      </w:r>
      <w:r>
        <w:rPr>
          <w:spacing w:val="6"/>
        </w:rPr>
        <w:t>上涨情景(概率较高):如果美联储继续降息、经济增长放缓、地缘政治风险加剧(如中东</w:t>
      </w:r>
      <w:r>
        <w:rPr/>
        <w:t xml:space="preserve"> </w:t>
      </w:r>
      <w:r>
        <w:rPr/>
        <w:t>或新热点冲突)、央行购金势头不减，黄金避险和保值需求将进一步释放，金价有望挑战</w:t>
      </w:r>
    </w:p>
    <w:p>
      <w:pPr>
        <w:pStyle w:val="BodyText"/>
        <w:ind w:left="500"/>
        <w:spacing w:before="28" w:line="221" w:lineRule="auto"/>
        <w:rPr/>
      </w:pPr>
      <w:r>
        <w:rPr>
          <w:spacing w:val="15"/>
        </w:rPr>
        <w:t>5000-5300美元甚至更高。</w:t>
      </w:r>
    </w:p>
    <w:p>
      <w:pPr>
        <w:pStyle w:val="BodyText"/>
        <w:ind w:left="499" w:hanging="140"/>
        <w:spacing w:before="273" w:line="256" w:lineRule="auto"/>
        <w:rPr/>
      </w:pPr>
      <w:r>
        <w:rPr>
          <w:spacing w:val="-2"/>
        </w:rPr>
        <w:t>·下跌/回调情景：如果美国经济超预期强劲、通胀</w:t>
      </w:r>
      <w:r>
        <w:rPr>
          <w:spacing w:val="-3"/>
        </w:rPr>
        <w:t>反弹导致利率维持高位、美元继续走强、风</w:t>
      </w:r>
      <w:r>
        <w:rPr/>
        <w:t xml:space="preserve"> </w:t>
      </w:r>
      <w:r>
        <w:rPr>
          <w:spacing w:val="13"/>
        </w:rPr>
        <w:t>险资产(如股市)大幅上涨，黄金可能出现较深回调，跌向400</w:t>
      </w:r>
      <w:r>
        <w:rPr>
          <w:spacing w:val="12"/>
        </w:rPr>
        <w:t>0-4500美元区间。</w:t>
      </w:r>
    </w:p>
    <w:p>
      <w:pPr>
        <w:pStyle w:val="BodyText"/>
        <w:ind w:left="499" w:right="65" w:hanging="140"/>
        <w:spacing w:before="284" w:line="260" w:lineRule="auto"/>
        <w:rPr/>
      </w:pPr>
      <w:r>
        <w:rPr>
          <w:spacing w:val="9"/>
        </w:rPr>
        <w:t>·</w:t>
      </w:r>
      <w:r>
        <w:rPr>
          <w:spacing w:val="-85"/>
        </w:rPr>
        <w:t xml:space="preserve"> </w:t>
      </w:r>
      <w:r>
        <w:rPr>
          <w:spacing w:val="9"/>
        </w:rPr>
        <w:t>区间波动情景(最可能短期走势):在没有重大新事件的情况下，金价可能在4</w:t>
      </w:r>
      <w:r>
        <w:rPr>
          <w:spacing w:val="8"/>
        </w:rPr>
        <w:t>200-4800美</w:t>
      </w:r>
      <w:r>
        <w:rPr/>
        <w:t xml:space="preserve"> </w:t>
      </w:r>
      <w:r>
        <w:rPr>
          <w:spacing w:val="-2"/>
        </w:rPr>
        <w:t>元宽幅震荡，消化高位获利盘，等待下一个明确方向信号。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64"/>
        <w:spacing w:before="79" w:line="311" w:lineRule="auto"/>
        <w:rPr/>
      </w:pPr>
      <w:r>
        <w:rPr>
          <w:spacing w:val="9"/>
        </w:rPr>
        <w:t>总体看，2026年多数机构预测金价中枢在4000-5000美元之间，结构性牛市尚未结束，但波动</w:t>
      </w:r>
      <w:r>
        <w:rPr>
          <w:spacing w:val="9"/>
        </w:rPr>
        <w:t xml:space="preserve"> </w:t>
      </w:r>
      <w:r>
        <w:rPr>
          <w:spacing w:val="-8"/>
        </w:rPr>
        <w:t>会加大。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outlineLvl w:val="1"/>
        <w:rPr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4"/>
        </w:rPr>
        <w:t>3.</w:t>
      </w:r>
      <w:r>
        <w:rPr>
          <w:sz w:val="36"/>
          <w:szCs w:val="36"/>
          <w:b/>
          <w:bCs/>
          <w:spacing w:val="4"/>
        </w:rPr>
        <w:t>重要的价格位置</w:t>
      </w:r>
    </w:p>
    <w:p>
      <w:pPr>
        <w:pStyle w:val="BodyText"/>
        <w:spacing w:before="207" w:line="213" w:lineRule="auto"/>
        <w:rPr/>
      </w:pPr>
      <w:r>
        <w:rPr>
          <w:spacing w:val="5"/>
        </w:rPr>
        <w:t>基于历史图表和技术分析，以下是当前关键水平(以美元/盎司计，2026年1月视角):</w:t>
      </w:r>
    </w:p>
    <w:p>
      <w:pPr>
        <w:pStyle w:val="BodyText"/>
        <w:spacing w:before="264" w:line="222" w:lineRule="auto"/>
        <w:rPr/>
      </w:pPr>
      <w:r>
        <w:rPr>
          <w:spacing w:val="7"/>
        </w:rPr>
        <w:t>重要支撑位(价格跌到这里可能止跌反弹):</w:t>
      </w:r>
    </w:p>
    <w:p>
      <w:pPr>
        <w:pStyle w:val="BodyText"/>
        <w:ind w:left="359"/>
        <w:spacing w:before="251" w:line="221" w:lineRule="auto"/>
        <w:rPr/>
      </w:pPr>
      <w:r>
        <w:rPr>
          <w:spacing w:val="5"/>
        </w:rPr>
        <w:t>·4440-4500美元：近期回调低点和短期支撑。</w:t>
      </w:r>
    </w:p>
    <w:p>
      <w:pPr>
        <w:pStyle w:val="BodyText"/>
        <w:ind w:left="359"/>
        <w:spacing w:before="253" w:line="213" w:lineRule="auto"/>
        <w:rPr/>
      </w:pPr>
      <w:r>
        <w:rPr>
          <w:spacing w:val="8"/>
        </w:rPr>
        <w:t>·4380-4400美元：2025年旧历史高点，转为强支撑。</w:t>
      </w:r>
    </w:p>
    <w:p>
      <w:pPr>
        <w:pStyle w:val="BodyText"/>
        <w:ind w:left="359"/>
        <w:spacing w:before="253" w:line="213" w:lineRule="auto"/>
        <w:rPr/>
      </w:pPr>
      <w:r>
        <w:rPr>
          <w:spacing w:val="4"/>
        </w:rPr>
        <w:t>·4000-4200美元：心理大关口和中期趋势线支撑，若跌破将打开更大回调空间。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rPr/>
      </w:pPr>
      <w:r>
        <w:rPr>
          <w:spacing w:val="7"/>
        </w:rPr>
        <w:t>重要压力位(价格涨到这里可能遇阻回落):</w:t>
      </w:r>
    </w:p>
    <w:p>
      <w:pPr>
        <w:pStyle w:val="BodyText"/>
        <w:ind w:left="359"/>
        <w:spacing w:before="241" w:line="213" w:lineRule="auto"/>
        <w:rPr/>
      </w:pPr>
      <w:r>
        <w:rPr>
          <w:spacing w:val="4"/>
        </w:rPr>
        <w:t>·4670-4700美元：当前延伸阻力位，多次测试。</w:t>
      </w:r>
    </w:p>
    <w:p>
      <w:pPr>
        <w:pStyle w:val="BodyText"/>
        <w:ind w:left="359"/>
        <w:spacing w:before="273" w:line="221" w:lineRule="auto"/>
        <w:rPr/>
      </w:pPr>
      <w:r>
        <w:rPr/>
        <w:t>·5000美元：重要心理关口和斐波那契扩展目标。</w:t>
      </w:r>
    </w:p>
    <w:p>
      <w:pPr>
        <w:pStyle w:val="BodyText"/>
        <w:ind w:left="359"/>
        <w:spacing w:before="253" w:line="221" w:lineRule="auto"/>
        <w:rPr/>
      </w:pPr>
      <w:r>
        <w:rPr>
          <w:spacing w:val="5"/>
        </w:rPr>
        <w:t>·5300美元：部分激进预测的2026年高点目标。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6" w:lineRule="auto"/>
        <w:outlineLvl w:val="1"/>
        <w:rPr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6"/>
        </w:rPr>
        <w:t>4.</w:t>
      </w:r>
      <w:r>
        <w:rPr>
          <w:sz w:val="36"/>
          <w:szCs w:val="36"/>
          <w:b/>
          <w:bCs/>
          <w:spacing w:val="6"/>
        </w:rPr>
        <w:t>总结</w:t>
      </w:r>
    </w:p>
    <w:p>
      <w:pPr>
        <w:spacing w:line="226" w:lineRule="auto"/>
        <w:sectPr>
          <w:pgSz w:w="12240" w:h="15840"/>
          <w:pgMar w:top="1293" w:right="1031" w:bottom="0" w:left="989" w:header="0" w:footer="0" w:gutter="0"/>
        </w:sectPr>
        <w:rPr>
          <w:sz w:val="36"/>
          <w:szCs w:val="36"/>
        </w:rPr>
      </w:pPr>
    </w:p>
    <w:p>
      <w:pPr>
        <w:pStyle w:val="BodyText"/>
        <w:ind w:right="95"/>
        <w:spacing w:before="46" w:line="350" w:lineRule="auto"/>
        <w:jc w:val="both"/>
        <w:rPr>
          <w:sz w:val="23"/>
          <w:szCs w:val="23"/>
        </w:rPr>
      </w:pPr>
      <w:r>
        <w:rPr>
          <w:sz w:val="23"/>
          <w:szCs w:val="23"/>
          <w:spacing w:val="11"/>
        </w:rPr>
        <w:t>黄金从2010年至今经历了完整牛熊周期，目前正处于新一轮历史高位运</w:t>
      </w:r>
      <w:r>
        <w:rPr>
          <w:sz w:val="23"/>
          <w:szCs w:val="23"/>
          <w:spacing w:val="10"/>
        </w:rPr>
        <w:t>行阶段。短期波动难免，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0"/>
        </w:rPr>
        <w:t>但受益于央行购金、地缘不确定性和潜在宽松预期，中长期仍具上行空间。投资者需关注美联储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8"/>
        </w:rPr>
        <w:t>政策路径和突发地缘事件。</w:t>
      </w:r>
    </w:p>
    <w:p>
      <w:pPr>
        <w:pStyle w:val="BodyText"/>
        <w:spacing w:before="92" w:line="213" w:lineRule="auto"/>
        <w:rPr>
          <w:sz w:val="23"/>
          <w:szCs w:val="23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6489644</wp:posOffset>
            </wp:positionH>
            <wp:positionV relativeFrom="paragraph">
              <wp:posOffset>377605</wp:posOffset>
            </wp:positionV>
            <wp:extent cx="6372" cy="473066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2" cy="4730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7"/>
        </w:rPr>
        <w:t>未来黄金价格思维导图(文本树状表示，</w:t>
      </w:r>
      <w:r>
        <w:rPr>
          <w:sz w:val="23"/>
          <w:szCs w:val="23"/>
          <w:spacing w:val="90"/>
        </w:rPr>
        <w:t xml:space="preserve"> </w:t>
      </w:r>
      <w:r>
        <w:rPr>
          <w:sz w:val="23"/>
          <w:szCs w:val="23"/>
          <w:spacing w:val="7"/>
        </w:rPr>
        <w:t>一目了然):</w:t>
      </w:r>
    </w:p>
    <w:p>
      <w:pPr>
        <w:spacing w:line="137" w:lineRule="exact"/>
        <w:rPr/>
      </w:pPr>
      <w:r/>
    </w:p>
    <w:tbl>
      <w:tblPr>
        <w:tblStyle w:val="TableNormal"/>
        <w:tblW w:w="10134" w:type="dxa"/>
        <w:tblInd w:w="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34"/>
      </w:tblGrid>
      <w:tr>
        <w:trPr>
          <w:trHeight w:val="660" w:hRule="atLeast"/>
        </w:trPr>
        <w:tc>
          <w:tcPr>
            <w:tcW w:w="10134" w:type="dxa"/>
            <w:vAlign w:val="top"/>
            <w:tcBorders>
              <w:left w:val="single" w:color="000000" w:sz="4" w:space="0"/>
              <w:top w:val="single" w:color="000000" w:sz="2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230"/>
              <w:spacing w:before="67" w:line="192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1"/>
              </w:rPr>
              <w:t>text</w:t>
            </w:r>
          </w:p>
        </w:tc>
      </w:tr>
      <w:tr>
        <w:trPr>
          <w:trHeight w:val="7000" w:hRule="atLeast"/>
        </w:trPr>
        <w:tc>
          <w:tcPr>
            <w:tcW w:w="10134" w:type="dxa"/>
            <w:vAlign w:val="top"/>
            <w:tcBorders>
              <w:left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firstLine="209"/>
              <w:spacing w:before="174" w:line="6771" w:lineRule="exact"/>
              <w:rPr/>
            </w:pPr>
            <w:r>
              <w:rPr>
                <w:position w:val="-135"/>
              </w:rPr>
              <w:pict>
                <v:group id="_x0000_s2" style="mso-position-vertical-relative:line;mso-position-horizontal-relative:char;width:386.05pt;height:338.55pt;" filled="false" stroked="false" coordsize="7720,6770" coordorigin="0,0">
                  <v:shape id="_x0000_s4" style="position:absolute;left:0;top:0;width:7720;height:6770;" filled="false" stroked="false" type="#_x0000_t75">
                    <v:imagedata o:title="" r:id="rId2"/>
                  </v:shape>
                  <v:shape id="_x0000_s6" style="position:absolute;left:220;top:227;width:7102;height:610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690"/>
                            <w:spacing w:before="19" w:line="218" w:lineRule="auto"/>
                            <w:rPr>
                              <w:rFonts w:ascii="SimSun" w:hAnsi="SimSun" w:eastAsia="SimSun" w:cs="SimSun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3"/>
                              <w:szCs w:val="23"/>
                              <w:spacing w:val="-15"/>
                            </w:rPr>
                            <w:t>黄金价格未来展望</w:t>
                          </w:r>
                        </w:p>
                        <w:p>
                          <w:pPr>
                            <w:ind w:left="3450"/>
                            <w:spacing w:before="71" w:line="220" w:lineRule="auto"/>
                            <w:rPr>
                              <w:rFonts w:ascii="SimSun" w:hAnsi="SimSun" w:eastAsia="SimSun" w:cs="SimSun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3"/>
                              <w:szCs w:val="23"/>
                            </w:rPr>
                            <w:t>(当前约4620美元/盎司)</w:t>
                          </w:r>
                        </w:p>
                        <w:p>
                          <w:pPr>
                            <w:spacing w:line="26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079"/>
                            <w:spacing w:before="74" w:line="221" w:lineRule="auto"/>
                            <w:rPr>
                              <w:rFonts w:ascii="SimSun" w:hAnsi="SimSun" w:eastAsia="SimSun" w:cs="SimSun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3"/>
                              <w:szCs w:val="23"/>
                              <w:spacing w:val="-9"/>
                            </w:rPr>
                            <w:t>可能方向</w:t>
                          </w:r>
                          <w:r>
                            <w:rPr>
                              <w:rFonts w:ascii="SimSun" w:hAnsi="SimSun" w:eastAsia="SimSun" w:cs="SimSun"/>
                              <w:sz w:val="23"/>
                              <w:szCs w:val="23"/>
                              <w:spacing w:val="3"/>
                            </w:rPr>
                            <w:t xml:space="preserve">           </w:t>
                          </w:r>
                          <w:r>
                            <w:rPr>
                              <w:rFonts w:ascii="SimSun" w:hAnsi="SimSun" w:eastAsia="SimSun" w:cs="SimSun"/>
                              <w:sz w:val="23"/>
                              <w:szCs w:val="23"/>
                              <w:spacing w:val="-9"/>
                            </w:rPr>
                            <w:t>重要支撑位          重要压力位</w:t>
                          </w:r>
                        </w:p>
                        <w:p>
                          <w:pPr>
                            <w:spacing w:before="25"/>
                            <w:rPr/>
                          </w:pPr>
                          <w:r/>
                        </w:p>
                        <w:p>
                          <w:pPr>
                            <w:spacing w:before="25"/>
                            <w:rPr/>
                          </w:pPr>
                          <w:r/>
                        </w:p>
                        <w:p>
                          <w:pPr>
                            <w:spacing w:before="25"/>
                            <w:rPr/>
                          </w:pPr>
                          <w:r/>
                        </w:p>
                        <w:p>
                          <w:pPr>
                            <w:spacing w:before="24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7062" w:type="dxa"/>
                            <w:tblInd w:w="20" w:type="dxa"/>
                            <w:tblLayout w:type="fixed"/>
                          </w:tblPr>
                          <w:tblGrid>
                            <w:gridCol w:w="1050"/>
                            <w:gridCol w:w="1325"/>
                            <w:gridCol w:w="992"/>
                            <w:gridCol w:w="2019"/>
                            <w:gridCol w:w="1676"/>
                          </w:tblGrid>
                          <w:tr>
                            <w:trPr>
                              <w:trHeight w:val="2450" w:hRule="atLeast"/>
                            </w:trPr>
                            <w:tc>
                              <w:tcPr>
                                <w:tcW w:w="1050" w:type="dxa"/>
                                <w:vAlign w:val="top"/>
                              </w:tcPr>
                              <w:p>
                                <w:pPr>
                                  <w:spacing w:line="257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8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150" w:right="309"/>
                                  <w:spacing w:before="75" w:line="268" w:lineRule="auto"/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  <w:spacing w:val="-6"/>
                                  </w:rPr>
                                  <w:t>上涨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  <w:spacing w:val="-4"/>
                                  </w:rPr>
                                  <w:t>(降息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  <w:spacing w:val="-4"/>
                                  </w:rPr>
                                  <w:t>+地缘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  <w:spacing w:val="5"/>
                                  </w:rPr>
                                  <w:t>风险)</w:t>
                                </w:r>
                              </w:p>
                              <w:p>
                                <w:pPr>
                                  <w:spacing w:before="21" w:line="188" w:lineRule="auto"/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  <w:spacing w:val="-2"/>
                                  </w:rPr>
                                  <w:t>→5000+</w:t>
                                </w:r>
                              </w:p>
                            </w:tc>
                            <w:tc>
                              <w:tcPr>
                                <w:tcW w:w="1325" w:type="dxa"/>
                                <w:vAlign w:val="top"/>
                              </w:tcPr>
                              <w:p>
                                <w:pPr>
                                  <w:spacing w:line="266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67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299"/>
                                  <w:spacing w:before="75" w:line="221" w:lineRule="auto"/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  <w:spacing w:val="-5"/>
                                  </w:rPr>
                                  <w:t>下跌/</w:t>
                                </w:r>
                              </w:p>
                              <w:p>
                                <w:pPr>
                                  <w:ind w:left="299"/>
                                  <w:spacing w:before="46" w:line="221" w:lineRule="auto"/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  <w:spacing w:val="-8"/>
                                  </w:rPr>
                                  <w:t>回调</w:t>
                                </w:r>
                              </w:p>
                              <w:p>
                                <w:pPr>
                                  <w:ind w:left="239" w:right="114" w:firstLine="100"/>
                                  <w:spacing w:before="80" w:line="258" w:lineRule="auto"/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  <w:spacing w:val="-10"/>
                                  </w:rPr>
                                  <w:t>(高利率|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  <w:spacing w:val="12"/>
                                  </w:rPr>
                                  <w:t>+强美元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  <w:spacing w:val="-2"/>
                                  </w:rPr>
                                  <w:t>→4000-</w:t>
                                </w:r>
                              </w:p>
                              <w:p>
                                <w:pPr>
                                  <w:ind w:left="299"/>
                                  <w:spacing w:before="23" w:line="182" w:lineRule="auto"/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  <w:spacing w:val="-1"/>
                                  </w:rPr>
                                  <w:t>4500)</w:t>
                                </w:r>
                              </w:p>
                            </w:tc>
                            <w:tc>
                              <w:tcPr>
                                <w:tcW w:w="992" w:type="dxa"/>
                                <w:vAlign w:val="top"/>
                              </w:tcPr>
                              <w:p>
                                <w:pPr>
                                  <w:spacing w:line="258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9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114" w:right="253" w:firstLine="190"/>
                                  <w:spacing w:before="75" w:line="275" w:lineRule="auto"/>
                                  <w:jc w:val="right"/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  <w:spacing w:val="-13"/>
                                  </w:rPr>
                                  <w:t>区间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  <w:spacing w:val="19"/>
                                    <w:w w:val="123"/>
                                  </w:rPr>
                                  <w:t>波动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23"/>
                                    <w:szCs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  <w:spacing w:val="-1"/>
                                  </w:rPr>
                                  <w:t>4200-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  <w:spacing w:val="-1"/>
                                  </w:rPr>
                                  <w:t>4800)</w:t>
                                </w:r>
                              </w:p>
                            </w:tc>
                            <w:tc>
                              <w:tcPr>
                                <w:tcW w:w="2019" w:type="dxa"/>
                                <w:vAlign w:val="top"/>
                              </w:tcPr>
                              <w:p>
                                <w:pPr>
                                  <w:ind w:left="252"/>
                                  <w:spacing w:line="188" w:lineRule="auto"/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  <w:spacing w:val="-1"/>
                                  </w:rPr>
                                  <w:t>4440-4500</w:t>
                                </w:r>
                              </w:p>
                              <w:p>
                                <w:pPr>
                                  <w:ind w:left="262"/>
                                  <w:spacing w:before="112" w:line="188" w:lineRule="auto"/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  <w:spacing w:val="-1"/>
                                  </w:rPr>
                                  <w:t>4380-4400</w:t>
                                </w:r>
                              </w:p>
                              <w:p>
                                <w:pPr>
                                  <w:ind w:left="343"/>
                                  <w:spacing w:before="122" w:line="188" w:lineRule="auto"/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  <w:spacing w:val="-1"/>
                                  </w:rPr>
                                  <w:t>4000-4200</w:t>
                                </w:r>
                              </w:p>
                            </w:tc>
                            <w:tc>
                              <w:tcPr>
                                <w:tcW w:w="1676" w:type="dxa"/>
                                <w:vAlign w:val="top"/>
                              </w:tcPr>
                              <w:p>
                                <w:pPr>
                                  <w:spacing w:line="188" w:lineRule="auto"/>
                                  <w:jc w:val="right"/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23"/>
                                    <w:szCs w:val="23"/>
                                    <w:spacing w:val="-1"/>
                                  </w:rPr>
                                  <w:t>4670-4700</w:t>
                                </w:r>
                              </w:p>
                              <w:p>
                                <w:pPr>
                                  <w:ind w:left="963"/>
                                  <w:spacing w:before="171" w:line="188" w:lineRule="auto"/>
                                  <w:rPr>
                                    <w:rFonts w:ascii="Times New Roman" w:hAnsi="Times New Roman" w:eastAsia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6"/>
                                    <w:szCs w:val="16"/>
                                    <w:spacing w:val="-2"/>
                                  </w:rPr>
                                  <w:t>5000</w:t>
                                </w:r>
                              </w:p>
                              <w:p>
                                <w:pPr>
                                  <w:ind w:left="1033"/>
                                  <w:spacing w:before="176" w:line="188" w:lineRule="auto"/>
                                  <w:rPr>
                                    <w:rFonts w:ascii="Times New Roman" w:hAnsi="Times New Roman" w:eastAsia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6"/>
                                    <w:szCs w:val="16"/>
                                    <w:spacing w:val="-2"/>
                                  </w:rPr>
                                  <w:t>5300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right="42"/>
        <w:spacing w:before="75" w:line="348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这个思维导图以当前价格为中心，清晰展示三种可能方</w:t>
      </w:r>
      <w:r>
        <w:rPr>
          <w:sz w:val="23"/>
          <w:szCs w:val="23"/>
          <w:spacing w:val="9"/>
        </w:rPr>
        <w:t>向以及关键支撑/压力位，帮助快速判断未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3"/>
        </w:rPr>
        <w:t>来走势。</w:t>
      </w:r>
    </w:p>
    <w:sectPr>
      <w:pgSz w:w="12240" w:h="15840"/>
      <w:pgMar w:top="1221" w:right="1029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2026-03-16T00:00:18</vt:filetime>
  </property>
  <property fmtid="{D5CDD505-2E9C-101B-9397-08002B2CF9AE}" pid="4" name="UsrData">
    <vt:lpwstr>69b6d790259dfc001fa65489wl</vt:lpwstr>
  </property>
</Properties>
</file>