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"/>
        <w:spacing w:before="90" w:line="219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2"/>
        </w:rPr>
        <w:t>2010年至今黄金走势分析与未来展望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1" w:line="22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39"/>
        </w:rPr>
        <w:t>战略研究报告</w:t>
      </w:r>
    </w:p>
    <w:p>
      <w:pPr>
        <w:pStyle w:val="BodyText"/>
        <w:ind w:left="4"/>
        <w:spacing w:before="199" w:line="222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6"/>
        </w:rPr>
        <w:t>摘要</w:t>
      </w:r>
    </w:p>
    <w:p>
      <w:pPr>
        <w:pStyle w:val="BodyText"/>
        <w:ind w:right="185"/>
        <w:spacing w:before="227" w:line="321" w:lineRule="auto"/>
        <w:rPr/>
      </w:pPr>
      <w:r>
        <w:rPr>
          <w:spacing w:val="6"/>
        </w:rPr>
        <w:t>黄金市场自2010年以来经历了多轮结构性周期，2022-2025年录得超级牛市，年化回报率显著</w:t>
      </w:r>
      <w:r>
        <w:rPr>
          <w:spacing w:val="16"/>
        </w:rPr>
        <w:t xml:space="preserve"> </w:t>
      </w:r>
      <w:r>
        <w:rPr>
          <w:spacing w:val="2"/>
        </w:rPr>
        <w:t>高于历史均值。据世界黄金协会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World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rFonts w:ascii="SimSun" w:hAnsi="SimSun" w:eastAsia="SimSun" w:cs="SimSun"/>
        </w:rPr>
        <w:t>Gold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rFonts w:ascii="SimSun" w:hAnsi="SimSun" w:eastAsia="SimSun" w:cs="SimSun"/>
        </w:rPr>
        <w:t>Council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2"/>
        </w:rPr>
        <w:t>于2025年12月发布</w:t>
      </w:r>
      <w:r>
        <w:rPr>
          <w:spacing w:val="1"/>
        </w:rPr>
        <w:t>的《</w:t>
      </w:r>
      <w:r>
        <w:rPr>
          <w:rFonts w:ascii="SimSun" w:hAnsi="SimSun" w:eastAsia="SimSun" w:cs="SimSun"/>
        </w:rPr>
        <w:t>Gold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</w:rPr>
        <w:t>Outlook </w:t>
      </w:r>
      <w:r>
        <w:rPr>
          <w:spacing w:val="12"/>
        </w:rPr>
        <w:t>2026》指出，2025年黄金价格创下53次历史新高，全年回报率达67%,收于约4,368美元/盎</w:t>
      </w:r>
    </w:p>
    <w:p>
      <w:pPr>
        <w:pStyle w:val="BodyText"/>
        <w:spacing w:before="6" w:line="324" w:lineRule="auto"/>
        <w:rPr/>
      </w:pPr>
      <w:r>
        <w:rPr>
          <w:spacing w:val="3"/>
        </w:rPr>
        <w:t>司。本报告基于权威机构数据，解构历史阶段、多维驱动因子，并构建2026</w:t>
      </w:r>
      <w:r>
        <w:rPr>
          <w:spacing w:val="2"/>
        </w:rPr>
        <w:t>年三种情景推演。数</w:t>
      </w:r>
      <w:r>
        <w:rPr/>
        <w:t xml:space="preserve"> </w:t>
      </w:r>
      <w:r>
        <w:rPr>
          <w:spacing w:val="-4"/>
        </w:rPr>
        <w:t>据显示，黄金倾向于在低实际利率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-4"/>
        </w:rPr>
        <w:t>(real interest rates,</w:t>
      </w:r>
      <w:r>
        <w:rPr>
          <w:rFonts w:ascii="SimSun" w:hAnsi="SimSun" w:eastAsia="SimSun" w:cs="SimSun"/>
          <w:spacing w:val="-68"/>
        </w:rPr>
        <w:t xml:space="preserve"> </w:t>
      </w:r>
      <w:r>
        <w:rPr>
          <w:spacing w:val="-4"/>
        </w:rPr>
        <w:t>指名义利率扣除通胀预期后的收益率)</w:t>
      </w:r>
      <w:r>
        <w:rPr/>
        <w:t xml:space="preserve">  </w:t>
      </w:r>
      <w:r>
        <w:rPr>
          <w:spacing w:val="2"/>
        </w:rPr>
        <w:t>和高地缘不确定性环境中发挥避险属性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safe</w:t>
      </w:r>
      <w:r>
        <w:rPr>
          <w:rFonts w:ascii="SimSun" w:hAnsi="SimSun" w:eastAsia="SimSun" w:cs="SimSun"/>
          <w:spacing w:val="2"/>
        </w:rPr>
        <w:t>-</w:t>
      </w:r>
      <w:r>
        <w:rPr>
          <w:rFonts w:ascii="SimSun" w:hAnsi="SimSun" w:eastAsia="SimSun" w:cs="SimSun"/>
        </w:rPr>
        <w:t>haven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</w:rPr>
        <w:t>attribute</w:t>
      </w:r>
      <w:r>
        <w:rPr>
          <w:rFonts w:ascii="SimSun" w:hAnsi="SimSun" w:eastAsia="SimSun" w:cs="SimSun"/>
          <w:spacing w:val="2"/>
        </w:rPr>
        <w:t>,</w:t>
      </w:r>
      <w:r>
        <w:rPr>
          <w:spacing w:val="2"/>
        </w:rPr>
        <w:t>指</w:t>
      </w:r>
      <w:r>
        <w:rPr>
          <w:spacing w:val="1"/>
        </w:rPr>
        <w:t>在风险事件中保值增值的特</w:t>
      </w:r>
      <w:r>
        <w:rPr/>
        <w:t xml:space="preserve">  </w:t>
      </w:r>
      <w:r>
        <w:rPr>
          <w:spacing w:val="6"/>
        </w:rPr>
        <w:t>性)。在一定假设下，2026年价格可能巩固于4,000-5,000美元区间，但需关注美元强势与量化</w:t>
      </w:r>
      <w:r>
        <w:rPr>
          <w:spacing w:val="4"/>
        </w:rPr>
        <w:t xml:space="preserve"> </w:t>
      </w:r>
      <w:r>
        <w:rPr>
          <w:spacing w:val="5"/>
        </w:rPr>
        <w:t>紧缩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spacing w:val="5"/>
        </w:rPr>
        <w:t>(</w:t>
      </w:r>
      <w:r>
        <w:rPr>
          <w:rFonts w:ascii="Arial" w:hAnsi="Arial" w:eastAsia="Arial" w:cs="Arial"/>
        </w:rPr>
        <w:t>quantitative</w:t>
      </w:r>
      <w:r>
        <w:rPr>
          <w:rFonts w:ascii="Arial" w:hAnsi="Arial" w:eastAsia="Arial" w:cs="Arial"/>
          <w:spacing w:val="5"/>
        </w:rPr>
        <w:t xml:space="preserve">     </w:t>
      </w:r>
      <w:r>
        <w:rPr>
          <w:rFonts w:ascii="Arial" w:hAnsi="Arial" w:eastAsia="Arial" w:cs="Arial"/>
        </w:rPr>
        <w:t>tightening</w:t>
      </w:r>
      <w:r>
        <w:rPr>
          <w:rFonts w:ascii="Arial" w:hAnsi="Arial" w:eastAsia="Arial" w:cs="Arial"/>
          <w:spacing w:val="5"/>
        </w:rPr>
        <w:t>,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spacing w:val="5"/>
        </w:rPr>
        <w:t>指央行缩减资产负债表的政策)带来的潜在技术性回撤</w:t>
      </w:r>
    </w:p>
    <w:p>
      <w:pPr>
        <w:pStyle w:val="BodyText"/>
        <w:ind w:left="159"/>
        <w:spacing w:line="217" w:lineRule="auto"/>
        <w:rPr/>
      </w:pPr>
      <w:r>
        <w:rPr>
          <w:rFonts w:ascii="SimSun" w:hAnsi="SimSun" w:eastAsia="SimSun" w:cs="SimSun"/>
          <w:spacing w:val="-3"/>
        </w:rPr>
        <w:t>(technical pullback,</w:t>
      </w:r>
      <w:r>
        <w:rPr>
          <w:spacing w:val="-3"/>
        </w:rPr>
        <w:t>指非基本面驱动的短期价格回调)。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2" w:line="223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9"/>
        </w:rPr>
        <w:t>一、引言</w:t>
      </w:r>
    </w:p>
    <w:p>
      <w:pPr>
        <w:pStyle w:val="BodyText"/>
        <w:ind w:right="100"/>
        <w:spacing w:before="212" w:line="322" w:lineRule="auto"/>
        <w:jc w:val="both"/>
        <w:rPr/>
      </w:pPr>
      <w:r>
        <w:rPr>
          <w:spacing w:val="-1"/>
        </w:rPr>
        <w:t>黄金作为无息资产，其定价逻辑核心在于机会成本与避险需求平衡。据国际货币基金</w:t>
      </w:r>
      <w:r>
        <w:rPr>
          <w:spacing w:val="-2"/>
        </w:rPr>
        <w:t>组织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(IMF)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《</w:t>
      </w:r>
      <w:r>
        <w:rPr>
          <w:rFonts w:ascii="SimSun" w:hAnsi="SimSun" w:eastAsia="SimSun" w:cs="SimSun"/>
        </w:rPr>
        <w:t>World</w:t>
      </w:r>
      <w:r>
        <w:rPr>
          <w:rFonts w:ascii="SimSun" w:hAnsi="SimSun" w:eastAsia="SimSun" w:cs="SimSun"/>
          <w:spacing w:val="47"/>
        </w:rPr>
        <w:t xml:space="preserve">  </w:t>
      </w:r>
      <w:r>
        <w:rPr>
          <w:rFonts w:ascii="SimSun" w:hAnsi="SimSun" w:eastAsia="SimSun" w:cs="SimSun"/>
        </w:rPr>
        <w:t>Economic</w:t>
      </w:r>
      <w:r>
        <w:rPr>
          <w:rFonts w:ascii="SimSun" w:hAnsi="SimSun" w:eastAsia="SimSun" w:cs="SimSun"/>
          <w:spacing w:val="46"/>
        </w:rPr>
        <w:t xml:space="preserve">  </w:t>
      </w:r>
      <w:r>
        <w:rPr>
          <w:rFonts w:ascii="SimSun" w:hAnsi="SimSun" w:eastAsia="SimSun" w:cs="SimSun"/>
        </w:rPr>
        <w:t>Outlook</w:t>
      </w:r>
      <w:r>
        <w:rPr>
          <w:rFonts w:ascii="SimSun" w:hAnsi="SimSun" w:eastAsia="SimSun" w:cs="SimSun"/>
          <w:spacing w:val="4"/>
        </w:rPr>
        <w:t>》2025</w:t>
      </w:r>
      <w:r>
        <w:rPr>
          <w:spacing w:val="4"/>
        </w:rPr>
        <w:t>年10月)分析，商品价格波动深受全球增长、通胀</w:t>
      </w:r>
      <w:r>
        <w:rPr>
          <w:spacing w:val="3"/>
        </w:rPr>
        <w:t>预期与</w:t>
      </w:r>
      <w:r>
        <w:rPr/>
        <w:t xml:space="preserve"> </w:t>
      </w:r>
      <w:r>
        <w:rPr>
          <w:spacing w:val="5"/>
        </w:rPr>
        <w:t>货币政策影响。2010年以来，黄金价格从约1,200美元/盎司涨至2026年初的约4,600美元/盎司</w:t>
      </w:r>
      <w:r>
        <w:rPr>
          <w:spacing w:val="8"/>
        </w:rPr>
        <w:t xml:space="preserve"> </w:t>
      </w:r>
      <w:r>
        <w:rPr>
          <w:spacing w:val="3"/>
        </w:rPr>
        <w:t>区间，复合年化回报率约9%。本报告旨在通过历史复盘与前瞻建模，为投资者提供审慎参考。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1" w:line="222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14"/>
        </w:rPr>
        <w:t>二、文献综述与理论框架</w:t>
      </w:r>
    </w:p>
    <w:p>
      <w:pPr>
        <w:pStyle w:val="BodyText"/>
        <w:spacing w:before="241" w:line="311" w:lineRule="auto"/>
        <w:rPr/>
      </w:pPr>
      <w:r>
        <w:rPr>
          <w:spacing w:val="3"/>
        </w:rPr>
        <w:t>黄金定价理论主要包括机会成本模型(低实际利率利好黄金)、货币</w:t>
      </w:r>
      <w:r>
        <w:rPr>
          <w:spacing w:val="2"/>
        </w:rPr>
        <w:t>超发对冲模型以及避险需求模</w:t>
      </w:r>
      <w:r>
        <w:rPr/>
        <w:t xml:space="preserve"> </w:t>
      </w:r>
      <w:r>
        <w:rPr>
          <w:spacing w:val="4"/>
        </w:rPr>
        <w:t>型。据美联储研究及世界黄金协会多项报告，实际利率与美元指数通常解释黄金价格波动的60%</w:t>
      </w:r>
      <w:r>
        <w:rPr>
          <w:spacing w:val="5"/>
        </w:rPr>
        <w:t xml:space="preserve"> </w:t>
      </w:r>
      <w:r>
        <w:rPr>
          <w:spacing w:val="3"/>
        </w:rPr>
        <w:t>以上变异性。期限溢价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</w:rPr>
        <w:t>term</w:t>
      </w:r>
      <w:r>
        <w:rPr>
          <w:rFonts w:ascii="SimSun" w:hAnsi="SimSun" w:eastAsia="SimSun" w:cs="SimSun"/>
          <w:spacing w:val="3"/>
        </w:rPr>
        <w:t xml:space="preserve">   </w:t>
      </w:r>
      <w:r>
        <w:rPr>
          <w:rFonts w:ascii="SimSun" w:hAnsi="SimSun" w:eastAsia="SimSun" w:cs="SimSun"/>
        </w:rPr>
        <w:t>premium</w:t>
      </w:r>
      <w:r>
        <w:rPr>
          <w:rFonts w:ascii="SimSun" w:hAnsi="SimSun" w:eastAsia="SimSun" w:cs="SimSun"/>
          <w:spacing w:val="3"/>
        </w:rPr>
        <w:t>,</w:t>
      </w:r>
      <w:r>
        <w:rPr>
          <w:spacing w:val="3"/>
        </w:rPr>
        <w:t>指长期债券收益率超出预期短期利率的部分)下降往往</w:t>
      </w:r>
      <w:r>
        <w:rPr>
          <w:spacing w:val="3"/>
        </w:rPr>
        <w:t xml:space="preserve"> </w:t>
      </w:r>
      <w:r>
        <w:rPr/>
        <w:t>伴随黄金上涨。理论框架强调多因子交互：在量化宽松周期，黄金倾向</w:t>
      </w:r>
      <w:r>
        <w:rPr>
          <w:spacing w:val="-1"/>
        </w:rPr>
        <w:t>于表现为通胀对冲资产；</w:t>
      </w:r>
    </w:p>
    <w:p>
      <w:pPr>
        <w:pStyle w:val="BodyText"/>
        <w:spacing w:before="10" w:line="213" w:lineRule="auto"/>
        <w:rPr/>
      </w:pPr>
      <w:r>
        <w:rPr>
          <w:spacing w:val="-3"/>
        </w:rPr>
        <w:t>在紧缩周期，则更多体现避险属性。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2" w:line="222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14"/>
        </w:rPr>
        <w:t>三、历史行情阶段解构</w:t>
      </w:r>
    </w:p>
    <w:p>
      <w:pPr>
        <w:pStyle w:val="BodyText"/>
        <w:ind w:right="1015"/>
        <w:spacing w:before="239" w:line="309" w:lineRule="auto"/>
        <w:rPr/>
      </w:pPr>
      <w:r>
        <w:rPr>
          <w:spacing w:val="2"/>
        </w:rPr>
        <w:t>自2010年起，黄金市场可划分为五个主要阶段。以下表格基</w:t>
      </w:r>
      <w:r>
        <w:rPr>
          <w:spacing w:val="1"/>
        </w:rPr>
        <w:t>于世界黄金协会历史数据及</w:t>
      </w:r>
      <w:r>
        <w:rPr/>
        <w:t xml:space="preserve"> </w:t>
      </w:r>
      <w:r>
        <w:rPr>
          <w:rFonts w:ascii="SimSun" w:hAnsi="SimSun" w:eastAsia="SimSun" w:cs="SimSun"/>
        </w:rPr>
        <w:t>Macrotrends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spacing w:val="15"/>
        </w:rPr>
        <w:t>黄金价格数据库(更新至2025年)编制：</w:t>
      </w:r>
    </w:p>
    <w:p>
      <w:pPr>
        <w:spacing w:line="309" w:lineRule="auto"/>
        <w:sectPr>
          <w:pgSz w:w="12240" w:h="15840"/>
          <w:pgMar w:top="1141" w:right="1055" w:bottom="0" w:left="980" w:header="0" w:footer="0" w:gutter="0"/>
        </w:sectPr>
        <w:rPr/>
      </w:pPr>
    </w:p>
    <w:tbl>
      <w:tblPr>
        <w:tblStyle w:val="TableNormal"/>
        <w:tblW w:w="100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1"/>
        <w:gridCol w:w="1027"/>
        <w:gridCol w:w="1693"/>
        <w:gridCol w:w="1045"/>
        <w:gridCol w:w="3382"/>
        <w:gridCol w:w="2141"/>
      </w:tblGrid>
      <w:tr>
        <w:trPr>
          <w:trHeight w:val="779" w:hRule="atLeast"/>
        </w:trPr>
        <w:tc>
          <w:tcPr>
            <w:tcW w:w="801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72" w:line="222" w:lineRule="auto"/>
              <w:rPr/>
            </w:pPr>
            <w:r>
              <w:rPr>
                <w:b/>
                <w:bCs/>
                <w:spacing w:val="-7"/>
              </w:rPr>
              <w:t>阶段</w:t>
            </w:r>
          </w:p>
        </w:tc>
        <w:tc>
          <w:tcPr>
            <w:tcW w:w="1027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72" w:line="222" w:lineRule="auto"/>
              <w:rPr/>
            </w:pPr>
            <w:r>
              <w:rPr>
                <w:b/>
                <w:bCs/>
                <w:spacing w:val="-6"/>
              </w:rPr>
              <w:t>时间段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235" w:right="212"/>
              <w:spacing w:before="1" w:line="315" w:lineRule="auto"/>
              <w:rPr/>
            </w:pPr>
            <w:r>
              <w:rPr>
                <w:b/>
                <w:bCs/>
                <w:spacing w:val="3"/>
              </w:rPr>
              <w:t>价格区间(美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5"/>
              </w:rPr>
              <w:t>元/盎司)</w:t>
            </w:r>
          </w:p>
        </w:tc>
        <w:tc>
          <w:tcPr>
            <w:tcW w:w="4427" w:type="dxa"/>
            <w:vAlign w:val="top"/>
            <w:gridSpan w:val="2"/>
          </w:tcPr>
          <w:p>
            <w:pPr>
              <w:pStyle w:val="TableText"/>
              <w:ind w:left="132"/>
              <w:spacing w:before="2" w:line="223" w:lineRule="auto"/>
              <w:rPr/>
            </w:pPr>
            <w:r>
              <w:rPr>
                <w:b/>
                <w:bCs/>
                <w:spacing w:val="-10"/>
              </w:rPr>
              <w:t>年化回报率</w:t>
            </w:r>
          </w:p>
          <w:p>
            <w:pPr>
              <w:pStyle w:val="TableText"/>
              <w:ind w:left="242"/>
              <w:spacing w:before="102" w:line="223" w:lineRule="auto"/>
              <w:rPr/>
            </w:pPr>
            <w:r>
              <w:rPr>
                <w:b/>
                <w:bCs/>
                <w:spacing w:val="-3"/>
              </w:rPr>
              <w:t>(约)</w:t>
            </w:r>
            <w:r>
              <w:rPr>
                <w:spacing w:val="-3"/>
              </w:rPr>
              <w:t xml:space="preserve">       </w:t>
            </w:r>
            <w:r>
              <w:rPr>
                <w:b/>
                <w:bCs/>
                <w:spacing w:val="-3"/>
              </w:rPr>
              <w:t>核心驱动力</w:t>
            </w:r>
          </w:p>
        </w:tc>
        <w:tc>
          <w:tcPr>
            <w:tcW w:w="2141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72" w:line="222" w:lineRule="auto"/>
              <w:rPr/>
            </w:pPr>
            <w:r>
              <w:rPr>
                <w:b/>
                <w:bCs/>
                <w:spacing w:val="-10"/>
              </w:rPr>
              <w:t>代表性事件</w:t>
            </w:r>
          </w:p>
        </w:tc>
      </w:tr>
      <w:tr>
        <w:trPr>
          <w:trHeight w:val="489" w:hRule="atLeast"/>
        </w:trPr>
        <w:tc>
          <w:tcPr>
            <w:tcW w:w="801" w:type="dxa"/>
            <w:vAlign w:val="top"/>
          </w:tcPr>
          <w:p>
            <w:pPr>
              <w:pStyle w:val="TableText"/>
              <w:spacing w:before="185" w:line="222" w:lineRule="auto"/>
              <w:rPr/>
            </w:pPr>
            <w:r>
              <w:rPr>
                <w:spacing w:val="-4"/>
              </w:rPr>
              <w:t>牛市加</w:t>
            </w:r>
          </w:p>
        </w:tc>
        <w:tc>
          <w:tcPr>
            <w:tcW w:w="1027" w:type="dxa"/>
            <w:vAlign w:val="top"/>
          </w:tcPr>
          <w:p>
            <w:pPr>
              <w:ind w:left="148"/>
              <w:spacing w:before="23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2010-</w:t>
            </w:r>
          </w:p>
        </w:tc>
        <w:tc>
          <w:tcPr>
            <w:tcW w:w="1693" w:type="dxa"/>
            <w:vAlign w:val="top"/>
          </w:tcPr>
          <w:p>
            <w:pPr>
              <w:ind w:left="231"/>
              <w:spacing w:before="229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1,200→</w:t>
            </w:r>
          </w:p>
        </w:tc>
        <w:tc>
          <w:tcPr>
            <w:tcW w:w="4427" w:type="dxa"/>
            <w:vAlign w:val="top"/>
            <w:gridSpan w:val="2"/>
          </w:tcPr>
          <w:p>
            <w:pPr>
              <w:pStyle w:val="TableText"/>
              <w:ind w:left="128"/>
              <w:spacing w:before="182" w:line="219" w:lineRule="auto"/>
              <w:rPr/>
            </w:pPr>
            <w:r>
              <w:rPr>
                <w:rFonts w:ascii="SimSun" w:hAnsi="SimSun" w:eastAsia="SimSun" w:cs="SimSun"/>
                <w:sz w:val="25"/>
                <w:szCs w:val="25"/>
                <w:spacing w:val="-5"/>
              </w:rPr>
              <w:t>+35%       </w:t>
            </w:r>
            <w:r>
              <w:rPr>
                <w:spacing w:val="-5"/>
              </w:rPr>
              <w:t>美联储</w:t>
            </w:r>
            <w:r>
              <w:rPr>
                <w:rFonts w:ascii="SimSun" w:hAnsi="SimSun" w:eastAsia="SimSun" w:cs="SimSun"/>
                <w:spacing w:val="-5"/>
              </w:rPr>
              <w:t>QE1-2、</w:t>
            </w:r>
            <w:r>
              <w:rPr>
                <w:rFonts w:ascii="SimSun" w:hAnsi="SimSun" w:eastAsia="SimSun" w:cs="SimSun"/>
                <w:spacing w:val="-60"/>
              </w:rPr>
              <w:t xml:space="preserve"> </w:t>
            </w:r>
            <w:r>
              <w:rPr>
                <w:spacing w:val="-5"/>
              </w:rPr>
              <w:t>欧债危机、通</w:t>
            </w:r>
          </w:p>
        </w:tc>
        <w:tc>
          <w:tcPr>
            <w:tcW w:w="2141" w:type="dxa"/>
            <w:vAlign w:val="top"/>
          </w:tcPr>
          <w:p>
            <w:pPr>
              <w:pStyle w:val="TableText"/>
              <w:ind w:left="161"/>
              <w:spacing w:before="194" w:line="221" w:lineRule="auto"/>
              <w:rPr/>
            </w:pPr>
            <w:r>
              <w:rPr>
                <w:spacing w:val="-10"/>
              </w:rPr>
              <w:t>全球金融危机后遗症</w:t>
            </w:r>
          </w:p>
        </w:tc>
      </w:tr>
      <w:tr>
        <w:trPr>
          <w:trHeight w:val="378" w:hRule="atLeast"/>
        </w:trPr>
        <w:tc>
          <w:tcPr>
            <w:tcW w:w="8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56" w:line="222" w:lineRule="auto"/>
              <w:rPr/>
            </w:pPr>
            <w:r>
              <w:rPr>
                <w:spacing w:val="-2"/>
              </w:rPr>
              <w:t>速阶段</w:t>
            </w:r>
          </w:p>
        </w:tc>
        <w:tc>
          <w:tcPr>
            <w:tcW w:w="1027" w:type="dxa"/>
            <w:vAlign w:val="top"/>
            <w:tcBorders>
              <w:bottom w:val="single" w:color="000000" w:sz="2" w:space="0"/>
            </w:tcBorders>
          </w:tcPr>
          <w:p>
            <w:pPr>
              <w:ind w:left="148"/>
              <w:spacing w:before="156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2011</w:t>
            </w:r>
          </w:p>
        </w:tc>
        <w:tc>
          <w:tcPr>
            <w:tcW w:w="1693" w:type="dxa"/>
            <w:vAlign w:val="top"/>
            <w:tcBorders>
              <w:bottom w:val="single" w:color="000000" w:sz="2" w:space="0"/>
            </w:tcBorders>
          </w:tcPr>
          <w:p>
            <w:pPr>
              <w:ind w:left="231"/>
              <w:spacing w:before="100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1,900</w:t>
            </w:r>
          </w:p>
        </w:tc>
        <w:tc>
          <w:tcPr>
            <w:tcW w:w="4427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1469"/>
              <w:spacing w:before="65" w:line="222" w:lineRule="auto"/>
              <w:rPr/>
            </w:pPr>
            <w:r>
              <w:rPr>
                <w:spacing w:val="-7"/>
              </w:rPr>
              <w:t>胀预期上升</w:t>
            </w:r>
          </w:p>
        </w:tc>
        <w:tc>
          <w:tcPr>
            <w:tcW w:w="2141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70" w:hRule="atLeast"/>
        </w:trPr>
        <w:tc>
          <w:tcPr>
            <w:tcW w:w="80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right="147"/>
              <w:spacing w:before="292" w:line="280" w:lineRule="auto"/>
              <w:rPr/>
            </w:pPr>
            <w:r>
              <w:rPr>
                <w:spacing w:val="-16"/>
              </w:rPr>
              <w:t>熊市调</w:t>
            </w:r>
            <w:r>
              <w:rPr/>
              <w:t xml:space="preserve"> </w:t>
            </w:r>
            <w:r>
              <w:rPr>
                <w:spacing w:val="-3"/>
              </w:rPr>
              <w:t>整阶段</w:t>
            </w:r>
          </w:p>
        </w:tc>
        <w:tc>
          <w:tcPr>
            <w:tcW w:w="1027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148"/>
              <w:spacing w:before="64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2012-</w:t>
            </w:r>
          </w:p>
          <w:p>
            <w:pPr>
              <w:ind w:left="148"/>
              <w:spacing w:before="203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2015</w:t>
            </w:r>
          </w:p>
        </w:tc>
        <w:tc>
          <w:tcPr>
            <w:tcW w:w="1693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231" w:right="701"/>
              <w:spacing w:before="291" w:line="297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9"/>
              </w:rPr>
              <w:t>1,900→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1,050</w:t>
            </w:r>
          </w:p>
        </w:tc>
        <w:tc>
          <w:tcPr>
            <w:tcW w:w="104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128"/>
              <w:spacing w:before="269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2"/>
              </w:rPr>
              <w:t>-20%</w:t>
            </w:r>
          </w:p>
        </w:tc>
        <w:tc>
          <w:tcPr>
            <w:tcW w:w="338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424" w:right="233"/>
              <w:spacing w:before="287" w:line="282" w:lineRule="auto"/>
              <w:rPr/>
            </w:pPr>
            <w:r>
              <w:rPr>
                <w:rFonts w:ascii="Times New Roman" w:hAnsi="Times New Roman" w:eastAsia="Times New Roman" w:cs="Times New Roman"/>
                <w:spacing w:val="-6"/>
              </w:rPr>
              <w:t>Fed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tapering</w:t>
            </w:r>
            <w:r>
              <w:rPr>
                <w:rFonts w:ascii="SimSun" w:hAnsi="SimSun" w:eastAsia="SimSun" w:cs="SimSun"/>
                <w:spacing w:val="-6"/>
              </w:rPr>
              <w:t>、</w:t>
            </w:r>
            <w:r>
              <w:rPr>
                <w:spacing w:val="-6"/>
              </w:rPr>
              <w:t>美元强势、实</w:t>
            </w:r>
            <w:r>
              <w:rPr/>
              <w:t xml:space="preserve"> </w:t>
            </w:r>
            <w:r>
              <w:rPr>
                <w:spacing w:val="-7"/>
              </w:rPr>
              <w:t>际利率回升</w:t>
            </w:r>
          </w:p>
        </w:tc>
        <w:tc>
          <w:tcPr>
            <w:tcW w:w="2141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71" w:right="84" w:hanging="110"/>
              <w:spacing w:before="292" w:line="280" w:lineRule="auto"/>
              <w:rPr/>
            </w:pPr>
            <w:r>
              <w:rPr>
                <w:spacing w:val="-21"/>
              </w:rPr>
              <w:t>“缩减恐慌”与加息周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期启动</w:t>
            </w:r>
          </w:p>
        </w:tc>
      </w:tr>
      <w:tr>
        <w:trPr>
          <w:trHeight w:val="589" w:hRule="atLeast"/>
        </w:trPr>
        <w:tc>
          <w:tcPr>
            <w:tcW w:w="80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before="281" w:line="221" w:lineRule="auto"/>
              <w:rPr/>
            </w:pPr>
            <w:r>
              <w:rPr>
                <w:spacing w:val="-4"/>
              </w:rPr>
              <w:t>震荡蓄</w:t>
            </w:r>
          </w:p>
        </w:tc>
        <w:tc>
          <w:tcPr>
            <w:tcW w:w="1027" w:type="dxa"/>
            <w:vAlign w:val="top"/>
            <w:tcBorders>
              <w:top w:val="single" w:color="00000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148"/>
              <w:spacing w:before="64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2016-</w:t>
            </w:r>
          </w:p>
        </w:tc>
        <w:tc>
          <w:tcPr>
            <w:tcW w:w="1693" w:type="dxa"/>
            <w:vAlign w:val="top"/>
            <w:tcBorders>
              <w:top w:val="single" w:color="00000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31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1,050→</w:t>
            </w:r>
          </w:p>
        </w:tc>
        <w:tc>
          <w:tcPr>
            <w:tcW w:w="1045" w:type="dxa"/>
            <w:vAlign w:val="top"/>
            <w:tcBorders>
              <w:top w:val="single" w:color="000000" w:sz="4" w:space="0"/>
            </w:tcBorders>
          </w:tcPr>
          <w:p>
            <w:pPr>
              <w:ind w:left="128"/>
              <w:spacing w:before="285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+8%</w:t>
            </w:r>
          </w:p>
        </w:tc>
        <w:tc>
          <w:tcPr>
            <w:tcW w:w="338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4"/>
              <w:spacing w:before="301" w:line="220" w:lineRule="auto"/>
              <w:rPr/>
            </w:pPr>
            <w:r>
              <w:rPr>
                <w:spacing w:val="-11"/>
              </w:rPr>
              <w:t>贸易战初期、地缘紧张、央行</w:t>
            </w:r>
          </w:p>
        </w:tc>
        <w:tc>
          <w:tcPr>
            <w:tcW w:w="214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1"/>
              <w:spacing w:before="301" w:line="221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Brexit</w:t>
            </w:r>
            <w:r>
              <w:rPr>
                <w:spacing w:val="-3"/>
              </w:rPr>
              <w:t>与中美贸易摩</w:t>
            </w:r>
          </w:p>
        </w:tc>
      </w:tr>
      <w:tr>
        <w:trPr>
          <w:trHeight w:val="370" w:hRule="atLeast"/>
        </w:trPr>
        <w:tc>
          <w:tcPr>
            <w:tcW w:w="8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65" w:line="222" w:lineRule="auto"/>
              <w:rPr/>
            </w:pPr>
            <w:r>
              <w:rPr>
                <w:spacing w:val="-2"/>
              </w:rPr>
              <w:t>势阶段</w:t>
            </w:r>
          </w:p>
        </w:tc>
        <w:tc>
          <w:tcPr>
            <w:tcW w:w="1027" w:type="dxa"/>
            <w:vAlign w:val="top"/>
            <w:tcBorders>
              <w:bottom w:val="single" w:color="000000" w:sz="2" w:space="0"/>
            </w:tcBorders>
          </w:tcPr>
          <w:p>
            <w:pPr>
              <w:ind w:left="148"/>
              <w:spacing w:before="144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2019</w:t>
            </w:r>
          </w:p>
        </w:tc>
        <w:tc>
          <w:tcPr>
            <w:tcW w:w="1693" w:type="dxa"/>
            <w:vAlign w:val="top"/>
            <w:tcBorders>
              <w:bottom w:val="single" w:color="000000" w:sz="2" w:space="0"/>
            </w:tcBorders>
          </w:tcPr>
          <w:p>
            <w:pPr>
              <w:ind w:left="231"/>
              <w:spacing w:before="68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1,500</w:t>
            </w:r>
          </w:p>
        </w:tc>
        <w:tc>
          <w:tcPr>
            <w:tcW w:w="1045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24"/>
              <w:spacing w:before="65" w:line="222" w:lineRule="auto"/>
              <w:rPr/>
            </w:pPr>
            <w:r>
              <w:rPr>
                <w:spacing w:val="-6"/>
              </w:rPr>
              <w:t>初步增持</w:t>
            </w:r>
          </w:p>
        </w:tc>
        <w:tc>
          <w:tcPr>
            <w:tcW w:w="214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1"/>
              <w:spacing w:before="65" w:line="223" w:lineRule="auto"/>
              <w:rPr/>
            </w:pPr>
            <w:r>
              <w:rPr/>
              <w:t>擦</w:t>
            </w:r>
          </w:p>
        </w:tc>
      </w:tr>
      <w:tr>
        <w:trPr>
          <w:trHeight w:val="579" w:hRule="atLeast"/>
        </w:trPr>
        <w:tc>
          <w:tcPr>
            <w:tcW w:w="8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298" w:line="222" w:lineRule="auto"/>
              <w:rPr/>
            </w:pPr>
            <w:r>
              <w:rPr>
                <w:spacing w:val="-2"/>
              </w:rPr>
              <w:t>疫情牛</w:t>
            </w:r>
          </w:p>
        </w:tc>
        <w:tc>
          <w:tcPr>
            <w:tcW w:w="1027" w:type="dxa"/>
            <w:vAlign w:val="top"/>
            <w:tcBorders>
              <w:top w:val="single" w:color="000000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148"/>
              <w:spacing w:before="72" w:line="188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2"/>
              </w:rPr>
              <w:t>2020-</w:t>
            </w:r>
          </w:p>
        </w:tc>
        <w:tc>
          <w:tcPr>
            <w:tcW w:w="1693" w:type="dxa"/>
            <w:vAlign w:val="top"/>
            <w:tcBorders>
              <w:top w:val="single" w:color="000000" w:sz="2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231"/>
              <w:spacing w:before="64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1,500→</w:t>
            </w:r>
          </w:p>
        </w:tc>
        <w:tc>
          <w:tcPr>
            <w:tcW w:w="1045" w:type="dxa"/>
            <w:vAlign w:val="top"/>
            <w:tcBorders>
              <w:top w:val="single" w:color="000000" w:sz="2" w:space="0"/>
            </w:tcBorders>
          </w:tcPr>
          <w:p>
            <w:pPr>
              <w:ind w:left="128"/>
              <w:spacing w:before="302" w:line="22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+25%</w:t>
            </w:r>
          </w:p>
        </w:tc>
        <w:tc>
          <w:tcPr>
            <w:tcW w:w="33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24"/>
              <w:spacing w:before="297" w:line="221" w:lineRule="auto"/>
              <w:rPr/>
            </w:pPr>
            <w:r>
              <w:rPr>
                <w:spacing w:val="-9"/>
              </w:rPr>
              <w:t>超大规模</w:t>
            </w:r>
            <w:r>
              <w:rPr>
                <w:rFonts w:ascii="SimSun" w:hAnsi="SimSun" w:eastAsia="SimSun" w:cs="SimSun"/>
                <w:spacing w:val="-9"/>
              </w:rPr>
              <w:t>QE、</w:t>
            </w:r>
            <w:r>
              <w:rPr>
                <w:rFonts w:ascii="SimSun" w:hAnsi="SimSun" w:eastAsia="SimSun" w:cs="SimSun"/>
                <w:spacing w:val="-41"/>
              </w:rPr>
              <w:t xml:space="preserve"> </w:t>
            </w:r>
            <w:r>
              <w:rPr>
                <w:spacing w:val="-9"/>
              </w:rPr>
              <w:t>零利率、全球刺</w:t>
            </w:r>
          </w:p>
        </w:tc>
        <w:tc>
          <w:tcPr>
            <w:tcW w:w="21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1"/>
              <w:spacing w:before="298" w:line="222" w:lineRule="auto"/>
              <w:rPr/>
            </w:pPr>
            <w:r>
              <w:rPr>
                <w:rFonts w:ascii="SimSun" w:hAnsi="SimSun" w:eastAsia="SimSun" w:cs="SimSun"/>
                <w:spacing w:val="-5"/>
              </w:rPr>
              <w:t>COVID-19</w:t>
            </w:r>
            <w:r>
              <w:rPr>
                <w:rFonts w:ascii="SimSun" w:hAnsi="SimSun" w:eastAsia="SimSun" w:cs="SimSun"/>
                <w:spacing w:val="31"/>
              </w:rPr>
              <w:t xml:space="preserve"> </w:t>
            </w:r>
            <w:r>
              <w:rPr>
                <w:spacing w:val="-5"/>
              </w:rPr>
              <w:t>疫情与财</w:t>
            </w:r>
          </w:p>
        </w:tc>
      </w:tr>
      <w:tr>
        <w:trPr>
          <w:trHeight w:val="391" w:hRule="atLeast"/>
        </w:trPr>
        <w:tc>
          <w:tcPr>
            <w:tcW w:w="8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81" w:line="222" w:lineRule="auto"/>
              <w:rPr/>
            </w:pPr>
            <w:r>
              <w:rPr>
                <w:spacing w:val="-3"/>
              </w:rPr>
              <w:t>市阶段</w:t>
            </w:r>
          </w:p>
        </w:tc>
        <w:tc>
          <w:tcPr>
            <w:tcW w:w="1027" w:type="dxa"/>
            <w:vAlign w:val="top"/>
            <w:tcBorders>
              <w:bottom w:val="single" w:color="000000" w:sz="2" w:space="0"/>
            </w:tcBorders>
          </w:tcPr>
          <w:p>
            <w:pPr>
              <w:ind w:left="148"/>
              <w:spacing w:before="160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2021</w:t>
            </w:r>
          </w:p>
        </w:tc>
        <w:tc>
          <w:tcPr>
            <w:tcW w:w="1693" w:type="dxa"/>
            <w:vAlign w:val="top"/>
            <w:tcBorders>
              <w:bottom w:val="single" w:color="000000" w:sz="2" w:space="0"/>
            </w:tcBorders>
          </w:tcPr>
          <w:p>
            <w:pPr>
              <w:ind w:left="231"/>
              <w:spacing w:before="59" w:line="188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1"/>
              </w:rPr>
              <w:t>2,070</w:t>
            </w:r>
          </w:p>
        </w:tc>
        <w:tc>
          <w:tcPr>
            <w:tcW w:w="1045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24"/>
              <w:spacing w:before="71" w:line="222" w:lineRule="auto"/>
              <w:rPr/>
            </w:pPr>
            <w:r>
              <w:rPr/>
              <w:t>激</w:t>
            </w:r>
          </w:p>
        </w:tc>
        <w:tc>
          <w:tcPr>
            <w:tcW w:w="214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1"/>
              <w:spacing w:before="81" w:line="222" w:lineRule="auto"/>
              <w:rPr/>
            </w:pPr>
            <w:r>
              <w:rPr>
                <w:spacing w:val="-2"/>
              </w:rPr>
              <w:t>政扩张</w:t>
            </w:r>
          </w:p>
        </w:tc>
      </w:tr>
      <w:tr>
        <w:trPr>
          <w:trHeight w:val="868" w:hRule="atLeast"/>
        </w:trPr>
        <w:tc>
          <w:tcPr>
            <w:tcW w:w="1828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right="300"/>
              <w:spacing w:before="284" w:line="236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超级牛</w:t>
            </w:r>
            <w:r>
              <w:rPr>
                <w:spacing w:val="3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2"/>
              </w:rPr>
              <w:t>2022-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1"/>
              </w:rPr>
              <w:t xml:space="preserve"> </w:t>
            </w:r>
            <w:r>
              <w:rPr>
                <w:spacing w:val="-3"/>
              </w:rPr>
              <w:t>市阶段</w:t>
            </w:r>
            <w:r>
              <w:rPr>
                <w:spacing w:val="30"/>
              </w:rPr>
              <w:t xml:space="preserve">  </w:t>
            </w:r>
            <w:r>
              <w:rPr>
                <w:rFonts w:ascii="SimSun" w:hAnsi="SimSun" w:eastAsia="SimSun" w:cs="SimSun"/>
                <w:spacing w:val="-3"/>
              </w:rPr>
              <w:t>2025</w:t>
            </w:r>
          </w:p>
        </w:tc>
        <w:tc>
          <w:tcPr>
            <w:tcW w:w="1693" w:type="dxa"/>
            <w:vAlign w:val="top"/>
            <w:tcBorders>
              <w:top w:val="single" w:color="000000" w:sz="2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31"/>
              <w:spacing w:before="64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1,800→</w:t>
            </w:r>
          </w:p>
          <w:p>
            <w:pPr>
              <w:pStyle w:val="TableText"/>
              <w:ind w:left="231"/>
              <w:spacing w:before="129" w:line="178" w:lineRule="auto"/>
              <w:rPr/>
            </w:pPr>
            <w:r>
              <w:rPr>
                <w:spacing w:val="13"/>
              </w:rPr>
              <w:t>4,368(年末)</w:t>
            </w:r>
          </w:p>
        </w:tc>
        <w:tc>
          <w:tcPr>
            <w:tcW w:w="1045" w:type="dxa"/>
            <w:vAlign w:val="top"/>
            <w:tcBorders>
              <w:top w:val="single" w:color="000000" w:sz="2" w:space="0"/>
            </w:tcBorders>
          </w:tcPr>
          <w:p>
            <w:pPr>
              <w:ind w:left="128"/>
              <w:spacing w:before="260"/>
              <w:rPr>
                <w:rFonts w:ascii="SimSun" w:hAnsi="SimSun" w:eastAsia="SimSun" w:cs="SimSun"/>
                <w:sz w:val="25"/>
                <w:szCs w:val="25"/>
              </w:rPr>
            </w:pPr>
            <w:r>
              <w:rPr>
                <w:rFonts w:ascii="SimSun" w:hAnsi="SimSun" w:eastAsia="SimSun" w:cs="SimSun"/>
                <w:sz w:val="25"/>
                <w:szCs w:val="25"/>
                <w:spacing w:val="-3"/>
              </w:rPr>
              <w:t>+35%</w:t>
            </w:r>
          </w:p>
        </w:tc>
        <w:tc>
          <w:tcPr>
            <w:tcW w:w="33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24" w:right="238"/>
              <w:spacing w:before="293" w:line="237" w:lineRule="auto"/>
              <w:rPr/>
            </w:pPr>
            <w:r>
              <w:rPr>
                <w:spacing w:val="-11"/>
              </w:rPr>
              <w:t>央行创纪录购金、通胀顽固、</w:t>
            </w:r>
            <w:r>
              <w:rPr>
                <w:spacing w:val="1"/>
              </w:rPr>
              <w:t xml:space="preserve"> </w:t>
            </w:r>
            <w:r>
              <w:rPr>
                <w:spacing w:val="-9"/>
              </w:rPr>
              <w:t>地缘冲突、实际利率下行</w:t>
            </w:r>
          </w:p>
        </w:tc>
        <w:tc>
          <w:tcPr>
            <w:tcW w:w="21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1" w:right="287"/>
              <w:spacing w:before="293" w:line="237" w:lineRule="auto"/>
              <w:rPr/>
            </w:pPr>
            <w:r>
              <w:rPr>
                <w:spacing w:val="-10"/>
              </w:rPr>
              <w:t>俄乌冲突、中东紧</w:t>
            </w:r>
            <w:r>
              <w:rPr/>
              <w:t xml:space="preserve"> </w:t>
            </w:r>
            <w:r>
              <w:rPr>
                <w:spacing w:val="-9"/>
              </w:rPr>
              <w:t>张、</w:t>
            </w:r>
            <w:r>
              <w:rPr>
                <w:rFonts w:ascii="SimSun" w:hAnsi="SimSun" w:eastAsia="SimSun" w:cs="SimSun"/>
                <w:spacing w:val="-9"/>
              </w:rPr>
              <w:t>Fed</w:t>
            </w:r>
            <w:r>
              <w:rPr>
                <w:rFonts w:ascii="SimSun" w:hAnsi="SimSun" w:eastAsia="SimSun" w:cs="SimSun"/>
                <w:spacing w:val="-51"/>
              </w:rPr>
              <w:t xml:space="preserve"> </w:t>
            </w:r>
            <w:r>
              <w:rPr>
                <w:spacing w:val="-9"/>
              </w:rPr>
              <w:t>转向降息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right="76" w:firstLine="3"/>
        <w:spacing w:before="71" w:line="35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2"/>
        </w:rPr>
        <w:t>潜在局限性：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2"/>
        </w:rPr>
        <w:t>阶段划分在一定程度上依赖主观判断，可能忽略短期噪声。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  <w:b/>
          <w:bCs/>
          <w:spacing w:val="12"/>
        </w:rPr>
        <w:t>适用条件：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2"/>
        </w:rPr>
        <w:t>该划分适用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于长周期分析，在短期交易中需结合技术指标。</w:t>
      </w:r>
    </w:p>
    <w:p>
      <w:pPr>
        <w:pStyle w:val="BodyText"/>
        <w:ind w:left="4"/>
        <w:spacing w:before="325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四、多维驱动因子深度辨析</w:t>
      </w:r>
    </w:p>
    <w:p>
      <w:pPr>
        <w:pStyle w:val="BodyText"/>
        <w:spacing w:before="241" w:line="353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黄金价格受宏观、经济与情绪因子共同驱动。据世界黄金协会《</w:t>
      </w:r>
      <w:r>
        <w:rPr>
          <w:rFonts w:ascii="Times New Roman" w:hAnsi="Times New Roman" w:eastAsia="Times New Roman" w:cs="Times New Roman"/>
          <w:sz w:val="22"/>
          <w:szCs w:val="22"/>
        </w:rPr>
        <w:t>Gold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</w:rPr>
        <w:t>Outlook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    2026</w:t>
      </w:r>
      <w:r>
        <w:rPr>
          <w:rFonts w:ascii="SimSun" w:hAnsi="SimSun" w:eastAsia="SimSun" w:cs="SimSun"/>
          <w:sz w:val="22"/>
          <w:szCs w:val="22"/>
          <w:spacing w:val="14"/>
        </w:rPr>
        <w:t>》</w:t>
      </w:r>
      <w:r>
        <w:rPr>
          <w:sz w:val="22"/>
          <w:szCs w:val="22"/>
          <w:spacing w:val="14"/>
        </w:rPr>
        <w:t>及高盛商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29"/>
        </w:rPr>
        <w:t>品研究部(2025年12月)分析，央行购金权重持续上</w:t>
      </w:r>
      <w:r>
        <w:rPr>
          <w:sz w:val="22"/>
          <w:szCs w:val="22"/>
          <w:spacing w:val="28"/>
        </w:rPr>
        <w:t>升。以下表格分解核心因子权重(基于历史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回归分析近似估计):</w:t>
      </w:r>
    </w:p>
    <w:p>
      <w:pPr>
        <w:spacing w:line="353" w:lineRule="auto"/>
        <w:sectPr>
          <w:pgSz w:w="12240" w:h="15840"/>
          <w:pgMar w:top="1144" w:right="1062" w:bottom="0" w:left="980" w:header="0" w:footer="0" w:gutter="0"/>
        </w:sectPr>
        <w:rPr>
          <w:sz w:val="22"/>
          <w:szCs w:val="22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74" w:right="284"/>
        <w:spacing w:before="71" w:line="282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实际利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55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影响因</w:t>
      </w:r>
    </w:p>
    <w:p>
      <w:pPr>
        <w:pStyle w:val="BodyText"/>
        <w:spacing w:before="85" w:line="228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子</w:t>
      </w:r>
      <w:r>
        <w:rPr>
          <w:sz w:val="22"/>
          <w:szCs w:val="22"/>
          <w:spacing w:val="6"/>
        </w:rPr>
        <w:t xml:space="preserve">          </w:t>
      </w:r>
      <w:r>
        <w:rPr>
          <w:sz w:val="22"/>
          <w:szCs w:val="22"/>
          <w:b/>
          <w:bCs/>
          <w:spacing w:val="12"/>
        </w:rPr>
        <w:t>权重(约)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35%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    </w:t>
      </w:r>
      <w:r>
        <w:rPr>
          <w:sz w:val="22"/>
          <w:szCs w:val="22"/>
          <w:spacing w:val="-6"/>
        </w:rPr>
        <w:t>负</w:t>
      </w:r>
      <w:r>
        <w:rPr>
          <w:sz w:val="22"/>
          <w:szCs w:val="22"/>
          <w:spacing w:val="-6"/>
        </w:rPr>
        <w:t xml:space="preserve">  </w:t>
      </w:r>
      <w:r>
        <w:rPr>
          <w:sz w:val="22"/>
          <w:szCs w:val="22"/>
          <w:spacing w:val="-6"/>
        </w:rPr>
        <w:t>低实际利率降低持</w:t>
      </w:r>
    </w:p>
    <w:p>
      <w:pPr>
        <w:pStyle w:val="BodyText"/>
        <w:ind w:left="1389"/>
        <w:spacing w:before="88" w:line="222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有机会成本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" style="position:absolute;margin-left:159.489pt;margin-top:1.23297pt;mso-position-vertical-relative:text;mso-position-horizontal-relative:text;width:14.85pt;height:31.2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0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解</w:t>
                  </w:r>
                  <w:r>
                    <w:rPr>
                      <w:sz w:val="22"/>
                      <w:szCs w:val="22"/>
                      <w:spacing w:val="2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释</w:t>
                  </w:r>
                </w:p>
              </w:txbxContent>
            </v:textbox>
          </v:shape>
        </w:pict>
      </w:r>
    </w:p>
    <w:p>
      <w:pPr>
        <w:pStyle w:val="BodyText"/>
        <w:ind w:left="3813" w:right="572"/>
        <w:spacing w:before="43" w:line="304" w:lineRule="auto"/>
        <w:rPr>
          <w:sz w:val="22"/>
          <w:szCs w:val="22"/>
        </w:rPr>
      </w:pPr>
      <w:r>
        <w:pict>
          <v:shape id="_x0000_s4" style="position:absolute;margin-left:117.651pt;margin-top:1.18963pt;mso-position-vertical-relative:text;mso-position-horizontal-relative:text;width:27.5pt;height:33.3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hanging="10"/>
                    <w:spacing w:before="20" w:line="27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6"/>
                    </w:rPr>
                    <w:t>正/负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相关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14"/>
        </w:rPr>
        <w:t>2022-2025表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b/>
          <w:bCs/>
          <w:spacing w:val="-5"/>
        </w:rPr>
        <w:t>现示例</w:t>
      </w:r>
    </w:p>
    <w:p>
      <w:pPr>
        <w:pStyle w:val="BodyText"/>
        <w:ind w:right="3605"/>
        <w:spacing w:before="238" w:line="28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Fed</w:t>
      </w:r>
      <w:r>
        <w:rPr>
          <w:sz w:val="22"/>
          <w:szCs w:val="22"/>
          <w:spacing w:val="7"/>
        </w:rPr>
        <w:t>降息周期推动2025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17"/>
        </w:rPr>
        <w:t>年67%回报</w:t>
      </w:r>
    </w:p>
    <w:p>
      <w:pPr>
        <w:spacing w:line="282" w:lineRule="auto"/>
        <w:sectPr>
          <w:pgSz w:w="12240" w:h="15840"/>
          <w:pgMar w:top="1089" w:right="1092" w:bottom="0" w:left="905" w:header="0" w:footer="0" w:gutter="0"/>
          <w:cols w:equalWidth="0" w:num="3">
            <w:col w:w="1005" w:space="100"/>
            <w:col w:w="3270" w:space="100"/>
            <w:col w:w="5768" w:space="0"/>
          </w:cols>
        </w:sectPr>
        <w:rPr>
          <w:sz w:val="22"/>
          <w:szCs w:val="22"/>
        </w:rPr>
      </w:pPr>
    </w:p>
    <w:tbl>
      <w:tblPr>
        <w:tblStyle w:val="TableNormal"/>
        <w:tblW w:w="10217" w:type="dxa"/>
        <w:tblInd w:w="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49"/>
        <w:gridCol w:w="122"/>
        <w:gridCol w:w="799"/>
        <w:gridCol w:w="1627"/>
        <w:gridCol w:w="890"/>
        <w:gridCol w:w="948"/>
        <w:gridCol w:w="898"/>
        <w:gridCol w:w="265"/>
        <w:gridCol w:w="1737"/>
        <w:gridCol w:w="310"/>
        <w:gridCol w:w="1872"/>
      </w:tblGrid>
      <w:tr>
        <w:trPr>
          <w:trHeight w:val="871" w:hRule="atLeast"/>
        </w:trPr>
        <w:tc>
          <w:tcPr>
            <w:tcW w:w="871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0" w:right="178"/>
              <w:spacing w:before="296" w:line="237" w:lineRule="auto"/>
              <w:rPr/>
            </w:pP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column">
                    <wp:posOffset>25780</wp:posOffset>
                  </wp:positionH>
                  <wp:positionV relativeFrom="paragraph">
                    <wp:posOffset>550233</wp:posOffset>
                  </wp:positionV>
                  <wp:extent cx="139700" cy="6984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700" cy="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7"/>
              </w:rPr>
              <w:t>美元指</w:t>
            </w:r>
            <w:r>
              <w:rPr>
                <w:spacing w:val="1"/>
              </w:rPr>
              <w:t xml:space="preserve"> </w:t>
            </w:r>
            <w:r>
              <w:rPr/>
              <w:t>数</w:t>
            </w:r>
          </w:p>
        </w:tc>
        <w:tc>
          <w:tcPr>
            <w:tcW w:w="7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88"/>
              <w:spacing w:before="296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25%</w:t>
            </w:r>
          </w:p>
        </w:tc>
        <w:tc>
          <w:tcPr>
            <w:tcW w:w="2517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6" w:right="78" w:hanging="346"/>
              <w:spacing w:before="296" w:line="248" w:lineRule="auto"/>
              <w:rPr>
                <w:sz w:val="20"/>
                <w:szCs w:val="20"/>
              </w:rPr>
            </w:pPr>
            <w:r>
              <w:rPr>
                <w:spacing w:val="-7"/>
              </w:rPr>
              <w:t>负</w:t>
            </w:r>
            <w:r>
              <w:rPr>
                <w:spacing w:val="-7"/>
              </w:rPr>
              <w:t xml:space="preserve">  </w:t>
            </w:r>
            <w:r>
              <w:rPr>
                <w:spacing w:val="-7"/>
              </w:rPr>
              <w:t>美元强势压制黄金</w:t>
            </w:r>
            <w:r>
              <w:rPr>
                <w:spacing w:val="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定</w:t>
            </w:r>
            <w:r>
              <w:rPr>
                <w:sz w:val="20"/>
                <w:szCs w:val="20"/>
                <w:spacing w:val="3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价</w:t>
            </w:r>
          </w:p>
        </w:tc>
        <w:tc>
          <w:tcPr>
            <w:tcW w:w="6030" w:type="dxa"/>
            <w:vAlign w:val="top"/>
            <w:gridSpan w:val="6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7" w:right="3547" w:firstLine="175"/>
              <w:spacing w:before="287" w:line="252" w:lineRule="auto"/>
              <w:rPr>
                <w:sz w:val="20"/>
                <w:szCs w:val="20"/>
              </w:rPr>
            </w:pPr>
            <w:r>
              <w:rPr>
                <w:spacing w:val="9"/>
              </w:rPr>
              <w:t>2025美元回落10%助力</w:t>
            </w:r>
            <w:r>
              <w:rPr>
                <w:spacing w:val="11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黄</w:t>
            </w:r>
            <w:r>
              <w:rPr>
                <w:sz w:val="20"/>
                <w:szCs w:val="20"/>
                <w:spacing w:val="-6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金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突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4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,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0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0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0</w:t>
            </w:r>
          </w:p>
        </w:tc>
      </w:tr>
      <w:tr>
        <w:trPr>
          <w:trHeight w:val="682" w:hRule="atLeast"/>
        </w:trPr>
        <w:tc>
          <w:tcPr>
            <w:tcW w:w="871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71" w:line="222" w:lineRule="auto"/>
              <w:rPr/>
            </w:pPr>
            <w:r>
              <w:rPr>
                <w:spacing w:val="-8"/>
              </w:rPr>
              <w:t>央行购</w:t>
            </w:r>
          </w:p>
        </w:tc>
        <w:tc>
          <w:tcPr>
            <w:tcW w:w="799" w:type="dxa"/>
            <w:vAlign w:val="top"/>
            <w:tcBorders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178"/>
              <w:spacing w:before="71" w:line="23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20%</w:t>
            </w:r>
          </w:p>
        </w:tc>
        <w:tc>
          <w:tcPr>
            <w:tcW w:w="2517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9"/>
              <w:spacing w:before="72" w:line="221" w:lineRule="auto"/>
              <w:rPr/>
            </w:pPr>
            <w:r>
              <w:rPr>
                <w:spacing w:val="-9"/>
              </w:rPr>
              <w:t>正</w:t>
            </w:r>
            <w:r>
              <w:rPr>
                <w:spacing w:val="12"/>
              </w:rPr>
              <w:t xml:space="preserve">  </w:t>
            </w:r>
            <w:r>
              <w:rPr>
                <w:spacing w:val="-9"/>
              </w:rPr>
              <w:t>去美元化与储备多</w:t>
            </w:r>
          </w:p>
        </w:tc>
        <w:tc>
          <w:tcPr>
            <w:tcW w:w="6030" w:type="dxa"/>
            <w:vAlign w:val="top"/>
            <w:gridSpan w:val="6"/>
            <w:tcBorders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/>
              <w:spacing w:before="71" w:line="222" w:lineRule="auto"/>
              <w:rPr/>
            </w:pPr>
            <w:r>
              <w:rPr>
                <w:spacing w:val="2"/>
              </w:rPr>
              <w:t>2025央行净购超1,000</w:t>
            </w:r>
          </w:p>
        </w:tc>
      </w:tr>
      <w:tr>
        <w:trPr>
          <w:trHeight w:val="282" w:hRule="atLeast"/>
        </w:trPr>
        <w:tc>
          <w:tcPr>
            <w:tcW w:w="871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50"/>
              <w:spacing w:before="70" w:line="169" w:lineRule="auto"/>
              <w:rPr/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25780</wp:posOffset>
                  </wp:positionH>
                  <wp:positionV relativeFrom="paragraph">
                    <wp:posOffset>177410</wp:posOffset>
                  </wp:positionV>
                  <wp:extent cx="139700" cy="6984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700" cy="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>金</w:t>
            </w:r>
          </w:p>
        </w:tc>
        <w:tc>
          <w:tcPr>
            <w:tcW w:w="799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17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680"/>
              <w:spacing w:before="77" w:line="17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7"/>
              </w:rPr>
              <w:t>元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化</w:t>
            </w:r>
          </w:p>
        </w:tc>
        <w:tc>
          <w:tcPr>
            <w:tcW w:w="6030" w:type="dxa"/>
            <w:vAlign w:val="top"/>
            <w:gridSpan w:val="6"/>
            <w:tcBorders>
              <w:bottom w:val="single" w:color="000000" w:sz="4" w:space="0"/>
            </w:tcBorders>
          </w:tcPr>
          <w:p>
            <w:pPr>
              <w:pStyle w:val="TableText"/>
              <w:ind w:left="184"/>
              <w:spacing w:before="82" w:line="1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吨</w:t>
            </w:r>
          </w:p>
        </w:tc>
      </w:tr>
      <w:tr>
        <w:trPr>
          <w:trHeight w:val="668" w:hRule="atLeast"/>
        </w:trPr>
        <w:tc>
          <w:tcPr>
            <w:tcW w:w="871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72" w:line="221" w:lineRule="auto"/>
              <w:rPr/>
            </w:pPr>
            <w:r>
              <w:rPr>
                <w:spacing w:val="-10"/>
              </w:rPr>
              <w:t>地缘政</w:t>
            </w:r>
          </w:p>
        </w:tc>
        <w:tc>
          <w:tcPr>
            <w:tcW w:w="799" w:type="dxa"/>
            <w:vAlign w:val="top"/>
            <w:tcBorders>
              <w:top w:val="single" w:color="000000" w:sz="4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209"/>
              <w:spacing w:before="71" w:line="23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12%</w:t>
            </w:r>
          </w:p>
        </w:tc>
        <w:tc>
          <w:tcPr>
            <w:tcW w:w="2517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72" w:line="222" w:lineRule="auto"/>
              <w:rPr/>
            </w:pPr>
            <w:r>
              <w:rPr>
                <w:spacing w:val="-8"/>
              </w:rPr>
              <w:t>正</w:t>
            </w:r>
            <w:r>
              <w:rPr>
                <w:spacing w:val="7"/>
              </w:rPr>
              <w:t xml:space="preserve">  </w:t>
            </w:r>
            <w:r>
              <w:rPr>
                <w:spacing w:val="-8"/>
              </w:rPr>
              <w:t>提升避险需求</w:t>
            </w:r>
          </w:p>
        </w:tc>
        <w:tc>
          <w:tcPr>
            <w:tcW w:w="6030" w:type="dxa"/>
            <w:vAlign w:val="top"/>
            <w:gridSpan w:val="6"/>
            <w:tcBorders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2"/>
              <w:spacing w:before="72" w:line="221" w:lineRule="auto"/>
              <w:rPr/>
            </w:pPr>
            <w:r>
              <w:rPr>
                <w:spacing w:val="-10"/>
              </w:rPr>
              <w:t>中东与地缘冲突驱动多</w:t>
            </w:r>
          </w:p>
        </w:tc>
      </w:tr>
      <w:tr>
        <w:trPr>
          <w:trHeight w:val="285" w:hRule="atLeast"/>
        </w:trPr>
        <w:tc>
          <w:tcPr>
            <w:tcW w:w="871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50"/>
              <w:spacing w:before="74" w:line="168" w:lineRule="auto"/>
              <w:rPr/>
            </w:pPr>
            <w:r>
              <w:rPr>
                <w:spacing w:val="-3"/>
              </w:rPr>
              <w:t>治风险</w:t>
            </w:r>
          </w:p>
        </w:tc>
        <w:tc>
          <w:tcPr>
            <w:tcW w:w="799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17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30" w:type="dxa"/>
            <w:vAlign w:val="top"/>
            <w:gridSpan w:val="6"/>
            <w:tcBorders>
              <w:bottom w:val="single" w:color="000000" w:sz="4" w:space="0"/>
            </w:tcBorders>
          </w:tcPr>
          <w:p>
            <w:pPr>
              <w:pStyle w:val="TableText"/>
              <w:ind w:left="124"/>
              <w:spacing w:before="95" w:line="16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轮</w:t>
            </w:r>
            <w:r>
              <w:rPr>
                <w:sz w:val="20"/>
                <w:szCs w:val="20"/>
                <w:spacing w:val="34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急</w:t>
            </w:r>
            <w:r>
              <w:rPr>
                <w:sz w:val="20"/>
                <w:szCs w:val="20"/>
                <w:spacing w:val="32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涨</w:t>
            </w:r>
          </w:p>
        </w:tc>
      </w:tr>
      <w:tr>
        <w:trPr>
          <w:trHeight w:val="1237" w:hRule="atLeast"/>
        </w:trPr>
        <w:tc>
          <w:tcPr>
            <w:tcW w:w="871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 w:right="200"/>
              <w:spacing w:before="72" w:line="315" w:lineRule="auto"/>
              <w:rPr/>
            </w:pPr>
            <w:r>
              <w:rPr>
                <w:spacing w:val="-14"/>
              </w:rPr>
              <w:t>通胀预</w:t>
            </w:r>
            <w:r>
              <w:rPr>
                <w:spacing w:val="1"/>
              </w:rPr>
              <w:t xml:space="preserve"> </w:t>
            </w:r>
            <w:r>
              <w:rPr/>
              <w:t>期</w:t>
            </w:r>
          </w:p>
        </w:tc>
        <w:tc>
          <w:tcPr>
            <w:tcW w:w="9346" w:type="dxa"/>
            <w:vAlign w:val="top"/>
            <w:gridSpan w:val="9"/>
            <w:tcBorders>
              <w:top w:val="single" w:color="000000" w:sz="4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83" w:line="199" w:lineRule="auto"/>
              <w:rPr/>
            </w:pPr>
            <w:r>
              <w:rPr>
                <w:rFonts w:ascii="Times New Roman" w:hAnsi="Times New Roman" w:eastAsia="Times New Roman" w:cs="Times New Roman"/>
                <w:sz w:val="29"/>
                <w:szCs w:val="29"/>
                <w:spacing w:val="-2"/>
              </w:rPr>
              <w:t>8%</w:t>
            </w:r>
            <w:r>
              <w:rPr>
                <w:rFonts w:ascii="Times New Roman" w:hAnsi="Times New Roman" w:eastAsia="Times New Roman" w:cs="Times New Roman"/>
                <w:sz w:val="29"/>
                <w:szCs w:val="29"/>
                <w:spacing w:val="6"/>
              </w:rPr>
              <w:t xml:space="preserve">       </w:t>
            </w:r>
            <w:r>
              <w:rPr>
                <w:spacing w:val="-2"/>
              </w:rPr>
              <w:t>正</w:t>
            </w:r>
            <w:r>
              <w:rPr>
                <w:spacing w:val="-2"/>
              </w:rPr>
              <w:t xml:space="preserve">  </w:t>
            </w:r>
            <w:r>
              <w:rPr>
                <w:spacing w:val="-2"/>
              </w:rPr>
              <w:t>通胀对冲属性</w:t>
            </w:r>
            <w:r>
              <w:rPr>
                <w:spacing w:val="13"/>
              </w:rPr>
              <w:t xml:space="preserve">      </w:t>
            </w:r>
            <w:r>
              <w:rPr>
                <w:spacing w:val="-2"/>
              </w:rPr>
              <w:t>顽固通胀支持2024-</w:t>
            </w:r>
          </w:p>
          <w:p>
            <w:pPr>
              <w:pStyle w:val="TableText"/>
              <w:ind w:left="3578"/>
              <w:spacing w:before="89" w:line="224" w:lineRule="auto"/>
              <w:rPr/>
            </w:pPr>
            <w:r>
              <w:rPr>
                <w:spacing w:val="12"/>
              </w:rPr>
              <w:t>2025上涨</w:t>
            </w:r>
          </w:p>
        </w:tc>
      </w:tr>
      <w:tr>
        <w:trPr>
          <w:trHeight w:val="2849" w:hRule="atLeast"/>
        </w:trPr>
        <w:tc>
          <w:tcPr>
            <w:tcW w:w="10217" w:type="dxa"/>
            <w:vAlign w:val="top"/>
            <w:gridSpan w:val="11"/>
          </w:tcPr>
          <w:p>
            <w:pPr>
              <w:pStyle w:val="TableText"/>
              <w:ind w:left="50" w:right="96"/>
              <w:spacing w:before="272" w:line="375" w:lineRule="auto"/>
              <w:rPr/>
            </w:pPr>
            <w:r>
              <w:rPr>
                <w:spacing w:val="20"/>
              </w:rPr>
              <w:t>潜在局限性：权重估计可能存在模型偏差，极端事件下地缘因子权重可</w:t>
            </w:r>
            <w:r>
              <w:rPr>
                <w:spacing w:val="19"/>
              </w:rPr>
              <w:t>能瞬时放大。适用条件：</w:t>
            </w:r>
            <w:r>
              <w:rPr/>
              <w:t xml:space="preserve"> </w:t>
            </w:r>
            <w:r>
              <w:rPr>
                <w:spacing w:val="17"/>
              </w:rPr>
              <w:t>该框架适用于中长期配置，短期需关注流动性冲击。</w:t>
            </w:r>
          </w:p>
          <w:p>
            <w:pPr>
              <w:pStyle w:val="TableText"/>
              <w:ind w:left="54"/>
              <w:spacing w:before="324" w:line="221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spacing w:val="6"/>
              </w:rPr>
              <w:t>五、未来情景建模与推演</w:t>
            </w:r>
          </w:p>
          <w:p>
            <w:pPr>
              <w:pStyle w:val="TableText"/>
              <w:ind w:left="50"/>
              <w:spacing w:before="215" w:line="330" w:lineRule="auto"/>
              <w:rPr/>
            </w:pPr>
            <w:r>
              <w:rPr>
                <w:spacing w:val="16"/>
              </w:rPr>
              <w:t>基于美联储点阵图(2025年12月)、</w:t>
            </w:r>
            <w:r>
              <w:rPr>
                <w:spacing w:val="16"/>
              </w:rPr>
              <w:t xml:space="preserve"> </w:t>
            </w:r>
            <w:r>
              <w:rPr/>
              <w:t>IMF</w:t>
            </w:r>
            <w:r>
              <w:rPr>
                <w:spacing w:val="16"/>
              </w:rPr>
              <w:t>《</w:t>
            </w:r>
            <w:r>
              <w:rPr/>
              <w:t>World</w:t>
            </w:r>
            <w:r>
              <w:rPr>
                <w:spacing w:val="16"/>
              </w:rPr>
              <w:t xml:space="preserve">    </w:t>
            </w:r>
            <w:r>
              <w:rPr/>
              <w:t>Economic</w:t>
            </w:r>
            <w:r>
              <w:rPr>
                <w:spacing w:val="16"/>
              </w:rPr>
              <w:t xml:space="preserve">     </w:t>
            </w:r>
            <w:r>
              <w:rPr/>
              <w:t>Outlook</w:t>
            </w:r>
            <w:r>
              <w:rPr>
                <w:spacing w:val="16"/>
              </w:rPr>
              <w:t>》2025年10月)及世界黄</w:t>
            </w:r>
            <w:r>
              <w:rPr>
                <w:spacing w:val="1"/>
              </w:rPr>
              <w:t xml:space="preserve"> </w:t>
            </w:r>
            <w:r>
              <w:rPr>
                <w:spacing w:val="23"/>
              </w:rPr>
              <w:t>金协会情景分析，构建三种2026年情景：</w:t>
            </w:r>
          </w:p>
        </w:tc>
      </w:tr>
      <w:tr>
        <w:trPr>
          <w:trHeight w:val="1776" w:hRule="atLeast"/>
        </w:trPr>
        <w:tc>
          <w:tcPr>
            <w:tcW w:w="749" w:type="dxa"/>
            <w:vAlign w:val="top"/>
            <w:tcBorders>
              <w:bottom w:val="single" w:color="000000" w:sz="4" w:space="0"/>
            </w:tcBorders>
          </w:tcPr>
          <w:p>
            <w:pPr>
              <w:ind w:left="63"/>
              <w:spacing w:before="14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情景</w:t>
            </w:r>
          </w:p>
          <w:p>
            <w:pPr>
              <w:ind w:left="63"/>
              <w:spacing w:before="189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类型</w:t>
            </w:r>
          </w:p>
          <w:p>
            <w:pPr>
              <w:ind w:left="59"/>
              <w:spacing w:before="22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>基线</w:t>
            </w:r>
          </w:p>
          <w:p>
            <w:pPr>
              <w:ind w:left="59"/>
              <w:spacing w:before="157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>情景</w:t>
            </w:r>
          </w:p>
        </w:tc>
        <w:tc>
          <w:tcPr>
            <w:tcW w:w="2548" w:type="dxa"/>
            <w:vAlign w:val="top"/>
            <w:gridSpan w:val="3"/>
            <w:tcBorders>
              <w:bottom w:val="single" w:color="000000" w:sz="4" w:space="0"/>
            </w:tcBorders>
          </w:tcPr>
          <w:p>
            <w:pPr>
              <w:ind w:left="169"/>
              <w:spacing w:before="140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概率评估</w:t>
            </w:r>
            <w:r>
              <w:rPr>
                <w:rFonts w:ascii="SimSun" w:hAnsi="SimSun" w:eastAsia="SimSun" w:cs="SimSun"/>
                <w:sz w:val="22"/>
                <w:szCs w:val="22"/>
                <w:spacing w:val="28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实际利率路</w:t>
            </w:r>
          </w:p>
          <w:p>
            <w:pPr>
              <w:ind w:left="274"/>
              <w:spacing w:before="190" w:line="22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8"/>
              </w:rPr>
              <w:t>(约)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 xml:space="preserve">    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8"/>
              </w:rPr>
              <w:t>径</w:t>
            </w:r>
          </w:p>
          <w:p>
            <w:pPr>
              <w:ind w:left="1310" w:right="491" w:hanging="1259"/>
              <w:spacing w:before="217" w:line="28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  <w:position w:val="-1"/>
              </w:rPr>
              <w:t>55%</w:t>
            </w:r>
            <w:r>
              <w:rPr>
                <w:rFonts w:ascii="SimSun" w:hAnsi="SimSun" w:eastAsia="SimSun" w:cs="SimSun"/>
                <w:sz w:val="22"/>
                <w:szCs w:val="22"/>
                <w:spacing w:val="8"/>
                <w:position w:val="-1"/>
              </w:rPr>
              <w:t xml:space="preserve">       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  <w:position w:val="1"/>
              </w:rPr>
              <w:t>渐降至</w:t>
            </w:r>
            <w:r>
              <w:rPr>
                <w:rFonts w:ascii="SimSun" w:hAnsi="SimSun" w:eastAsia="SimSun" w:cs="SimSun"/>
                <w:sz w:val="22"/>
                <w:szCs w:val="22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1.5%-2%</w:t>
            </w:r>
          </w:p>
        </w:tc>
        <w:tc>
          <w:tcPr>
            <w:tcW w:w="890" w:type="dxa"/>
            <w:vAlign w:val="top"/>
            <w:tcBorders>
              <w:bottom w:val="single" w:color="000000" w:sz="4" w:space="0"/>
            </w:tcBorders>
          </w:tcPr>
          <w:p>
            <w:pPr>
              <w:ind w:left="196" w:right="264"/>
              <w:spacing w:before="142" w:line="37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8"/>
              </w:rPr>
              <w:t>美元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8"/>
              </w:rPr>
              <w:t>指数</w:t>
            </w:r>
          </w:p>
          <w:p>
            <w:pPr>
              <w:ind w:left="143" w:right="317"/>
              <w:spacing w:before="31" w:line="28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6"/>
              </w:rPr>
              <w:t>温和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8"/>
              </w:rPr>
              <w:t>回落</w:t>
            </w:r>
          </w:p>
        </w:tc>
        <w:tc>
          <w:tcPr>
            <w:tcW w:w="948" w:type="dxa"/>
            <w:vAlign w:val="top"/>
            <w:tcBorders>
              <w:bottom w:val="single" w:color="000000" w:sz="4" w:space="0"/>
            </w:tcBorders>
          </w:tcPr>
          <w:p>
            <w:pPr>
              <w:ind w:left="16" w:right="63"/>
              <w:spacing w:before="143" w:line="38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6"/>
              </w:rPr>
              <w:t>央行购金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11"/>
              </w:rPr>
              <w:t>(吨)</w:t>
            </w:r>
          </w:p>
          <w:p>
            <w:pPr>
              <w:ind w:left="132"/>
              <w:spacing w:before="40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800-</w:t>
            </w:r>
          </w:p>
          <w:p>
            <w:pPr>
              <w:ind w:left="147"/>
              <w:spacing w:before="109" w:line="21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1,000</w:t>
            </w:r>
          </w:p>
        </w:tc>
        <w:tc>
          <w:tcPr>
            <w:tcW w:w="1163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ind w:left="358"/>
              <w:spacing w:before="14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地缘风</w:t>
            </w:r>
          </w:p>
          <w:p>
            <w:pPr>
              <w:ind w:left="358"/>
              <w:spacing w:before="187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"/>
              </w:rPr>
              <w:t>险水平</w:t>
            </w:r>
          </w:p>
          <w:p>
            <w:pPr>
              <w:ind w:left="355"/>
              <w:spacing w:before="22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>中等</w:t>
            </w:r>
          </w:p>
        </w:tc>
        <w:tc>
          <w:tcPr>
            <w:tcW w:w="2047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ind w:left="255" w:right="153" w:hanging="110"/>
              <w:spacing w:before="140" w:line="38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2026年末价格目标</w:t>
            </w:r>
            <w:r>
              <w:rPr>
                <w:rFonts w:ascii="SimSun" w:hAnsi="SimSun" w:eastAsia="SimSun" w:cs="SimSu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3"/>
              </w:rPr>
              <w:t>(美元/盎司)</w:t>
            </w:r>
          </w:p>
          <w:p>
            <w:pPr>
              <w:ind w:left="141"/>
              <w:spacing w:before="21" w:line="21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4,600-4,900</w:t>
            </w:r>
          </w:p>
        </w:tc>
        <w:tc>
          <w:tcPr>
            <w:tcW w:w="1872" w:type="dxa"/>
            <w:vAlign w:val="top"/>
            <w:tcBorders>
              <w:bottom w:val="single" w:color="00000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158"/>
              <w:spacing w:before="7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核心假设</w:t>
            </w:r>
          </w:p>
          <w:p>
            <w:pPr>
              <w:ind w:left="154" w:right="177"/>
              <w:spacing w:before="223" w:line="29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Fed</w:t>
            </w:r>
            <w:r>
              <w:rPr>
                <w:rFonts w:ascii="SimSun" w:hAnsi="SimSun" w:eastAsia="SimSun" w:cs="SimSun"/>
                <w:sz w:val="22"/>
                <w:szCs w:val="22"/>
                <w:spacing w:val="22"/>
              </w:rPr>
              <w:t>适度降息、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2"/>
              </w:rPr>
              <w:t>经济软着陆</w:t>
            </w:r>
          </w:p>
        </w:tc>
      </w:tr>
      <w:tr>
        <w:trPr>
          <w:trHeight w:val="974" w:hRule="atLeast"/>
        </w:trPr>
        <w:tc>
          <w:tcPr>
            <w:tcW w:w="871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9"/>
              <w:spacing w:before="199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看涨</w:t>
            </w:r>
          </w:p>
          <w:p>
            <w:pPr>
              <w:ind w:left="59"/>
              <w:spacing w:before="228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5"/>
              </w:rPr>
              <w:t>情景</w:t>
            </w:r>
          </w:p>
        </w:tc>
        <w:tc>
          <w:tcPr>
            <w:tcW w:w="7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1"/>
              <w:spacing w:before="220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30%</w:t>
            </w:r>
          </w:p>
        </w:tc>
        <w:tc>
          <w:tcPr>
            <w:tcW w:w="16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89" w:right="148"/>
              <w:spacing w:before="198" w:line="3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快速降至1%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>以下</w:t>
            </w:r>
          </w:p>
        </w:tc>
        <w:tc>
          <w:tcPr>
            <w:tcW w:w="1838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92" w:right="289" w:firstLine="123"/>
              <w:spacing w:before="196" w:line="32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显著</w:t>
            </w:r>
            <w:r>
              <w:rPr>
                <w:rFonts w:ascii="SimSun" w:hAnsi="SimSun" w:eastAsia="SimSun" w:cs="SimSun"/>
                <w:sz w:val="22"/>
                <w:szCs w:val="22"/>
                <w:spacing w:val="5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&gt;1,200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9"/>
              </w:rPr>
              <w:t>走弱</w:t>
            </w:r>
          </w:p>
        </w:tc>
        <w:tc>
          <w:tcPr>
            <w:tcW w:w="8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55"/>
              <w:spacing w:before="199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高</w:t>
            </w:r>
          </w:p>
        </w:tc>
        <w:tc>
          <w:tcPr>
            <w:tcW w:w="2002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06"/>
              <w:spacing w:before="196" w:line="21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5,000-5,500</w:t>
            </w:r>
          </w:p>
        </w:tc>
        <w:tc>
          <w:tcPr>
            <w:tcW w:w="2182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64" w:right="66"/>
              <w:spacing w:before="198" w:line="3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15"/>
              </w:rPr>
              <w:t>衰退风险上升、</w:t>
            </w:r>
            <w:r>
              <w:rPr>
                <w:rFonts w:ascii="SimSun" w:hAnsi="SimSun" w:eastAsia="SimSun" w:cs="SimSun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>央行加速购金</w:t>
            </w:r>
          </w:p>
        </w:tc>
      </w:tr>
    </w:tbl>
    <w:p>
      <w:pPr>
        <w:spacing w:line="132" w:lineRule="exact"/>
        <w:rPr>
          <w:rFonts w:ascii="Arial"/>
          <w:sz w:val="11"/>
        </w:rPr>
      </w:pPr>
      <w:r/>
    </w:p>
    <w:p>
      <w:pPr>
        <w:spacing w:line="132" w:lineRule="exact"/>
        <w:sectPr>
          <w:type w:val="continuous"/>
          <w:pgSz w:w="12240" w:h="15840"/>
          <w:pgMar w:top="1089" w:right="1092" w:bottom="0" w:left="905" w:header="0" w:footer="0" w:gutter="0"/>
          <w:cols w:equalWidth="0" w:num="1">
            <w:col w:w="10243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left="84" w:right="854"/>
        <w:spacing w:before="52" w:line="37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  <w:position w:val="1"/>
        </w:rPr>
        <w:t>看跌</w:t>
      </w:r>
      <w:r>
        <w:rPr>
          <w:rFonts w:ascii="SimSun" w:hAnsi="SimSun" w:eastAsia="SimSun" w:cs="SimSun"/>
          <w:sz w:val="22"/>
          <w:szCs w:val="22"/>
          <w:spacing w:val="44"/>
          <w:position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15%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情景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89"/>
        <w:spacing w:before="49" w:line="39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反弹至2.5%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以上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9" w:right="303" w:hanging="49"/>
        <w:spacing w:before="49" w:line="39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强势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反弹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7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&lt;600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7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4,000-4,400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3"/>
        <w:spacing w:before="50" w:line="39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通胀超预期回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落、</w:t>
      </w:r>
      <w:r>
        <w:rPr>
          <w:rFonts w:ascii="SimSun" w:hAnsi="SimSun" w:eastAsia="SimSun" w:cs="SimSun"/>
          <w:sz w:val="22"/>
          <w:szCs w:val="22"/>
        </w:rPr>
        <w:t>QT</w:t>
      </w:r>
      <w:r>
        <w:rPr>
          <w:rFonts w:ascii="SimSun" w:hAnsi="SimSun" w:eastAsia="SimSun" w:cs="SimSun"/>
          <w:sz w:val="22"/>
          <w:szCs w:val="22"/>
          <w:spacing w:val="2"/>
        </w:rPr>
        <w:t>延续</w:t>
      </w:r>
    </w:p>
    <w:p>
      <w:pPr>
        <w:spacing w:line="397" w:lineRule="auto"/>
        <w:sectPr>
          <w:type w:val="continuous"/>
          <w:pgSz w:w="12240" w:h="15840"/>
          <w:pgMar w:top="1089" w:right="1092" w:bottom="0" w:left="905" w:header="0" w:footer="0" w:gutter="0"/>
          <w:cols w:equalWidth="0" w:num="7">
            <w:col w:w="1985" w:space="100"/>
            <w:col w:w="1281" w:space="100"/>
            <w:col w:w="784" w:space="100"/>
            <w:col w:w="1067" w:space="100"/>
            <w:col w:w="850" w:space="100"/>
            <w:col w:w="1960" w:space="100"/>
            <w:col w:w="171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74"/>
        <w:spacing w:before="311" w:line="213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潜在局限性：情景推演在一定程度上依赖宏观预测准确性，政策突发转向可能导致偏差。适用条</w:t>
      </w:r>
    </w:p>
    <w:p>
      <w:pPr>
        <w:pStyle w:val="BodyText"/>
        <w:ind w:left="74"/>
        <w:spacing w:before="176" w:line="187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件：适用于动态资产配置，建议结合实时数据调整。</w:t>
      </w:r>
    </w:p>
    <w:p>
      <w:pPr>
        <w:spacing w:line="187" w:lineRule="auto"/>
        <w:sectPr>
          <w:type w:val="continuous"/>
          <w:pgSz w:w="12240" w:h="15840"/>
          <w:pgMar w:top="1089" w:right="1092" w:bottom="0" w:left="905" w:header="0" w:footer="0" w:gutter="0"/>
          <w:cols w:equalWidth="0" w:num="1">
            <w:col w:w="10243" w:space="0"/>
          </w:cols>
        </w:sectPr>
        <w:rPr>
          <w:sz w:val="22"/>
          <w:szCs w:val="22"/>
        </w:rPr>
      </w:pPr>
    </w:p>
    <w:p>
      <w:pPr>
        <w:pStyle w:val="BodyText"/>
        <w:ind w:left="4"/>
        <w:spacing w:before="61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六、技术图形解析与关键位锚定</w:t>
      </w:r>
    </w:p>
    <w:p>
      <w:pPr>
        <w:pStyle w:val="BodyText"/>
        <w:ind w:right="59"/>
        <w:spacing w:before="198" w:line="376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据</w:t>
      </w:r>
      <w:r>
        <w:rPr>
          <w:sz w:val="22"/>
          <w:szCs w:val="22"/>
        </w:rPr>
        <w:t>Kitco</w:t>
      </w:r>
      <w:r>
        <w:rPr>
          <w:sz w:val="22"/>
          <w:szCs w:val="22"/>
          <w:spacing w:val="21"/>
        </w:rPr>
        <w:t>及</w:t>
      </w:r>
      <w:r>
        <w:rPr>
          <w:sz w:val="22"/>
          <w:szCs w:val="22"/>
        </w:rPr>
        <w:t>FOREX</w:t>
      </w:r>
      <w:r>
        <w:rPr>
          <w:sz w:val="22"/>
          <w:szCs w:val="22"/>
          <w:spacing w:val="21"/>
        </w:rPr>
        <w:t>.</w:t>
      </w:r>
      <w:r>
        <w:rPr>
          <w:sz w:val="22"/>
          <w:szCs w:val="22"/>
        </w:rPr>
        <w:t>com</w:t>
      </w:r>
      <w:r>
        <w:rPr>
          <w:sz w:val="22"/>
          <w:szCs w:val="22"/>
          <w:spacing w:val="8"/>
        </w:rPr>
        <w:t xml:space="preserve">     </w:t>
      </w:r>
      <w:r>
        <w:rPr>
          <w:sz w:val="22"/>
          <w:szCs w:val="22"/>
          <w:spacing w:val="21"/>
        </w:rPr>
        <w:t>2026年1月技术分析，黄金处于长期上升通道。</w:t>
      </w:r>
      <w:r>
        <w:rPr>
          <w:sz w:val="22"/>
          <w:szCs w:val="22"/>
          <w:spacing w:val="20"/>
        </w:rPr>
        <w:t>以下表格汇总关键位(基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19"/>
        </w:rPr>
        <w:t>于斐波那契回撤、移动均线及历史高点):</w:t>
      </w:r>
    </w:p>
    <w:p>
      <w:pPr>
        <w:spacing w:line="171" w:lineRule="exact"/>
        <w:rPr/>
      </w:pPr>
      <w:r/>
    </w:p>
    <w:tbl>
      <w:tblPr>
        <w:tblStyle w:val="TableNormal"/>
        <w:tblW w:w="887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9"/>
        <w:gridCol w:w="2195"/>
        <w:gridCol w:w="3661"/>
        <w:gridCol w:w="2044"/>
      </w:tblGrid>
      <w:tr>
        <w:trPr>
          <w:trHeight w:val="403" w:hRule="atLeast"/>
        </w:trPr>
        <w:tc>
          <w:tcPr>
            <w:tcW w:w="979" w:type="dxa"/>
            <w:vAlign w:val="top"/>
          </w:tcPr>
          <w:p>
            <w:pPr>
              <w:pStyle w:val="TableText"/>
              <w:ind w:left="3"/>
              <w:spacing w:before="8" w:line="221" w:lineRule="auto"/>
              <w:rPr/>
            </w:pPr>
            <w:r>
              <w:rPr>
                <w:b/>
                <w:bCs/>
                <w:spacing w:val="-7"/>
              </w:rPr>
              <w:t>类型</w:t>
            </w:r>
          </w:p>
        </w:tc>
        <w:tc>
          <w:tcPr>
            <w:tcW w:w="2195" w:type="dxa"/>
            <w:vAlign w:val="top"/>
          </w:tcPr>
          <w:p>
            <w:pPr>
              <w:pStyle w:val="TableText"/>
              <w:ind w:left="134"/>
              <w:spacing w:before="8" w:line="221" w:lineRule="auto"/>
              <w:rPr/>
            </w:pPr>
            <w:r>
              <w:rPr>
                <w:b/>
                <w:bCs/>
                <w:spacing w:val="1"/>
              </w:rPr>
              <w:t>价格位(美元/盎司)</w:t>
            </w:r>
          </w:p>
        </w:tc>
        <w:tc>
          <w:tcPr>
            <w:tcW w:w="3661" w:type="dxa"/>
            <w:vAlign w:val="top"/>
          </w:tcPr>
          <w:p>
            <w:pPr>
              <w:pStyle w:val="TableText"/>
              <w:ind w:left="159"/>
              <w:spacing w:before="8" w:line="222" w:lineRule="auto"/>
              <w:rPr/>
            </w:pPr>
            <w:r>
              <w:rPr>
                <w:b/>
                <w:bCs/>
                <w:spacing w:val="-5"/>
              </w:rPr>
              <w:t>依据</w:t>
            </w:r>
          </w:p>
        </w:tc>
        <w:tc>
          <w:tcPr>
            <w:tcW w:w="2044" w:type="dxa"/>
            <w:vAlign w:val="top"/>
          </w:tcPr>
          <w:p>
            <w:pPr>
              <w:pStyle w:val="TableText"/>
              <w:ind w:left="178"/>
              <w:spacing w:line="221" w:lineRule="auto"/>
              <w:rPr/>
            </w:pPr>
            <w:r>
              <w:rPr>
                <w:b/>
                <w:bCs/>
                <w:spacing w:val="-5"/>
              </w:rPr>
              <w:t>预期作用</w:t>
            </w:r>
          </w:p>
        </w:tc>
      </w:tr>
      <w:tr>
        <w:trPr>
          <w:trHeight w:val="500" w:hRule="atLeast"/>
        </w:trPr>
        <w:tc>
          <w:tcPr>
            <w:tcW w:w="97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201" w:line="222" w:lineRule="auto"/>
              <w:rPr/>
            </w:pPr>
            <w:r>
              <w:rPr>
                <w:spacing w:val="-4"/>
              </w:rPr>
              <w:t>强支撑</w:t>
            </w:r>
          </w:p>
        </w:tc>
        <w:tc>
          <w:tcPr>
            <w:tcW w:w="2195" w:type="dxa"/>
            <w:vAlign w:val="top"/>
            <w:tcBorders>
              <w:bottom w:val="single" w:color="000000" w:sz="2" w:space="0"/>
            </w:tcBorders>
          </w:tcPr>
          <w:p>
            <w:pPr>
              <w:ind w:left="130"/>
              <w:spacing w:before="172" w:line="188" w:lineRule="auto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"/>
              </w:rPr>
              <w:t>4,400-4,360</w:t>
            </w:r>
          </w:p>
        </w:tc>
        <w:tc>
          <w:tcPr>
            <w:tcW w:w="366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6"/>
              <w:spacing w:before="187" w:line="219" w:lineRule="auto"/>
              <w:rPr/>
            </w:pPr>
            <w:r>
              <w:rPr>
                <w:spacing w:val="1"/>
              </w:rPr>
              <w:t>2025年多次测试区、50日均线集群</w:t>
            </w:r>
          </w:p>
        </w:tc>
        <w:tc>
          <w:tcPr>
            <w:tcW w:w="204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4"/>
              <w:spacing w:before="187" w:line="219" w:lineRule="auto"/>
              <w:rPr/>
            </w:pPr>
            <w:r>
              <w:rPr>
                <w:spacing w:val="-8"/>
              </w:rPr>
              <w:t>技术性回撤底线</w:t>
            </w:r>
          </w:p>
        </w:tc>
      </w:tr>
      <w:tr>
        <w:trPr>
          <w:trHeight w:val="608" w:hRule="atLeast"/>
        </w:trPr>
        <w:tc>
          <w:tcPr>
            <w:tcW w:w="9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306" w:line="222" w:lineRule="auto"/>
              <w:rPr/>
            </w:pPr>
            <w:r>
              <w:rPr>
                <w:spacing w:val="-2"/>
              </w:rPr>
              <w:t>次支撑</w:t>
            </w:r>
          </w:p>
        </w:tc>
        <w:tc>
          <w:tcPr>
            <w:tcW w:w="21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30"/>
              <w:spacing w:before="64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4,510</w:t>
            </w:r>
          </w:p>
        </w:tc>
        <w:tc>
          <w:tcPr>
            <w:tcW w:w="36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6"/>
              <w:spacing w:before="302" w:line="219" w:lineRule="auto"/>
              <w:rPr/>
            </w:pPr>
            <w:r>
              <w:rPr>
                <w:spacing w:val="-1"/>
              </w:rPr>
              <w:t>20日均线与前期突破位</w:t>
            </w:r>
          </w:p>
        </w:tc>
        <w:tc>
          <w:tcPr>
            <w:tcW w:w="20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4"/>
              <w:spacing w:before="293" w:line="221" w:lineRule="auto"/>
              <w:rPr/>
            </w:pPr>
            <w:r>
              <w:rPr>
                <w:spacing w:val="-8"/>
              </w:rPr>
              <w:t>短期反弹触发点</w:t>
            </w:r>
          </w:p>
        </w:tc>
      </w:tr>
      <w:tr>
        <w:trPr>
          <w:trHeight w:val="608" w:hRule="atLeast"/>
        </w:trPr>
        <w:tc>
          <w:tcPr>
            <w:tcW w:w="9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298" w:line="222" w:lineRule="auto"/>
              <w:rPr/>
            </w:pPr>
            <w:r>
              <w:rPr>
                <w:spacing w:val="-6"/>
              </w:rPr>
              <w:t>核心压力</w:t>
            </w:r>
          </w:p>
        </w:tc>
        <w:tc>
          <w:tcPr>
            <w:tcW w:w="219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0"/>
              <w:spacing w:before="299" w:line="21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4,700-4,800</w:t>
            </w:r>
          </w:p>
        </w:tc>
        <w:tc>
          <w:tcPr>
            <w:tcW w:w="366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6"/>
              <w:spacing w:before="283" w:line="222" w:lineRule="auto"/>
              <w:rPr/>
            </w:pPr>
            <w:r>
              <w:rPr>
                <w:spacing w:val="-5"/>
              </w:rPr>
              <w:t>通道上轨与心理关口</w:t>
            </w:r>
          </w:p>
        </w:tc>
        <w:tc>
          <w:tcPr>
            <w:tcW w:w="20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right="7"/>
              <w:spacing w:before="301" w:line="222" w:lineRule="auto"/>
              <w:jc w:val="right"/>
              <w:rPr/>
            </w:pPr>
            <w:r>
              <w:rPr>
                <w:spacing w:val="-1"/>
              </w:rPr>
              <w:t>突破后加速至5,000</w:t>
            </w:r>
          </w:p>
        </w:tc>
      </w:tr>
    </w:tbl>
    <w:p>
      <w:pPr>
        <w:pStyle w:val="BodyText"/>
        <w:spacing w:before="285" w:line="21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延伸压力</w:t>
      </w:r>
      <w:r>
        <w:rPr>
          <w:sz w:val="22"/>
          <w:szCs w:val="22"/>
          <w:spacing w:val="-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5,000                </w:t>
      </w:r>
      <w:r>
        <w:rPr>
          <w:sz w:val="22"/>
          <w:szCs w:val="22"/>
          <w:spacing w:val="-3"/>
        </w:rPr>
        <w:t>高盛与</w:t>
      </w:r>
      <w:r>
        <w:rPr>
          <w:rFonts w:ascii="Arial" w:hAnsi="Arial" w:eastAsia="Arial" w:cs="Arial"/>
          <w:sz w:val="22"/>
          <w:szCs w:val="22"/>
          <w:spacing w:val="-3"/>
        </w:rPr>
        <w:t>Citigroup</w:t>
      </w:r>
      <w:r>
        <w:rPr>
          <w:sz w:val="22"/>
          <w:szCs w:val="22"/>
          <w:spacing w:val="-4"/>
        </w:rPr>
        <w:t>目标、历史涨幅投射</w:t>
      </w:r>
      <w:r>
        <w:rPr>
          <w:sz w:val="22"/>
          <w:szCs w:val="22"/>
          <w:spacing w:val="-4"/>
        </w:rPr>
        <w:t xml:space="preserve">  </w:t>
      </w:r>
      <w:r>
        <w:rPr>
          <w:sz w:val="22"/>
          <w:szCs w:val="22"/>
          <w:spacing w:val="-4"/>
        </w:rPr>
        <w:t>多头终极目标</w:t>
      </w:r>
    </w:p>
    <w:p>
      <w:pPr>
        <w:spacing w:line="474" w:lineRule="auto"/>
        <w:rPr>
          <w:rFonts w:ascii="Arial"/>
          <w:sz w:val="21"/>
        </w:rPr>
      </w:pPr>
      <w:r/>
    </w:p>
    <w:p>
      <w:pPr>
        <w:pStyle w:val="BodyText"/>
        <w:ind w:right="121"/>
        <w:spacing w:before="72" w:line="363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潜在局限性：技术位的有效性可能受基本面突发事件干扰。适用条件：适用于中短期交易，在强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8"/>
        </w:rPr>
        <w:t>趋势中通道支撑更可靠。</w:t>
      </w:r>
    </w:p>
    <w:p>
      <w:pPr>
        <w:pStyle w:val="BodyText"/>
        <w:ind w:left="4"/>
        <w:spacing w:before="303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七、主要风险提示</w:t>
      </w:r>
    </w:p>
    <w:p>
      <w:pPr>
        <w:pStyle w:val="BodyText"/>
        <w:ind w:right="73"/>
        <w:spacing w:before="230" w:line="362" w:lineRule="auto"/>
        <w:jc w:val="both"/>
        <w:rPr>
          <w:sz w:val="22"/>
          <w:szCs w:val="22"/>
        </w:rPr>
      </w:pPr>
      <w:r>
        <w:rPr>
          <w:sz w:val="22"/>
          <w:szCs w:val="22"/>
          <w:spacing w:val="23"/>
        </w:rPr>
        <w:t>主要风险包括：美元意外强势(若</w:t>
      </w:r>
      <w:r>
        <w:rPr>
          <w:rFonts w:ascii="Times New Roman" w:hAnsi="Times New Roman" w:eastAsia="Times New Roman" w:cs="Times New Roman"/>
          <w:sz w:val="22"/>
          <w:szCs w:val="22"/>
        </w:rPr>
        <w:t>Fed</w:t>
      </w:r>
      <w:r>
        <w:rPr>
          <w:rFonts w:ascii="Times New Roman" w:hAnsi="Times New Roman" w:eastAsia="Times New Roman" w:cs="Times New Roman"/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23"/>
        </w:rPr>
        <w:t>暂停降息</w:t>
      </w:r>
      <w:r>
        <w:rPr>
          <w:sz w:val="22"/>
          <w:szCs w:val="22"/>
          <w:spacing w:val="22"/>
        </w:rPr>
        <w:t>)、量化紧缩延续导致流动性收紧、通胀超预期回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4"/>
        </w:rPr>
        <w:t>落削弱对冲需求。据</w:t>
      </w:r>
      <w:r>
        <w:rPr>
          <w:rFonts w:ascii="SimSun" w:hAnsi="SimSun" w:eastAsia="SimSun" w:cs="SimSun"/>
          <w:sz w:val="22"/>
          <w:szCs w:val="22"/>
          <w:spacing w:val="24"/>
        </w:rPr>
        <w:t>J.P.</w:t>
      </w:r>
      <w:r>
        <w:rPr>
          <w:rFonts w:ascii="SimSun" w:hAnsi="SimSun" w:eastAsia="SimSun" w:cs="SimSun"/>
          <w:sz w:val="22"/>
          <w:szCs w:val="22"/>
        </w:rPr>
        <w:t>Morgan</w:t>
      </w:r>
      <w:r>
        <w:rPr>
          <w:rFonts w:ascii="SimSun" w:hAnsi="SimSun" w:eastAsia="SimSun" w:cs="SimSun"/>
          <w:sz w:val="22"/>
          <w:szCs w:val="22"/>
          <w:spacing w:val="90"/>
        </w:rPr>
        <w:t xml:space="preserve"> </w:t>
      </w:r>
      <w:r>
        <w:rPr>
          <w:sz w:val="22"/>
          <w:szCs w:val="22"/>
          <w:spacing w:val="24"/>
        </w:rPr>
        <w:t>研究(2025年12月),2026年若无进</w:t>
      </w:r>
      <w:r>
        <w:rPr>
          <w:sz w:val="22"/>
          <w:szCs w:val="22"/>
          <w:spacing w:val="-66"/>
        </w:rPr>
        <w:t xml:space="preserve"> </w:t>
      </w:r>
      <w:r>
        <w:rPr>
          <w:sz w:val="22"/>
          <w:szCs w:val="22"/>
          <w:spacing w:val="24"/>
        </w:rPr>
        <w:t>一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24"/>
        </w:rPr>
        <w:t>步降息，价格可能回调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1"/>
        </w:rPr>
        <w:t>15%。建议投资者关注美联储会议纪要与地缘动态。</w:t>
      </w:r>
    </w:p>
    <w:p>
      <w:pPr>
        <w:pStyle w:val="BodyText"/>
        <w:ind w:left="4"/>
        <w:spacing w:before="325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9"/>
        </w:rPr>
        <w:t>八、战略性配置建议</w:t>
      </w:r>
    </w:p>
    <w:p>
      <w:pPr>
        <w:pStyle w:val="BodyText"/>
        <w:ind w:right="34"/>
        <w:spacing w:before="213" w:line="354" w:lineRule="auto"/>
        <w:rPr>
          <w:sz w:val="22"/>
          <w:szCs w:val="22"/>
        </w:rPr>
      </w:pPr>
      <w:r>
        <w:rPr>
          <w:sz w:val="22"/>
          <w:szCs w:val="22"/>
          <w:spacing w:val="26"/>
        </w:rPr>
        <w:t>在全球资产配置框架下，建议维持黄金配置比重8%-</w:t>
      </w:r>
      <w:r>
        <w:rPr>
          <w:sz w:val="22"/>
          <w:szCs w:val="22"/>
          <w:spacing w:val="-63"/>
        </w:rPr>
        <w:t xml:space="preserve"> </w:t>
      </w:r>
      <w:r>
        <w:rPr>
          <w:sz w:val="22"/>
          <w:szCs w:val="22"/>
          <w:spacing w:val="26"/>
        </w:rPr>
        <w:t>12%,作为对冲股票与债券相</w:t>
      </w:r>
      <w:r>
        <w:rPr>
          <w:sz w:val="22"/>
          <w:szCs w:val="22"/>
          <w:spacing w:val="25"/>
        </w:rPr>
        <w:t>关性上升的风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5"/>
        </w:rPr>
        <w:t>险。据世界黄金协会调查，95%央行计划2026年增持黄金。黄金配置可与货币体系去美元化趋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23"/>
        </w:rPr>
        <w:t>势、全球债务可持续性以及矿业</w:t>
      </w:r>
      <w:r>
        <w:rPr>
          <w:rFonts w:ascii="Times New Roman" w:hAnsi="Times New Roman" w:eastAsia="Times New Roman" w:cs="Times New Roman"/>
          <w:sz w:val="22"/>
          <w:szCs w:val="22"/>
        </w:rPr>
        <w:t>ESG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  </w:t>
      </w:r>
      <w:r>
        <w:rPr>
          <w:sz w:val="22"/>
          <w:szCs w:val="22"/>
          <w:spacing w:val="23"/>
        </w:rPr>
        <w:t>(环境、社会、治理)转型关联，在一定程度上支持可持续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18"/>
        </w:rPr>
        <w:t>发展目标</w:t>
      </w:r>
      <w:r>
        <w:rPr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18"/>
        </w:rPr>
        <w:t>(</w:t>
      </w:r>
      <w:r>
        <w:rPr>
          <w:rFonts w:ascii="Arial" w:hAnsi="Arial" w:eastAsia="Arial" w:cs="Arial"/>
          <w:sz w:val="22"/>
          <w:szCs w:val="22"/>
        </w:rPr>
        <w:t>SDGs</w:t>
      </w:r>
      <w:r>
        <w:rPr>
          <w:rFonts w:ascii="Arial" w:hAnsi="Arial" w:eastAsia="Arial" w:cs="Arial"/>
          <w:sz w:val="22"/>
          <w:szCs w:val="22"/>
          <w:spacing w:val="18"/>
        </w:rPr>
        <w:t>)    </w:t>
      </w:r>
      <w:r>
        <w:rPr>
          <w:sz w:val="22"/>
          <w:szCs w:val="22"/>
          <w:spacing w:val="18"/>
        </w:rPr>
        <w:t>中的负责消费与生产议题。建议投资者在</w:t>
      </w:r>
      <w:r>
        <w:rPr>
          <w:sz w:val="22"/>
          <w:szCs w:val="22"/>
          <w:spacing w:val="17"/>
        </w:rPr>
        <w:t>实际利率下行窗口择机增配</w:t>
      </w:r>
      <w:r>
        <w:rPr>
          <w:rFonts w:ascii="Arial" w:hAnsi="Arial" w:eastAsia="Arial" w:cs="Arial"/>
          <w:sz w:val="22"/>
          <w:szCs w:val="22"/>
        </w:rPr>
        <w:t>ETF</w:t>
      </w:r>
      <w:r>
        <w:rPr>
          <w:sz w:val="22"/>
          <w:szCs w:val="22"/>
          <w:spacing w:val="17"/>
        </w:rPr>
        <w:t>或实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4"/>
        </w:rPr>
        <w:t>物黄金。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3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2"/>
        </w:rPr>
        <w:t>九、结论</w:t>
      </w:r>
    </w:p>
    <w:p>
      <w:pPr>
        <w:pStyle w:val="BodyText"/>
        <w:spacing w:before="206" w:line="356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数据显示，黄金自2010年以来已从周期性资产演变为结构性战略资产，与文化强国战略无关，但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2"/>
        </w:rPr>
        <w:t>高度契合全球资产多元化、地缘政治平衡以及货币体系演变大格局。在一定假设下，2026年价格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1"/>
        </w:rPr>
        <w:t>倾向于高位巩固，但需审慎应对宏观变量波动。黄</w:t>
      </w:r>
      <w:r>
        <w:rPr>
          <w:sz w:val="22"/>
          <w:szCs w:val="22"/>
          <w:spacing w:val="20"/>
        </w:rPr>
        <w:t>金的投资价值，不仅在于短期回报，更在于其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18"/>
        </w:rPr>
        <w:t>在不确定性时代下的长期保值功能。</w:t>
      </w:r>
    </w:p>
    <w:p>
      <w:pPr>
        <w:spacing w:line="356" w:lineRule="auto"/>
        <w:sectPr>
          <w:pgSz w:w="12240" w:h="15840"/>
          <w:pgMar w:top="1186" w:right="1051" w:bottom="0" w:left="970" w:header="0" w:footer="0" w:gutter="0"/>
        </w:sectPr>
        <w:rPr>
          <w:sz w:val="22"/>
          <w:szCs w:val="22"/>
        </w:rPr>
      </w:pPr>
    </w:p>
    <w:p>
      <w:pPr>
        <w:pStyle w:val="BodyText"/>
        <w:ind w:left="148" w:right="6106" w:hanging="148"/>
        <w:spacing w:before="61" w:line="330" w:lineRule="auto"/>
        <w:rPr>
          <w:sz w:val="23"/>
          <w:szCs w:val="23"/>
        </w:rPr>
      </w:pPr>
      <w:r>
        <w:rPr>
          <w:sz w:val="30"/>
          <w:szCs w:val="30"/>
          <w:b/>
          <w:bCs/>
          <w:spacing w:val="-4"/>
        </w:rPr>
        <w:t>十、核心结论可视化摘要</w:t>
      </w:r>
      <w:r>
        <w:rPr>
          <w:sz w:val="30"/>
          <w:szCs w:val="30"/>
          <w:spacing w:val="1"/>
        </w:rPr>
        <w:t xml:space="preserve"> </w:t>
      </w:r>
      <w:r>
        <w:rPr>
          <w:sz w:val="23"/>
          <w:szCs w:val="23"/>
          <w:b/>
          <w:bCs/>
          <w:spacing w:val="4"/>
        </w:rPr>
        <w:t>(思维导图格式文本呈现)</w:t>
      </w:r>
    </w:p>
    <w:tbl>
      <w:tblPr>
        <w:tblStyle w:val="TableNormal"/>
        <w:tblW w:w="7360" w:type="dxa"/>
        <w:tblInd w:w="65" w:type="dxa"/>
        <w:tblLayout w:type="fixed"/>
        <w:tblBorders>
          <w:left w:val="single" w:color="000000" w:sz="4" w:space="0"/>
          <w:bottom w:val="single" w:color="000000" w:sz="4" w:space="0"/>
          <w:top w:val="single" w:color="000000" w:sz="4" w:space="0"/>
        </w:tblBorders>
      </w:tblPr>
      <w:tblGrid>
        <w:gridCol w:w="7360"/>
      </w:tblGrid>
      <w:tr>
        <w:trPr>
          <w:trHeight w:val="6319" w:hRule="atLeast"/>
        </w:trPr>
        <w:tc>
          <w:tcPr>
            <w:tcW w:w="7360" w:type="dxa"/>
            <w:vAlign w:val="top"/>
          </w:tcPr>
          <w:p>
            <w:pPr>
              <w:ind w:left="695"/>
              <w:spacing w:before="236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text</w:t>
            </w:r>
          </w:p>
          <w:p>
            <w:pPr>
              <w:ind w:left="695"/>
              <w:spacing w:before="285"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核心结论：2026年黄金倾向高位巩固(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基线4,600-4,900美元)</w:t>
            </w:r>
          </w:p>
          <w:p>
            <w:pPr>
              <w:ind w:left="695"/>
              <w:spacing w:before="254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十</w:t>
            </w:r>
            <w:r>
              <w:rPr>
                <w:rFonts w:ascii="SimSun" w:hAnsi="SimSun" w:eastAsia="SimSun" w:cs="SimSun"/>
                <w:sz w:val="23"/>
                <w:szCs w:val="23"/>
                <w:spacing w:val="2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未来趋势可能性</w:t>
            </w:r>
          </w:p>
          <w:p>
            <w:pPr>
              <w:ind w:left="695" w:right="689"/>
              <w:spacing w:before="135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十 基线情景(55%):软着陆+适度降息→价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格巩固上涨5%-12%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—看涨情景(30%):衰退+央行加速购金→突破5,</w:t>
            </w:r>
            <w:r>
              <w:rPr>
                <w:rFonts w:ascii="SimSun" w:hAnsi="SimSun" w:eastAsia="SimSun" w:cs="SimSun"/>
                <w:sz w:val="23"/>
                <w:szCs w:val="23"/>
                <w:spacing w:val="-4"/>
              </w:rPr>
              <w:t>000美元</w:t>
            </w:r>
          </w:p>
          <w:p>
            <w:pPr>
              <w:ind w:left="1644" w:right="1227" w:hanging="940"/>
              <w:spacing w:before="99" w:line="23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4"/>
              </w:rPr>
              <w:t>—看跌情景(15%):美元强势+QT延续→</w:t>
            </w:r>
            <w:r>
              <w:rPr>
                <w:rFonts w:ascii="SimSun" w:hAnsi="SimSun" w:eastAsia="SimSun" w:cs="SimSun"/>
                <w:sz w:val="23"/>
                <w:szCs w:val="23"/>
                <w:spacing w:val="-8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4"/>
              </w:rPr>
              <w:t>回调至4</w:t>
            </w:r>
            <w:r>
              <w:rPr>
                <w:rFonts w:ascii="SimSun" w:hAnsi="SimSun" w:eastAsia="SimSun" w:cs="SimSun"/>
                <w:sz w:val="23"/>
                <w:szCs w:val="23"/>
                <w:spacing w:val="-5"/>
              </w:rPr>
              <w:t>,000区间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触发条件：通胀超预期回落或地缘缓和</w:t>
            </w:r>
          </w:p>
          <w:p>
            <w:pPr>
              <w:ind w:left="695"/>
              <w:spacing w:before="262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关键支撑枢纽</w:t>
            </w:r>
          </w:p>
          <w:p>
            <w:pPr>
              <w:ind w:left="695"/>
              <w:spacing w:before="133"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十 强支撑：4,400-4,360(50日均线集群，2025多次验证)</w:t>
            </w:r>
          </w:p>
          <w:p>
            <w:pPr>
              <w:ind w:left="695"/>
              <w:spacing w:before="71"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—次支撑：4,510(短期均线，快速反弹触发)</w:t>
            </w:r>
          </w:p>
          <w:p>
            <w:pPr>
              <w:ind w:left="695" w:right="2160"/>
              <w:spacing w:before="153" w:line="35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L失效条件：跌破伴随成交量放大→转向中性</w:t>
            </w:r>
            <w:r>
              <w:rPr>
                <w:rFonts w:ascii="SimSun" w:hAnsi="SimSun" w:eastAsia="SimSun" w:cs="SimSun"/>
                <w:sz w:val="23"/>
                <w:szCs w:val="23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关键压力关卡</w:t>
            </w:r>
          </w:p>
          <w:p>
            <w:pPr>
              <w:ind w:left="695"/>
              <w:spacing w:before="1"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—核心压力：4,700-4,800(上升通道上轨，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心理关口)</w:t>
            </w:r>
          </w:p>
          <w:p>
            <w:pPr>
              <w:ind w:left="1134" w:right="949" w:hanging="410"/>
              <w:spacing w:before="29" w:line="27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十 延伸目标：5,000(机构共识终极位，高盛/</w:t>
            </w:r>
            <w:r>
              <w:rPr>
                <w:rFonts w:ascii="SimSun" w:hAnsi="SimSun" w:eastAsia="SimSun" w:cs="SimSun"/>
                <w:sz w:val="23"/>
                <w:szCs w:val="23"/>
              </w:rPr>
              <w:t>Citi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投射)</w:t>
            </w:r>
            <w:r>
              <w:rPr>
                <w:rFonts w:ascii="SimSun" w:hAnsi="SimSun" w:eastAsia="SimSun" w:cs="SimSun"/>
                <w:sz w:val="23"/>
                <w:szCs w:val="23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</w:rPr>
              <w:t>突破条件：实际利率快速下行+地缘事件催化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2240" w:h="15840"/>
      <w:pgMar w:top="1235" w:right="1836" w:bottom="0" w:left="100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2026-03-16T00:00:41</vt:filetime>
  </property>
  <property fmtid="{D5CDD505-2E9C-101B-9397-08002B2CF9AE}" pid="4" name="UsrData">
    <vt:lpwstr>69b6d7a66314910020303ec5wl</vt:lpwstr>
  </property>
</Properties>
</file>