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"/>
        <w:spacing w:before="4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1"/>
        </w:rPr>
        <w:t>黄金价格走势分析报告(2010年至202</w:t>
      </w:r>
      <w:r>
        <w:rPr>
          <w:rFonts w:ascii="SimHei" w:hAnsi="SimHei" w:eastAsia="SimHei" w:cs="SimHei"/>
          <w:sz w:val="24"/>
          <w:szCs w:val="24"/>
          <w:b/>
          <w:bCs/>
          <w:spacing w:val="10"/>
        </w:rPr>
        <w:t>6年2月)及未来趋势思维导图式解读</w:t>
      </w:r>
    </w:p>
    <w:p>
      <w:pPr>
        <w:spacing w:before="267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13"/>
        </w:rPr>
        <w:t>报告日期：2026年2月25日</w:t>
      </w:r>
    </w:p>
    <w:p>
      <w:pPr>
        <w:spacing w:before="111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数据基准：主要参考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Macrotrends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Goldprice.org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USA              Gold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J.P.Mor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gan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Goldman</w:t>
      </w:r>
    </w:p>
    <w:p>
      <w:pPr>
        <w:spacing w:before="175" w:line="21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Sachs</w:t>
      </w:r>
      <w:r>
        <w:rPr>
          <w:rFonts w:ascii="SimSun" w:hAnsi="SimSun" w:eastAsia="SimSun" w:cs="SimSun"/>
          <w:sz w:val="24"/>
          <w:szCs w:val="24"/>
          <w:spacing w:val="10"/>
        </w:rPr>
        <w:t>、</w:t>
      </w:r>
      <w:r>
        <w:rPr>
          <w:rFonts w:ascii="SimSun" w:hAnsi="SimSun" w:eastAsia="SimSun" w:cs="SimSun"/>
          <w:sz w:val="24"/>
          <w:szCs w:val="24"/>
        </w:rPr>
        <w:t>RBC</w:t>
      </w:r>
      <w:r>
        <w:rPr>
          <w:rFonts w:ascii="SimSun" w:hAnsi="SimSun" w:eastAsia="SimSun" w:cs="SimSun"/>
          <w:sz w:val="24"/>
          <w:szCs w:val="24"/>
          <w:spacing w:val="10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Capital</w:t>
      </w:r>
      <w:r>
        <w:rPr>
          <w:rFonts w:ascii="SimSun" w:hAnsi="SimSun" w:eastAsia="SimSun" w:cs="SimSun"/>
          <w:sz w:val="24"/>
          <w:szCs w:val="24"/>
          <w:spacing w:val="7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Markets</w:t>
      </w:r>
      <w:r>
        <w:rPr>
          <w:rFonts w:ascii="SimHei" w:hAnsi="SimHei" w:eastAsia="SimHei" w:cs="SimHei"/>
          <w:sz w:val="24"/>
          <w:szCs w:val="24"/>
          <w:spacing w:val="10"/>
        </w:rPr>
        <w:t>等权威来源的历史数据与最新预测(截至2026年2月25日)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4"/>
        <w:spacing w:before="98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1"/>
        </w:rPr>
        <w:t>一、2010-2026年黄金价格主要阶段回顾</w:t>
      </w:r>
    </w:p>
    <w:p>
      <w:pPr>
        <w:spacing w:before="221" w:line="32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5"/>
        </w:rPr>
        <w:t>自2010年以来，黄金经历了完整的多周期轮动：从后金</w:t>
      </w:r>
      <w:r>
        <w:rPr>
          <w:rFonts w:ascii="SimHei" w:hAnsi="SimHei" w:eastAsia="SimHei" w:cs="SimHei"/>
          <w:sz w:val="24"/>
          <w:szCs w:val="24"/>
          <w:spacing w:val="4"/>
        </w:rPr>
        <w:t>融危机牛市高点→长达5-6年的熊市/震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1"/>
        </w:rPr>
        <w:t>荡→疫情驱动的新一轮超级牛市→2025-2026年加速破</w:t>
      </w:r>
      <w:r>
        <w:rPr>
          <w:rFonts w:ascii="SimHei" w:hAnsi="SimHei" w:eastAsia="SimHei" w:cs="SimHei"/>
          <w:sz w:val="24"/>
          <w:szCs w:val="24"/>
          <w:spacing w:val="10"/>
        </w:rPr>
        <w:t>纪录阶段。</w:t>
      </w:r>
    </w:p>
    <w:p>
      <w:pPr>
        <w:spacing w:line="324" w:lineRule="auto"/>
        <w:sectPr>
          <w:pgSz w:w="12240" w:h="15840"/>
          <w:pgMar w:top="1136" w:right="1212" w:bottom="0" w:left="980" w:header="0" w:footer="0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spacing w:before="49" w:line="222" w:lineRule="auto"/>
        <w:outlineLvl w:val="0"/>
        <w:rPr/>
      </w:pPr>
      <w:r>
        <w:rPr>
          <w:b/>
          <w:bCs/>
          <w:spacing w:val="9"/>
        </w:rPr>
        <w:t>1.2010-2012年：后危机避险牛市尾声</w:t>
      </w:r>
    </w:p>
    <w:p>
      <w:pPr>
        <w:pStyle w:val="BodyText"/>
        <w:ind w:left="676"/>
        <w:spacing w:before="285" w:line="223" w:lineRule="auto"/>
        <w:rPr/>
      </w:pPr>
      <w:r>
        <w:rPr>
          <w:spacing w:val="12"/>
        </w:rPr>
        <w:t>·</w:t>
      </w:r>
      <w:r>
        <w:rPr>
          <w:spacing w:val="-95"/>
        </w:rPr>
        <w:t xml:space="preserve"> </w:t>
      </w:r>
      <w:r>
        <w:rPr>
          <w:spacing w:val="12"/>
        </w:rPr>
        <w:t>2010年开盘≈$1,095</w:t>
      </w:r>
      <w:r>
        <w:rPr>
          <w:spacing w:val="-88"/>
        </w:rPr>
        <w:t xml:space="preserve"> </w:t>
      </w:r>
      <w:r>
        <w:rPr>
          <w:spacing w:val="12"/>
        </w:rPr>
        <w:t>→年底$1,421(+</w:t>
      </w:r>
      <w:r>
        <w:rPr>
          <w:spacing w:val="11"/>
        </w:rPr>
        <w:t>29.7%)</w:t>
      </w:r>
    </w:p>
    <w:p>
      <w:pPr>
        <w:pStyle w:val="BodyText"/>
        <w:ind w:left="676"/>
        <w:spacing w:before="227" w:line="222" w:lineRule="auto"/>
        <w:rPr/>
      </w:pPr>
      <w:r>
        <w:rPr>
          <w:spacing w:val="5"/>
        </w:rPr>
        <w:t>·</w:t>
      </w:r>
      <w:r>
        <w:rPr>
          <w:spacing w:val="-99"/>
        </w:rPr>
        <w:t xml:space="preserve"> </w:t>
      </w:r>
      <w:r>
        <w:rPr>
          <w:spacing w:val="5"/>
        </w:rPr>
        <w:t>2011年创历史高点$1,921(8月)</w:t>
      </w:r>
    </w:p>
    <w:p>
      <w:pPr>
        <w:pStyle w:val="BodyText"/>
        <w:ind w:left="676"/>
        <w:spacing w:before="250" w:line="213" w:lineRule="auto"/>
        <w:rPr/>
      </w:pPr>
      <w:r>
        <w:rPr>
          <w:spacing w:val="2"/>
        </w:rPr>
        <w:t>·2012年仍维持高位震荡，年收$1,675</w:t>
      </w:r>
    </w:p>
    <w:p>
      <w:pPr>
        <w:pStyle w:val="BodyText"/>
        <w:ind w:left="676"/>
        <w:spacing w:before="263" w:line="221" w:lineRule="auto"/>
        <w:rPr/>
      </w:pPr>
      <w:r>
        <w:rPr>
          <w:spacing w:val="-5"/>
        </w:rPr>
        <w:t>·驱动因素：</w:t>
      </w:r>
      <w:r>
        <w:rPr>
          <w:rFonts w:ascii="SimSun" w:hAnsi="SimSun" w:eastAsia="SimSun" w:cs="SimSun"/>
          <w:spacing w:val="-5"/>
        </w:rPr>
        <w:t>QE </w:t>
      </w:r>
      <w:r>
        <w:rPr>
          <w:spacing w:val="-5"/>
        </w:rPr>
        <w:t>宽松、地缘风险、金融系统恐慌</w:t>
      </w:r>
    </w:p>
    <w:p>
      <w:pPr>
        <w:pStyle w:val="BodyText"/>
        <w:spacing w:before="299" w:line="221" w:lineRule="auto"/>
        <w:outlineLvl w:val="0"/>
        <w:rPr/>
      </w:pPr>
      <w:r>
        <w:rPr>
          <w:b/>
          <w:bCs/>
          <w:spacing w:val="8"/>
        </w:rPr>
        <w:t>2.2013-2015年：美联储缩表+实际利率上升熊市</w:t>
      </w:r>
    </w:p>
    <w:p>
      <w:pPr>
        <w:pStyle w:val="BodyText"/>
        <w:ind w:left="676"/>
        <w:spacing w:before="278" w:line="222" w:lineRule="auto"/>
        <w:rPr/>
      </w:pPr>
      <w:r>
        <w:rPr>
          <w:spacing w:val="12"/>
        </w:rPr>
        <w:t>·</w:t>
      </w:r>
      <w:r>
        <w:rPr>
          <w:spacing w:val="-86"/>
        </w:rPr>
        <w:t xml:space="preserve"> </w:t>
      </w:r>
      <w:r>
        <w:rPr>
          <w:spacing w:val="12"/>
        </w:rPr>
        <w:t>2013年暴跌28%(从$1,675</w:t>
      </w:r>
      <w:r>
        <w:rPr>
          <w:spacing w:val="-85"/>
        </w:rPr>
        <w:t xml:space="preserve"> </w:t>
      </w:r>
      <w:r>
        <w:rPr>
          <w:spacing w:val="12"/>
        </w:rPr>
        <w:t>→</w:t>
      </w:r>
      <w:r>
        <w:rPr>
          <w:spacing w:val="-87"/>
        </w:rPr>
        <w:t xml:space="preserve"> </w:t>
      </w:r>
      <w:r>
        <w:rPr>
          <w:spacing w:val="12"/>
        </w:rPr>
        <w:t>$1,206)</w:t>
      </w:r>
    </w:p>
    <w:p>
      <w:pPr>
        <w:pStyle w:val="BodyText"/>
        <w:ind w:left="676"/>
        <w:spacing w:before="242" w:line="223" w:lineRule="auto"/>
        <w:rPr/>
      </w:pPr>
      <w:r>
        <w:rPr>
          <w:spacing w:val="5"/>
        </w:rPr>
        <w:t>·</w:t>
      </w:r>
      <w:r>
        <w:rPr>
          <w:spacing w:val="-84"/>
        </w:rPr>
        <w:t xml:space="preserve"> </w:t>
      </w:r>
      <w:r>
        <w:rPr>
          <w:spacing w:val="5"/>
        </w:rPr>
        <w:t>2015年底触底≈$1,050-$1,060区间</w:t>
      </w:r>
    </w:p>
    <w:p>
      <w:pPr>
        <w:pStyle w:val="BodyText"/>
        <w:ind w:left="676"/>
        <w:spacing w:before="248" w:line="221" w:lineRule="auto"/>
        <w:rPr/>
      </w:pPr>
      <w:r>
        <w:rPr>
          <w:spacing w:val="-5"/>
        </w:rPr>
        <w:t>·核心压力：美元指数强势、美联储加息周期启动</w:t>
      </w:r>
    </w:p>
    <w:p>
      <w:pPr>
        <w:pStyle w:val="BodyText"/>
        <w:spacing w:before="299" w:line="222" w:lineRule="auto"/>
        <w:outlineLvl w:val="0"/>
        <w:rPr/>
      </w:pPr>
      <w:r>
        <w:rPr>
          <w:b/>
          <w:bCs/>
          <w:spacing w:val="11"/>
        </w:rPr>
        <w:t>3.2016-2019年：底部震荡筑基期</w:t>
      </w:r>
    </w:p>
    <w:p>
      <w:pPr>
        <w:pStyle w:val="BodyText"/>
        <w:ind w:left="676"/>
        <w:spacing w:before="267" w:line="222" w:lineRule="auto"/>
        <w:rPr/>
      </w:pPr>
      <w:r>
        <w:rPr>
          <w:spacing w:val="5"/>
        </w:rPr>
        <w:t>·2016-2019年主要在$1,100-$1,400区间横盘</w:t>
      </w:r>
    </w:p>
    <w:p>
      <w:pPr>
        <w:pStyle w:val="BodyText"/>
        <w:ind w:left="676"/>
        <w:spacing w:before="250" w:line="222" w:lineRule="auto"/>
        <w:rPr/>
      </w:pPr>
      <w:r>
        <w:rPr>
          <w:spacing w:val="2"/>
        </w:rPr>
        <w:t>·2019年受贸易战+降息预期反弹至$1,550附近</w:t>
      </w:r>
    </w:p>
    <w:p>
      <w:pPr>
        <w:pStyle w:val="BodyText"/>
        <w:spacing w:before="307" w:line="221" w:lineRule="auto"/>
        <w:outlineLvl w:val="0"/>
        <w:rPr/>
      </w:pPr>
      <w:r>
        <w:rPr>
          <w:b/>
          <w:bCs/>
          <w:spacing w:val="13"/>
        </w:rPr>
        <w:t>4.2020-2023年：疫情+通胀+去美元化新牛市启动</w:t>
      </w:r>
    </w:p>
    <w:p>
      <w:pPr>
        <w:pStyle w:val="BodyText"/>
        <w:ind w:left="676"/>
        <w:spacing w:before="256" w:line="221" w:lineRule="auto"/>
        <w:rPr/>
      </w:pPr>
      <w:r>
        <w:rPr>
          <w:spacing w:val="16"/>
        </w:rPr>
        <w:t>·</w:t>
      </w:r>
      <w:r>
        <w:rPr>
          <w:spacing w:val="-84"/>
        </w:rPr>
        <w:t xml:space="preserve"> </w:t>
      </w:r>
      <w:r>
        <w:rPr>
          <w:spacing w:val="16"/>
        </w:rPr>
        <w:t>2020年暴涨25%(触及$2,070历史新高)</w:t>
      </w:r>
    </w:p>
    <w:p>
      <w:pPr>
        <w:pStyle w:val="BodyText"/>
        <w:ind w:left="676"/>
        <w:spacing w:before="254" w:line="222" w:lineRule="auto"/>
        <w:rPr/>
      </w:pPr>
      <w:r>
        <w:rPr>
          <w:spacing w:val="8"/>
        </w:rPr>
        <w:t>·</w:t>
      </w:r>
      <w:r>
        <w:rPr>
          <w:spacing w:val="-80"/>
        </w:rPr>
        <w:t xml:space="preserve"> </w:t>
      </w:r>
      <w:r>
        <w:rPr>
          <w:spacing w:val="8"/>
        </w:rPr>
        <w:t>2022年高位震荡(俄乌冲突推高至$2,070附近)</w:t>
      </w:r>
    </w:p>
    <w:p>
      <w:pPr>
        <w:pStyle w:val="BodyText"/>
        <w:ind w:left="676"/>
        <w:spacing w:before="263" w:line="223" w:lineRule="auto"/>
        <w:rPr/>
      </w:pPr>
      <w:r>
        <w:rPr>
          <w:spacing w:val="5"/>
        </w:rPr>
        <w:t>·</w:t>
      </w:r>
      <w:r>
        <w:rPr>
          <w:spacing w:val="-94"/>
        </w:rPr>
        <w:t xml:space="preserve"> </w:t>
      </w:r>
      <w:r>
        <w:rPr>
          <w:spacing w:val="5"/>
        </w:rPr>
        <w:t>2023年温和上涨至$2,063年收盘</w:t>
      </w:r>
    </w:p>
    <w:p>
      <w:pPr>
        <w:pStyle w:val="BodyText"/>
        <w:spacing w:before="294" w:line="221" w:lineRule="auto"/>
        <w:outlineLvl w:val="0"/>
        <w:rPr/>
      </w:pPr>
      <w:r>
        <w:rPr>
          <w:b/>
          <w:bCs/>
          <w:spacing w:val="14"/>
        </w:rPr>
        <w:t>5.2024-2025年：加速超级牛市阶段</w:t>
      </w:r>
    </w:p>
    <w:p>
      <w:pPr>
        <w:pStyle w:val="BodyText"/>
        <w:ind w:left="676"/>
        <w:spacing w:before="269" w:line="223" w:lineRule="auto"/>
        <w:rPr/>
      </w:pPr>
      <w:r>
        <w:rPr>
          <w:spacing w:val="15"/>
        </w:rPr>
        <w:t>·</w:t>
      </w:r>
      <w:r>
        <w:rPr>
          <w:spacing w:val="-68"/>
        </w:rPr>
        <w:t xml:space="preserve"> </w:t>
      </w:r>
      <w:r>
        <w:rPr>
          <w:spacing w:val="15"/>
        </w:rPr>
        <w:t>2024年+27%</w:t>
      </w:r>
      <w:r>
        <w:rPr>
          <w:spacing w:val="-77"/>
        </w:rPr>
        <w:t xml:space="preserve"> </w:t>
      </w:r>
      <w:r>
        <w:rPr>
          <w:spacing w:val="15"/>
        </w:rPr>
        <w:t>→</w:t>
      </w:r>
      <w:r>
        <w:rPr>
          <w:spacing w:val="-82"/>
        </w:rPr>
        <w:t xml:space="preserve"> </w:t>
      </w:r>
      <w:r>
        <w:rPr>
          <w:spacing w:val="15"/>
        </w:rPr>
        <w:t>年收≈$2,624</w:t>
      </w:r>
    </w:p>
    <w:p>
      <w:pPr>
        <w:pStyle w:val="BodyText"/>
        <w:ind w:left="676"/>
        <w:spacing w:before="247" w:line="221" w:lineRule="auto"/>
        <w:rPr/>
      </w:pPr>
      <w:r>
        <w:rPr>
          <w:spacing w:val="14"/>
        </w:rPr>
        <w:t>·</w:t>
      </w:r>
      <w:r>
        <w:rPr>
          <w:spacing w:val="-91"/>
        </w:rPr>
        <w:t xml:space="preserve"> </w:t>
      </w:r>
      <w:r>
        <w:rPr>
          <w:spacing w:val="14"/>
        </w:rPr>
        <w:t>2025年暴涨65%+</w:t>
      </w:r>
      <w:r>
        <w:rPr>
          <w:spacing w:val="-86"/>
        </w:rPr>
        <w:t xml:space="preserve"> </w:t>
      </w:r>
      <w:r>
        <w:rPr>
          <w:spacing w:val="14"/>
        </w:rPr>
        <w:t>→</w:t>
      </w:r>
      <w:r>
        <w:rPr>
          <w:spacing w:val="-90"/>
        </w:rPr>
        <w:t xml:space="preserve"> </w:t>
      </w:r>
      <w:r>
        <w:rPr>
          <w:spacing w:val="14"/>
        </w:rPr>
        <w:t>年收≈$4,318-$4,336(多来源略有差异)</w:t>
      </w:r>
    </w:p>
    <w:p>
      <w:pPr>
        <w:pStyle w:val="BodyText"/>
        <w:ind w:left="676"/>
        <w:spacing w:before="256" w:line="223" w:lineRule="auto"/>
        <w:rPr/>
      </w:pPr>
      <w:r>
        <w:rPr>
          <w:spacing w:val="10"/>
        </w:rPr>
        <w:t>·</w:t>
      </w:r>
      <w:r>
        <w:rPr>
          <w:spacing w:val="-90"/>
        </w:rPr>
        <w:t xml:space="preserve"> </w:t>
      </w:r>
      <w:r>
        <w:rPr>
          <w:spacing w:val="10"/>
        </w:rPr>
        <w:t>2025年内最高触及≈$4,533-$4,550</w:t>
      </w:r>
    </w:p>
    <w:p>
      <w:pPr>
        <w:pStyle w:val="BodyText"/>
        <w:spacing w:before="271" w:line="219" w:lineRule="auto"/>
        <w:outlineLvl w:val="0"/>
        <w:rPr/>
      </w:pPr>
      <w:r>
        <w:rPr>
          <w:b/>
          <w:bCs/>
          <w:spacing w:val="21"/>
        </w:rPr>
        <w:t>6.2026年至今(截至2月25日)</w:t>
      </w:r>
    </w:p>
    <w:p>
      <w:pPr>
        <w:pStyle w:val="BodyText"/>
        <w:ind w:left="676"/>
        <w:spacing w:before="284" w:line="223" w:lineRule="auto"/>
        <w:rPr/>
      </w:pPr>
      <w:r>
        <w:rPr>
          <w:spacing w:val="-5"/>
        </w:rPr>
        <w:t>·</w:t>
      </w:r>
      <w:r>
        <w:rPr>
          <w:spacing w:val="-89"/>
        </w:rPr>
        <w:t xml:space="preserve"> </w:t>
      </w:r>
      <w:r>
        <w:rPr>
          <w:spacing w:val="-5"/>
        </w:rPr>
        <w:t>开年≈$4,318</w:t>
      </w:r>
    </w:p>
    <w:p>
      <w:pPr>
        <w:pStyle w:val="BodyText"/>
        <w:ind w:left="676"/>
        <w:spacing w:before="247" w:line="221" w:lineRule="auto"/>
        <w:rPr/>
      </w:pPr>
      <w:r>
        <w:rPr>
          <w:spacing w:val="9"/>
        </w:rPr>
        <w:t>·</w:t>
      </w:r>
      <w:r>
        <w:rPr>
          <w:spacing w:val="-92"/>
        </w:rPr>
        <w:t xml:space="preserve"> </w:t>
      </w:r>
      <w:r>
        <w:rPr>
          <w:spacing w:val="9"/>
        </w:rPr>
        <w:t>2月高点已触及$5,598(部分来源记录)</w:t>
      </w:r>
    </w:p>
    <w:p>
      <w:pPr>
        <w:pStyle w:val="BodyText"/>
        <w:ind w:left="676"/>
        <w:spacing w:before="263" w:line="221" w:lineRule="auto"/>
        <w:rPr/>
      </w:pPr>
      <w:r>
        <w:rPr>
          <w:spacing w:val="4"/>
        </w:rPr>
        <w:t>·</w:t>
      </w:r>
      <w:r>
        <w:rPr>
          <w:spacing w:val="-87"/>
        </w:rPr>
        <w:t xml:space="preserve"> </w:t>
      </w:r>
      <w:r>
        <w:rPr>
          <w:spacing w:val="4"/>
        </w:rPr>
        <w:t>当前现货价格波动区间≈$5,150-$5,184(日内最新报价≈$5,171-$5</w:t>
      </w:r>
      <w:r>
        <w:rPr>
          <w:spacing w:val="3"/>
        </w:rPr>
        <w:t>,183)</w:t>
      </w:r>
    </w:p>
    <w:p>
      <w:pPr>
        <w:pStyle w:val="BodyText"/>
        <w:ind w:left="676"/>
        <w:spacing w:before="250" w:line="219" w:lineRule="auto"/>
        <w:rPr/>
      </w:pPr>
      <w:r>
        <w:rPr>
          <w:spacing w:val="6"/>
        </w:rPr>
        <w:t>·</w:t>
      </w:r>
      <w:r>
        <w:rPr>
          <w:spacing w:val="-86"/>
        </w:rPr>
        <w:t xml:space="preserve"> </w:t>
      </w:r>
      <w:r>
        <w:rPr>
          <w:spacing w:val="6"/>
        </w:rPr>
        <w:t>年初至今涨幅已超19%,继续创历史新高</w:t>
      </w:r>
    </w:p>
    <w:p>
      <w:pPr>
        <w:spacing w:line="219" w:lineRule="auto"/>
        <w:sectPr>
          <w:pgSz w:w="12240" w:h="15840"/>
          <w:pgMar w:top="1247" w:right="1836" w:bottom="0" w:left="1333" w:header="0" w:footer="0" w:gutter="0"/>
        </w:sectPr>
        <w:rPr/>
      </w:pPr>
    </w:p>
    <w:p>
      <w:pPr>
        <w:pStyle w:val="BodyText"/>
        <w:spacing w:before="49" w:line="332" w:lineRule="auto"/>
        <w:rPr/>
      </w:pPr>
      <w:r>
        <w:rPr>
          <w:spacing w:val="14"/>
        </w:rPr>
        <w:t>总体特征：2010-2025累计涨幅超过370%,</w:t>
      </w:r>
      <w:r>
        <w:rPr>
          <w:spacing w:val="13"/>
        </w:rPr>
        <w:t>2024-2026三年复合增速极高，呈现典型的“晚周</w:t>
      </w:r>
      <w:r>
        <w:rPr/>
        <w:t xml:space="preserve"> </w:t>
      </w:r>
      <w:r>
        <w:rPr>
          <w:spacing w:val="-15"/>
        </w:rPr>
        <w:t>期指数级加速”特征。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二、黄金未来可能趋势的思维导图式结构化分析</w:t>
      </w:r>
    </w:p>
    <w:p>
      <w:pPr>
        <w:pStyle w:val="BodyText"/>
        <w:ind w:right="40"/>
        <w:spacing w:before="221" w:line="324" w:lineRule="auto"/>
        <w:rPr/>
      </w:pPr>
      <w:r>
        <w:rPr>
          <w:spacing w:val="7"/>
        </w:rPr>
        <w:t>以下以文字模拟思维导图形式呈现(中心主题→一级分支→二级分支→三级关键点</w:t>
      </w:r>
      <w:r>
        <w:rPr>
          <w:spacing w:val="6"/>
        </w:rPr>
        <w:t>)。三种主要</w:t>
      </w:r>
      <w:r>
        <w:rPr/>
        <w:t xml:space="preserve"> </w:t>
      </w:r>
      <w:r>
        <w:rPr>
          <w:spacing w:val="-2"/>
        </w:rPr>
        <w:t>情景概率基于当前主流机构共识与技术形态综合评估。</w:t>
      </w:r>
    </w:p>
    <w:p>
      <w:pPr>
        <w:pStyle w:val="BodyText"/>
        <w:ind w:left="3"/>
        <w:spacing w:before="104" w:line="222" w:lineRule="auto"/>
        <w:rPr/>
      </w:pPr>
      <w:r>
        <w:rPr>
          <w:b/>
          <w:bCs/>
          <w:spacing w:val="9"/>
        </w:rPr>
        <w:t>中心主题：黄金2026-2030年价格趋势展望</w:t>
      </w:r>
    </w:p>
    <w:p>
      <w:pPr>
        <w:pStyle w:val="BodyText"/>
        <w:ind w:left="83"/>
        <w:spacing w:before="290" w:line="221" w:lineRule="auto"/>
        <w:rPr/>
      </w:pPr>
      <w:r>
        <w:rPr>
          <w:b/>
          <w:bCs/>
          <w:spacing w:val="16"/>
        </w:rPr>
        <w:t>—</w:t>
      </w:r>
      <w:r>
        <w:rPr>
          <w:spacing w:val="16"/>
        </w:rPr>
        <w:t xml:space="preserve"> </w:t>
      </w:r>
      <w:r>
        <w:rPr>
          <w:b/>
          <w:bCs/>
          <w:spacing w:val="16"/>
        </w:rPr>
        <w:t>情</w:t>
      </w:r>
      <w:r>
        <w:rPr>
          <w:spacing w:val="16"/>
        </w:rPr>
        <w:t xml:space="preserve"> </w:t>
      </w:r>
      <w:r>
        <w:rPr>
          <w:b/>
          <w:bCs/>
          <w:spacing w:val="16"/>
        </w:rPr>
        <w:t>景</w:t>
      </w:r>
      <w:r>
        <w:rPr>
          <w:rFonts w:ascii="SimSun" w:hAnsi="SimSun" w:eastAsia="SimSun" w:cs="SimSun"/>
          <w:b/>
          <w:bCs/>
          <w:spacing w:val="16"/>
        </w:rPr>
        <w:t>A:</w:t>
      </w:r>
      <w:r>
        <w:rPr>
          <w:rFonts w:ascii="SimSun" w:hAnsi="SimSun" w:eastAsia="SimSun" w:cs="SimSun"/>
          <w:spacing w:val="58"/>
        </w:rPr>
        <w:t xml:space="preserve"> </w:t>
      </w:r>
      <w:r>
        <w:rPr>
          <w:b/>
          <w:bCs/>
          <w:spacing w:val="16"/>
        </w:rPr>
        <w:t>延续超级牛市(概率55-65%)</w:t>
      </w:r>
    </w:p>
    <w:p>
      <w:pPr>
        <w:pStyle w:val="BodyText"/>
        <w:spacing w:before="156" w:line="222" w:lineRule="auto"/>
        <w:rPr/>
      </w:pPr>
      <w:r>
        <w:rPr>
          <w:rFonts w:ascii="Times New Roman" w:hAnsi="Times New Roman" w:eastAsia="Times New Roman" w:cs="Times New Roman"/>
        </w:rPr>
        <w:t>IH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  <w:strike/>
          <w:spacing w:val="3"/>
        </w:rPr>
        <w:t xml:space="preserve">       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1"/>
        </w:rPr>
        <w:t>核心驱动</w:t>
      </w:r>
    </w:p>
    <w:p>
      <w:pPr>
        <w:pStyle w:val="BodyText"/>
        <w:ind w:left="369"/>
        <w:spacing w:before="105" w:line="217" w:lineRule="auto"/>
        <w:rPr/>
      </w:pPr>
      <w:r>
        <w:rPr>
          <w:spacing w:val="26"/>
        </w:rPr>
        <w:t>|</w:t>
      </w:r>
      <w:r>
        <w:rPr>
          <w:spacing w:val="-55"/>
        </w:rPr>
        <w:t xml:space="preserve"> </w:t>
      </w:r>
      <w:r>
        <w:rPr>
          <w:spacing w:val="26"/>
        </w:rPr>
        <w:t>一</w:t>
      </w:r>
      <w:r>
        <w:rPr>
          <w:spacing w:val="-72"/>
        </w:rPr>
        <w:t xml:space="preserve"> </w:t>
      </w:r>
      <w:r>
        <w:rPr>
          <w:spacing w:val="26"/>
        </w:rPr>
        <w:t>央行持续大额购金(年均800-</w:t>
      </w:r>
      <w:r>
        <w:rPr>
          <w:spacing w:val="-61"/>
        </w:rPr>
        <w:t xml:space="preserve"> </w:t>
      </w:r>
      <w:r>
        <w:rPr>
          <w:spacing w:val="26"/>
        </w:rPr>
        <w:t>1,200吨)</w:t>
      </w:r>
    </w:p>
    <w:p>
      <w:pPr>
        <w:pStyle w:val="BodyText"/>
        <w:ind w:left="369"/>
        <w:spacing w:before="128" w:line="217" w:lineRule="auto"/>
        <w:rPr/>
      </w:pPr>
      <w:r>
        <w:rPr>
          <w:spacing w:val="13"/>
        </w:rPr>
        <w:t>|</w:t>
      </w:r>
      <w:r>
        <w:rPr>
          <w:spacing w:val="13"/>
        </w:rPr>
        <w:t xml:space="preserve">  </w:t>
      </w:r>
      <w:r>
        <w:rPr>
          <w:spacing w:val="13"/>
        </w:rPr>
        <w:t>十全球债务/</w:t>
      </w:r>
      <w:r>
        <w:rPr>
          <w:rFonts w:ascii="SimSun" w:hAnsi="SimSun" w:eastAsia="SimSun" w:cs="SimSun"/>
        </w:rPr>
        <w:t>GDP</w:t>
      </w:r>
      <w:r>
        <w:rPr>
          <w:rFonts w:ascii="SimSun" w:hAnsi="SimSun" w:eastAsia="SimSun" w:cs="SimSun"/>
          <w:spacing w:val="78"/>
        </w:rPr>
        <w:t xml:space="preserve"> </w:t>
      </w:r>
      <w:r>
        <w:rPr>
          <w:spacing w:val="13"/>
        </w:rPr>
        <w:t>新高→实际负利率长期化</w:t>
      </w:r>
    </w:p>
    <w:p>
      <w:pPr>
        <w:pStyle w:val="BodyText"/>
        <w:ind w:left="369"/>
        <w:spacing w:before="134" w:line="221" w:lineRule="auto"/>
        <w:rPr/>
      </w:pPr>
      <w:r>
        <w:rPr>
          <w:rFonts w:ascii="Arial" w:hAnsi="Arial" w:eastAsia="Arial" w:cs="Arial"/>
        </w:rPr>
        <w:t>IH</w:t>
      </w:r>
      <w:r>
        <w:rPr>
          <w:rFonts w:ascii="Arial" w:hAnsi="Arial" w:eastAsia="Arial" w:cs="Arial"/>
          <w:spacing w:val="6"/>
        </w:rPr>
        <w:t xml:space="preserve">         </w:t>
      </w:r>
      <w:r>
        <w:rPr>
          <w:spacing w:val="6"/>
        </w:rPr>
        <w:t>地缘政治碎片化+去美元化结构性需求</w:t>
      </w:r>
    </w:p>
    <w:p>
      <w:pPr>
        <w:pStyle w:val="BodyText"/>
        <w:ind w:left="709"/>
        <w:spacing w:before="123" w:line="222" w:lineRule="auto"/>
        <w:rPr/>
      </w:pPr>
      <w:r>
        <w:rPr>
          <w:spacing w:val="28"/>
        </w:rPr>
        <w:t>—</w:t>
      </w:r>
      <w:r>
        <w:rPr>
          <w:spacing w:val="-66"/>
        </w:rPr>
        <w:t xml:space="preserve"> </w:t>
      </w:r>
      <w:r>
        <w:rPr>
          <w:spacing w:val="28"/>
        </w:rPr>
        <w:t>通胀中枢上移(3</w:t>
      </w:r>
      <w:r>
        <w:rPr>
          <w:spacing w:val="-64"/>
        </w:rPr>
        <w:t xml:space="preserve"> </w:t>
      </w:r>
      <w:r>
        <w:rPr>
          <w:spacing w:val="28"/>
        </w:rPr>
        <w:t>.5-5%区间)</w:t>
      </w:r>
    </w:p>
    <w:p>
      <w:pPr>
        <w:pStyle w:val="BodyText"/>
        <w:ind w:left="369"/>
        <w:spacing w:before="152" w:line="222" w:lineRule="auto"/>
        <w:rPr/>
      </w:pPr>
      <w:r>
        <w:rPr>
          <w:spacing w:val="33"/>
        </w:rPr>
        <w:t>—</w:t>
      </w:r>
      <w:r>
        <w:rPr>
          <w:spacing w:val="-64"/>
        </w:rPr>
        <w:t xml:space="preserve"> </w:t>
      </w:r>
      <w:r>
        <w:rPr>
          <w:spacing w:val="33"/>
        </w:rPr>
        <w:t>价格路径预测</w:t>
      </w:r>
    </w:p>
    <w:p>
      <w:pPr>
        <w:pStyle w:val="BodyText"/>
        <w:ind w:left="369"/>
        <w:spacing w:before="144" w:line="217" w:lineRule="auto"/>
        <w:rPr/>
      </w:pPr>
      <w:r>
        <w:rPr>
          <w:spacing w:val="24"/>
        </w:rPr>
        <w:t>|</w:t>
      </w:r>
      <w:r>
        <w:rPr>
          <w:spacing w:val="15"/>
        </w:rPr>
        <w:t xml:space="preserve">  </w:t>
      </w:r>
      <w:r>
        <w:rPr>
          <w:spacing w:val="24"/>
        </w:rPr>
        <w:t>十2026年底：$5,000-$6,350(主流区间$5,000-$6,300)</w:t>
      </w:r>
    </w:p>
    <w:p>
      <w:pPr>
        <w:pStyle w:val="BodyText"/>
        <w:ind w:left="369"/>
        <w:spacing w:before="87" w:line="327" w:lineRule="exact"/>
        <w:rPr/>
      </w:pPr>
      <w:r>
        <w:rPr>
          <w:rFonts w:ascii="Arial" w:hAnsi="Arial" w:eastAsia="Arial" w:cs="Arial"/>
          <w:spacing w:val="14"/>
          <w:position w:val="2"/>
        </w:rPr>
        <w:t>|H2027         </w:t>
      </w:r>
      <w:r>
        <w:rPr>
          <w:spacing w:val="14"/>
          <w:position w:val="2"/>
        </w:rPr>
        <w:t>年底：$5,400-$8,000(激进目标$6,500-$7,</w:t>
      </w:r>
      <w:r>
        <w:rPr>
          <w:spacing w:val="13"/>
          <w:position w:val="2"/>
        </w:rPr>
        <w:t>800)</w:t>
      </w:r>
    </w:p>
    <w:p>
      <w:pPr>
        <w:pStyle w:val="BodyText"/>
        <w:ind w:left="1209"/>
        <w:spacing w:before="140" w:line="221" w:lineRule="auto"/>
        <w:rPr/>
      </w:pPr>
      <w:r>
        <w:rPr>
          <w:spacing w:val="17"/>
        </w:rPr>
        <w:t>2030峰值可能：$8,000-$14,000(极端乐观情景)</w:t>
      </w:r>
    </w:p>
    <w:p>
      <w:pPr>
        <w:pStyle w:val="BodyText"/>
        <w:ind w:left="569"/>
        <w:spacing w:before="105" w:line="222" w:lineRule="auto"/>
        <w:rPr/>
      </w:pPr>
      <w:r>
        <w:rPr>
          <w:spacing w:val="16"/>
        </w:rPr>
        <w:t>—技术面关键</w:t>
      </w:r>
    </w:p>
    <w:p>
      <w:pPr>
        <w:pStyle w:val="BodyText"/>
        <w:ind w:left="649"/>
        <w:spacing w:before="160" w:line="222" w:lineRule="auto"/>
        <w:rPr/>
      </w:pPr>
      <w:r>
        <w:rPr>
          <w:spacing w:val="15"/>
        </w:rPr>
        <w:t>十</w:t>
      </w:r>
      <w:r>
        <w:rPr>
          <w:spacing w:val="6"/>
        </w:rPr>
        <w:t xml:space="preserve">  </w:t>
      </w:r>
      <w:r>
        <w:rPr>
          <w:spacing w:val="15"/>
        </w:rPr>
        <w:t>短期压力：$5,255-$5,300</w:t>
      </w:r>
      <w:r>
        <w:rPr>
          <w:spacing w:val="-87"/>
        </w:rPr>
        <w:t xml:space="preserve"> </w:t>
      </w:r>
      <w:r>
        <w:rPr>
          <w:spacing w:val="15"/>
        </w:rPr>
        <w:t>→</w:t>
      </w:r>
      <w:r>
        <w:rPr>
          <w:spacing w:val="-90"/>
        </w:rPr>
        <w:t xml:space="preserve"> </w:t>
      </w:r>
      <w:r>
        <w:rPr>
          <w:spacing w:val="15"/>
        </w:rPr>
        <w:t>$5,598-$5,6</w:t>
      </w:r>
      <w:r>
        <w:rPr>
          <w:spacing w:val="14"/>
        </w:rPr>
        <w:t>00(前期极值区)</w:t>
      </w:r>
    </w:p>
    <w:p>
      <w:pPr>
        <w:pStyle w:val="BodyText"/>
        <w:ind w:left="649"/>
        <w:spacing w:before="154" w:line="224" w:lineRule="auto"/>
        <w:rPr/>
      </w:pPr>
      <w:r>
        <w:rPr>
          <w:spacing w:val="14"/>
        </w:rPr>
        <w:t>十</w:t>
      </w:r>
      <w:r>
        <w:rPr>
          <w:spacing w:val="2"/>
        </w:rPr>
        <w:t xml:space="preserve">  </w:t>
      </w:r>
      <w:r>
        <w:rPr>
          <w:spacing w:val="14"/>
        </w:rPr>
        <w:t>中期目标：$5,750-$6,000</w:t>
      </w:r>
      <w:r>
        <w:rPr>
          <w:spacing w:val="-87"/>
        </w:rPr>
        <w:t xml:space="preserve"> </w:t>
      </w:r>
      <w:r>
        <w:rPr>
          <w:spacing w:val="14"/>
        </w:rPr>
        <w:t>→</w:t>
      </w:r>
      <w:r>
        <w:rPr>
          <w:spacing w:val="-89"/>
        </w:rPr>
        <w:t xml:space="preserve"> </w:t>
      </w:r>
      <w:r>
        <w:rPr>
          <w:spacing w:val="14"/>
        </w:rPr>
        <w:t>$6,400-$6,600</w:t>
      </w:r>
    </w:p>
    <w:p>
      <w:pPr>
        <w:pStyle w:val="BodyText"/>
        <w:ind w:left="639"/>
        <w:spacing w:before="85" w:line="221" w:lineRule="auto"/>
        <w:tabs>
          <w:tab w:val="left" w:pos="1089"/>
        </w:tabs>
        <w:rPr/>
      </w:pPr>
      <w:r>
        <w:rPr>
          <w:strike/>
        </w:rPr>
        <w:tab/>
      </w:r>
      <w:r>
        <w:rPr>
          <w:spacing w:val="-69"/>
        </w:rPr>
        <w:t xml:space="preserve"> </w:t>
      </w:r>
      <w:r>
        <w:rPr>
          <w:spacing w:val="5"/>
        </w:rPr>
        <w:t>超级牛市延续条件：站稳$5,150并放量突破$5,300</w:t>
      </w:r>
    </w:p>
    <w:p>
      <w:pPr>
        <w:spacing w:line="221" w:lineRule="auto"/>
        <w:sectPr>
          <w:pgSz w:w="12240" w:h="15840"/>
          <w:pgMar w:top="1268" w:right="1090" w:bottom="0" w:left="980" w:header="0" w:footer="0" w:gutter="0"/>
        </w:sectPr>
        <w:rPr/>
      </w:pPr>
    </w:p>
    <w:p>
      <w:pPr>
        <w:pStyle w:val="BodyText"/>
        <w:ind w:left="159"/>
        <w:spacing w:before="48" w:line="221" w:lineRule="auto"/>
        <w:rPr/>
      </w:pPr>
      <w:r>
        <w:rPr>
          <w:b/>
          <w:bCs/>
          <w:spacing w:val="9"/>
        </w:rPr>
        <w:t>——情景</w:t>
      </w:r>
      <w:r>
        <w:rPr>
          <w:rFonts w:ascii="SimSun" w:hAnsi="SimSun" w:eastAsia="SimSun" w:cs="SimSun"/>
          <w:b/>
          <w:bCs/>
          <w:spacing w:val="9"/>
        </w:rPr>
        <w:t>B: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b/>
          <w:bCs/>
          <w:spacing w:val="9"/>
        </w:rPr>
        <w:t>高位宽幅震荡/结构性回调(概率25-35%)</w:t>
      </w:r>
    </w:p>
    <w:p>
      <w:pPr>
        <w:pStyle w:val="BodyText"/>
        <w:ind w:left="356"/>
        <w:spacing w:before="176" w:line="221" w:lineRule="auto"/>
        <w:rPr/>
      </w:pPr>
      <w:r>
        <w:rPr>
          <w:spacing w:val="1"/>
        </w:rPr>
        <w:t>十</w:t>
      </w:r>
      <w:r>
        <w:rPr>
          <w:spacing w:val="22"/>
        </w:rPr>
        <w:t xml:space="preserve">  </w:t>
      </w:r>
      <w:r>
        <w:rPr>
          <w:spacing w:val="1"/>
        </w:rPr>
        <w:t>触发条件</w:t>
      </w:r>
    </w:p>
    <w:p>
      <w:pPr>
        <w:pStyle w:val="BodyText"/>
        <w:ind w:left="355" w:right="4196" w:hanging="309"/>
        <w:spacing w:before="56" w:line="330" w:lineRule="auto"/>
        <w:rPr/>
      </w:pPr>
      <w:r>
        <w:rPr>
          <w:rFonts w:ascii="Times New Roman" w:hAnsi="Times New Roman" w:eastAsia="Times New Roman" w:cs="Times New Roman"/>
          <w:spacing w:val="6"/>
        </w:rPr>
        <w:t>||H</w:t>
      </w:r>
      <w:r>
        <w:rPr>
          <w:rFonts w:ascii="Times New Roman" w:hAnsi="Times New Roman" w:eastAsia="Times New Roman" w:cs="Times New Roman"/>
          <w:spacing w:val="2"/>
        </w:rPr>
        <w:t xml:space="preserve">               </w:t>
      </w:r>
      <w:r>
        <w:rPr>
          <w:spacing w:val="6"/>
        </w:rPr>
        <w:t>美联储提前转向紧缩(通胀意外顽固)</w:t>
      </w:r>
      <w:r>
        <w:rPr>
          <w:spacing w:val="6"/>
        </w:rPr>
        <w:t xml:space="preserve"> </w:t>
      </w:r>
      <w:r>
        <w:rPr>
          <w:spacing w:val="16"/>
        </w:rPr>
        <w:t>|</w:t>
      </w:r>
      <w:r>
        <w:rPr>
          <w:spacing w:val="16"/>
        </w:rPr>
        <w:t xml:space="preserve">  </w:t>
      </w:r>
      <w:r>
        <w:rPr>
          <w:spacing w:val="16"/>
        </w:rPr>
        <w:t>—风险资产大反弹挤压避险需求</w:t>
      </w:r>
    </w:p>
    <w:p>
      <w:pPr>
        <w:pStyle w:val="BodyText"/>
        <w:ind w:left="1216"/>
        <w:spacing w:before="8" w:line="222" w:lineRule="auto"/>
        <w:rPr/>
      </w:pPr>
      <w:r>
        <w:rPr>
          <w:spacing w:val="2"/>
        </w:rPr>
        <w:t>央行购金节奏显著放缓</w:t>
      </w:r>
    </w:p>
    <w:p>
      <w:pPr>
        <w:pStyle w:val="BodyText"/>
        <w:ind w:left="866"/>
        <w:spacing w:before="181" w:line="222" w:lineRule="auto"/>
        <w:rPr/>
      </w:pPr>
      <w:r>
        <w:rPr>
          <w:spacing w:val="3"/>
        </w:rPr>
        <w:t>价格区间</w:t>
      </w:r>
    </w:p>
    <w:p>
      <w:pPr>
        <w:pStyle w:val="BodyText"/>
        <w:ind w:left="356"/>
        <w:spacing w:before="141" w:line="222" w:lineRule="auto"/>
        <w:rPr/>
      </w:pPr>
      <w:r>
        <w:rPr>
          <w:rFonts w:ascii="SimSun" w:hAnsi="SimSun" w:eastAsia="SimSun" w:cs="SimSun"/>
        </w:rPr>
        <w:t>IH</w:t>
      </w:r>
      <w:r>
        <w:rPr>
          <w:rFonts w:ascii="SimSun" w:hAnsi="SimSun" w:eastAsia="SimSun" w:cs="SimSun"/>
          <w:spacing w:val="9"/>
        </w:rPr>
        <w:t>2026      </w:t>
      </w:r>
      <w:r>
        <w:rPr>
          <w:spacing w:val="9"/>
        </w:rPr>
        <w:t>年主体波动：$4,500-$5,500</w:t>
      </w:r>
    </w:p>
    <w:p>
      <w:pPr>
        <w:pStyle w:val="BodyText"/>
        <w:ind w:left="356"/>
        <w:spacing w:before="105" w:line="217" w:lineRule="auto"/>
        <w:rPr/>
      </w:pPr>
      <w:r>
        <w:rPr>
          <w:spacing w:val="20"/>
        </w:rPr>
        <w:t>|</w:t>
      </w:r>
      <w:r>
        <w:rPr>
          <w:spacing w:val="20"/>
        </w:rPr>
        <w:t xml:space="preserve">  </w:t>
      </w:r>
      <w:r>
        <w:rPr>
          <w:spacing w:val="20"/>
        </w:rPr>
        <w:t>十深度回撤目标：$4,000-$4,500(新长期支撑带)</w:t>
      </w:r>
    </w:p>
    <w:p>
      <w:pPr>
        <w:pStyle w:val="BodyText"/>
        <w:ind w:left="356"/>
        <w:spacing w:before="138" w:line="217" w:lineRule="auto"/>
        <w:rPr/>
      </w:pPr>
      <w:r>
        <w:rPr>
          <w:spacing w:val="30"/>
        </w:rPr>
        <w:t>|</w:t>
      </w:r>
      <w:r>
        <w:rPr>
          <w:spacing w:val="-69"/>
        </w:rPr>
        <w:t xml:space="preserve"> </w:t>
      </w:r>
      <w:r>
        <w:rPr>
          <w:spacing w:val="30"/>
        </w:rPr>
        <w:t>—</w:t>
      </w:r>
      <w:r>
        <w:rPr>
          <w:spacing w:val="-99"/>
        </w:rPr>
        <w:t xml:space="preserve"> </w:t>
      </w:r>
      <w:r>
        <w:rPr>
          <w:strike/>
          <w:spacing w:val="-87"/>
        </w:rPr>
        <w:t xml:space="preserve"> </w:t>
      </w:r>
      <w:r>
        <w:rPr>
          <w:strike/>
          <w:spacing w:val="30"/>
        </w:rPr>
        <w:t>最悲</w:t>
      </w:r>
      <w:r>
        <w:rPr>
          <w:spacing w:val="30"/>
        </w:rPr>
        <w:t>观不破：$3,800-</w:t>
      </w:r>
      <w:r>
        <w:rPr>
          <w:spacing w:val="-69"/>
        </w:rPr>
        <w:t xml:space="preserve"> </w:t>
      </w:r>
      <w:r>
        <w:rPr>
          <w:spacing w:val="30"/>
        </w:rPr>
        <w:t>$4,000(概率&lt;15%)</w:t>
      </w:r>
    </w:p>
    <w:p>
      <w:pPr>
        <w:pStyle w:val="BodyText"/>
        <w:ind w:left="866"/>
        <w:spacing w:before="106" w:line="222" w:lineRule="auto"/>
        <w:rPr/>
      </w:pPr>
      <w:r>
        <w:rPr>
          <w:spacing w:val="3"/>
        </w:rPr>
        <w:t>技术面关键</w:t>
      </w:r>
    </w:p>
    <w:p>
      <w:pPr>
        <w:pStyle w:val="BodyText"/>
        <w:ind w:left="1116"/>
        <w:spacing w:before="172" w:line="222" w:lineRule="auto"/>
        <w:rPr/>
      </w:pPr>
      <w:r>
        <w:rPr>
          <w:spacing w:val="17"/>
        </w:rPr>
        <w:t>强支撑：$4,900-$4,988</w:t>
      </w:r>
      <w:r>
        <w:rPr>
          <w:spacing w:val="-82"/>
        </w:rPr>
        <w:t xml:space="preserve"> </w:t>
      </w:r>
      <w:r>
        <w:rPr>
          <w:spacing w:val="17"/>
        </w:rPr>
        <w:t>→</w:t>
      </w:r>
      <w:r>
        <w:rPr>
          <w:spacing w:val="-86"/>
        </w:rPr>
        <w:t xml:space="preserve"> </w:t>
      </w:r>
      <w:r>
        <w:rPr>
          <w:spacing w:val="17"/>
        </w:rPr>
        <w:t>$4,685</w:t>
      </w:r>
      <w:r>
        <w:rPr>
          <w:spacing w:val="-84"/>
        </w:rPr>
        <w:t xml:space="preserve"> </w:t>
      </w:r>
      <w:r>
        <w:rPr>
          <w:spacing w:val="17"/>
        </w:rPr>
        <w:t>→</w:t>
      </w:r>
      <w:r>
        <w:rPr>
          <w:spacing w:val="-86"/>
        </w:rPr>
        <w:t xml:space="preserve"> </w:t>
      </w:r>
      <w:r>
        <w:rPr>
          <w:spacing w:val="17"/>
        </w:rPr>
        <w:t>$4,402(2026年2月低点)</w:t>
      </w:r>
    </w:p>
    <w:p>
      <w:pPr>
        <w:pStyle w:val="BodyText"/>
        <w:ind w:left="1116"/>
        <w:spacing w:before="129" w:line="222" w:lineRule="auto"/>
        <w:rPr/>
      </w:pPr>
      <w:r>
        <w:rPr>
          <w:spacing w:val="13"/>
        </w:rPr>
        <w:t>反弹压力：$5,141(0.618回撤)</w:t>
      </w:r>
      <w:r>
        <w:rPr>
          <w:spacing w:val="-90"/>
        </w:rPr>
        <w:t xml:space="preserve"> </w:t>
      </w:r>
      <w:r>
        <w:rPr>
          <w:spacing w:val="13"/>
        </w:rPr>
        <w:t>→$5,303</w:t>
      </w:r>
    </w:p>
    <w:p>
      <w:pPr>
        <w:pStyle w:val="BodyText"/>
        <w:ind w:left="256" w:right="4105" w:firstLine="860"/>
        <w:spacing w:before="101" w:line="381" w:lineRule="auto"/>
        <w:rPr/>
      </w:pPr>
      <w:r>
        <w:rPr>
          <w:spacing w:val="-1"/>
        </w:rPr>
        <w:t>形态：对称三角形/旗形整理后方向选择</w:t>
      </w:r>
      <w:r>
        <w:rPr>
          <w:spacing w:val="5"/>
        </w:rPr>
        <w:t xml:space="preserve"> </w:t>
      </w:r>
      <w:r>
        <w:rPr>
          <w:spacing w:val="17"/>
        </w:rPr>
        <w:t>—</w:t>
      </w:r>
      <w:r>
        <w:rPr>
          <w:spacing w:val="-69"/>
        </w:rPr>
        <w:t xml:space="preserve"> </w:t>
      </w:r>
      <w:r>
        <w:rPr>
          <w:spacing w:val="17"/>
        </w:rPr>
        <w:t>情景</w:t>
      </w:r>
      <w:r>
        <w:rPr>
          <w:rFonts w:ascii="Arial" w:hAnsi="Arial" w:eastAsia="Arial" w:cs="Arial"/>
          <w:spacing w:val="17"/>
        </w:rPr>
        <w:t>C:  </w:t>
      </w:r>
      <w:r>
        <w:rPr>
          <w:spacing w:val="17"/>
        </w:rPr>
        <w:t>系统性熊市反转(概率&lt;10-</w:t>
      </w:r>
      <w:r>
        <w:rPr>
          <w:spacing w:val="16"/>
        </w:rPr>
        <w:t>15%)</w:t>
      </w:r>
    </w:p>
    <w:p>
      <w:pPr>
        <w:pStyle w:val="BodyText"/>
        <w:ind w:left="556"/>
        <w:spacing w:before="1" w:line="220" w:lineRule="auto"/>
        <w:rPr/>
      </w:pPr>
      <w:r>
        <w:rPr>
          <w:spacing w:val="4"/>
        </w:rPr>
        <w:t>极端触发</w:t>
      </w:r>
    </w:p>
    <w:p>
      <w:pPr>
        <w:pStyle w:val="BodyText"/>
        <w:ind w:left="86" w:right="4910" w:firstLine="269"/>
        <w:spacing w:before="121" w:line="258" w:lineRule="auto"/>
        <w:tabs>
          <w:tab w:val="left" w:pos="395"/>
        </w:tabs>
        <w:rPr/>
      </w:pPr>
      <w:r>
        <w:rPr>
          <w:spacing w:val="10"/>
        </w:rPr>
        <w:t>十</w:t>
      </w:r>
      <w:r>
        <w:rPr>
          <w:spacing w:val="10"/>
        </w:rPr>
        <w:t xml:space="preserve">  </w:t>
      </w:r>
      <w:r>
        <w:rPr>
          <w:spacing w:val="10"/>
        </w:rPr>
        <w:t>全球经济硬着陆+流动性骤然收紧</w:t>
      </w:r>
      <w:r>
        <w:rPr>
          <w:spacing w:val="2"/>
        </w:rPr>
        <w:t xml:space="preserve"> </w:t>
      </w:r>
      <w:r>
        <w:rPr>
          <w:u w:val="single" w:color="auto"/>
        </w:rPr>
        <w:tab/>
      </w:r>
      <w:r>
        <w:rPr>
          <w:strike/>
          <w:u w:val="single" w:color="auto"/>
          <w:spacing w:val="22"/>
        </w:rPr>
        <w:t xml:space="preserve"> </w:t>
      </w:r>
      <w:r>
        <w:rPr>
          <w:strike/>
          <w:spacing w:val="45"/>
        </w:rPr>
        <w:t xml:space="preserve">  </w:t>
      </w:r>
      <w:r>
        <w:rPr>
          <w:spacing w:val="-110"/>
        </w:rPr>
        <w:t xml:space="preserve"> </w:t>
      </w:r>
      <w:r>
        <w:rPr>
          <w:spacing w:val="22"/>
        </w:rPr>
        <w:t>实际利率快速大幅上升(&gt;3-4%)</w:t>
      </w:r>
    </w:p>
    <w:p>
      <w:pPr>
        <w:pStyle w:val="BodyText"/>
        <w:ind w:left="46"/>
        <w:spacing w:before="201" w:line="222" w:lineRule="auto"/>
        <w:rPr/>
      </w:pPr>
      <w:r>
        <w:rPr>
          <w:spacing w:val="3"/>
        </w:rPr>
        <w:t>十</w:t>
      </w:r>
      <w:r>
        <w:rPr>
          <w:spacing w:val="3"/>
        </w:rPr>
        <w:t xml:space="preserve">  </w:t>
      </w:r>
      <w:r>
        <w:rPr>
          <w:spacing w:val="3"/>
        </w:rPr>
        <w:t>价格路径</w:t>
      </w:r>
    </w:p>
    <w:p>
      <w:pPr>
        <w:pStyle w:val="BodyText"/>
        <w:ind w:left="46"/>
        <w:spacing w:before="115" w:line="217" w:lineRule="auto"/>
        <w:rPr/>
      </w:pPr>
      <w:r>
        <w:rPr>
          <w:spacing w:val="31"/>
        </w:rPr>
        <w:t>|</w:t>
      </w:r>
      <w:r>
        <w:rPr>
          <w:spacing w:val="-71"/>
        </w:rPr>
        <w:t xml:space="preserve"> </w:t>
      </w:r>
      <w:r>
        <w:rPr>
          <w:spacing w:val="31"/>
        </w:rPr>
        <w:t>十2026-2027回撤目标：$3,50</w:t>
      </w:r>
      <w:r>
        <w:rPr>
          <w:spacing w:val="30"/>
        </w:rPr>
        <w:t>0-</w:t>
      </w:r>
      <w:r>
        <w:rPr>
          <w:spacing w:val="-70"/>
        </w:rPr>
        <w:t xml:space="preserve"> </w:t>
      </w:r>
      <w:r>
        <w:rPr>
          <w:spacing w:val="30"/>
        </w:rPr>
        <w:t>$4,000</w:t>
      </w:r>
    </w:p>
    <w:p>
      <w:pPr>
        <w:pStyle w:val="BodyText"/>
        <w:ind w:left="555" w:right="3177" w:hanging="509"/>
        <w:spacing w:before="148" w:line="277" w:lineRule="auto"/>
        <w:rPr/>
      </w:pPr>
      <w:r>
        <w:rPr>
          <w:spacing w:val="31"/>
        </w:rPr>
        <w:t>|</w:t>
      </w:r>
      <w:r>
        <w:rPr>
          <w:spacing w:val="-63"/>
        </w:rPr>
        <w:t xml:space="preserve"> </w:t>
      </w:r>
      <w:r>
        <w:rPr>
          <w:spacing w:val="31"/>
        </w:rPr>
        <w:t>—</w:t>
      </w:r>
      <w:r>
        <w:rPr>
          <w:strike/>
          <w:spacing w:val="-74"/>
        </w:rPr>
        <w:t xml:space="preserve"> </w:t>
      </w:r>
      <w:r>
        <w:rPr>
          <w:strike/>
          <w:spacing w:val="31"/>
        </w:rPr>
        <w:t>极端</w:t>
      </w:r>
      <w:r>
        <w:rPr>
          <w:spacing w:val="31"/>
        </w:rPr>
        <w:t>情景低点：$3,000-</w:t>
      </w:r>
      <w:r>
        <w:rPr>
          <w:spacing w:val="-70"/>
        </w:rPr>
        <w:t xml:space="preserve"> </w:t>
      </w:r>
      <w:r>
        <w:rPr>
          <w:spacing w:val="31"/>
        </w:rPr>
        <w:t>$3,360(30-40%修正)</w:t>
      </w:r>
      <w:r>
        <w:rPr/>
        <w:t xml:space="preserve"> </w:t>
      </w:r>
      <w:r>
        <w:rPr>
          <w:spacing w:val="3"/>
        </w:rPr>
        <w:t>技术面关键</w:t>
      </w:r>
    </w:p>
    <w:p>
      <w:pPr>
        <w:pStyle w:val="BodyText"/>
        <w:ind w:left="556"/>
        <w:spacing w:before="55" w:line="219" w:lineRule="auto"/>
        <w:rPr/>
      </w:pPr>
      <w:r>
        <w:rPr>
          <w:spacing w:val="8"/>
        </w:rPr>
        <w:t>破位信号：周线收盘跌破$4,685并失守$</w:t>
      </w:r>
      <w:r>
        <w:rPr>
          <w:spacing w:val="7"/>
        </w:rPr>
        <w:t>4,402</w:t>
      </w:r>
    </w:p>
    <w:p>
      <w:pPr>
        <w:pStyle w:val="BodyText"/>
        <w:ind w:left="276"/>
        <w:spacing w:before="135" w:line="219" w:lineRule="auto"/>
        <w:rPr/>
      </w:pPr>
      <w:r>
        <w:rPr>
          <w:spacing w:val="12"/>
        </w:rPr>
        <w:t>—确认熊市：200周均线死叉+</w:t>
      </w:r>
      <w:r>
        <w:rPr>
          <w:rFonts w:ascii="Arial" w:hAnsi="Arial" w:eastAsia="Arial" w:cs="Arial"/>
        </w:rPr>
        <w:t>RSI</w:t>
      </w:r>
      <w:r>
        <w:rPr>
          <w:spacing w:val="12"/>
        </w:rPr>
        <w:t>周线超卖后无反弹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right="3956"/>
        <w:spacing w:before="98" w:line="296" w:lineRule="auto"/>
        <w:rPr>
          <w:rFonts w:ascii="SimSun" w:hAnsi="SimSun" w:eastAsia="SimSun" w:cs="SimSun"/>
        </w:rPr>
      </w:pPr>
      <w:r>
        <w:rPr>
          <w:sz w:val="30"/>
          <w:szCs w:val="30"/>
          <w:b/>
          <w:bCs/>
          <w:spacing w:val="22"/>
        </w:rPr>
        <w:t>三、当前(2026年2月)关键技术位总结</w:t>
      </w:r>
      <w:r>
        <w:rPr>
          <w:sz w:val="30"/>
          <w:szCs w:val="30"/>
        </w:rPr>
        <w:t xml:space="preserve"> </w:t>
      </w:r>
      <w:r>
        <w:rPr>
          <w:b/>
          <w:bCs/>
          <w:spacing w:val="-5"/>
        </w:rPr>
        <w:t>关键压力位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(Resistance)</w:t>
      </w:r>
    </w:p>
    <w:p>
      <w:pPr>
        <w:pStyle w:val="BodyText"/>
        <w:ind w:left="356"/>
        <w:spacing w:before="278" w:line="224" w:lineRule="auto"/>
        <w:rPr/>
      </w:pPr>
      <w:r>
        <w:rPr>
          <w:spacing w:val="9"/>
        </w:rPr>
        <w:t>·</w:t>
      </w:r>
      <w:r>
        <w:rPr>
          <w:spacing w:val="-93"/>
        </w:rPr>
        <w:t xml:space="preserve"> </w:t>
      </w:r>
      <w:r>
        <w:rPr>
          <w:spacing w:val="9"/>
        </w:rPr>
        <w:t>近期：$5,255/$5,300</w:t>
      </w:r>
    </w:p>
    <w:p>
      <w:pPr>
        <w:pStyle w:val="BodyText"/>
        <w:ind w:left="356"/>
        <w:spacing w:before="246" w:line="222" w:lineRule="auto"/>
        <w:rPr/>
      </w:pPr>
      <w:r>
        <w:rPr>
          <w:spacing w:val="9"/>
        </w:rPr>
        <w:t>·</w:t>
      </w:r>
      <w:r>
        <w:rPr>
          <w:spacing w:val="-60"/>
        </w:rPr>
        <w:t xml:space="preserve"> </w:t>
      </w:r>
      <w:r>
        <w:rPr>
          <w:spacing w:val="9"/>
        </w:rPr>
        <w:t>中期：$5,598-$5,600(历史极值区)</w:t>
      </w:r>
    </w:p>
    <w:p>
      <w:pPr>
        <w:pStyle w:val="BodyText"/>
        <w:ind w:right="1131" w:firstLine="356"/>
        <w:spacing w:before="251" w:line="340" w:lineRule="auto"/>
        <w:rPr>
          <w:rFonts w:ascii="SimSun" w:hAnsi="SimSun" w:eastAsia="SimSun" w:cs="SimSun"/>
        </w:rPr>
      </w:pPr>
      <w:r>
        <w:rPr>
          <w:spacing w:val="9"/>
        </w:rPr>
        <w:t>·</w:t>
      </w:r>
      <w:r>
        <w:rPr>
          <w:spacing w:val="-92"/>
        </w:rPr>
        <w:t xml:space="preserve"> </w:t>
      </w:r>
      <w:r>
        <w:rPr>
          <w:spacing w:val="9"/>
        </w:rPr>
        <w:t>心理+技术：$5,141(0.618斐波那契)</w:t>
      </w:r>
      <w:r>
        <w:rPr>
          <w:spacing w:val="-92"/>
        </w:rPr>
        <w:t xml:space="preserve"> </w:t>
      </w:r>
      <w:r>
        <w:rPr>
          <w:spacing w:val="9"/>
        </w:rPr>
        <w:t>→$5,303</w:t>
      </w:r>
      <w:r>
        <w:rPr>
          <w:spacing w:val="-91"/>
        </w:rPr>
        <w:t xml:space="preserve"> </w:t>
      </w:r>
      <w:r>
        <w:rPr>
          <w:spacing w:val="9"/>
        </w:rPr>
        <w:t>→$5,600上方打开空间</w:t>
      </w:r>
      <w:r>
        <w:rPr/>
        <w:t xml:space="preserve"> </w:t>
      </w:r>
      <w:r>
        <w:rPr>
          <w:b/>
          <w:bCs/>
          <w:spacing w:val="-7"/>
        </w:rPr>
        <w:t>关键支撑位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b/>
          <w:bCs/>
          <w:spacing w:val="-7"/>
        </w:rPr>
        <w:t>(Support)</w:t>
      </w:r>
    </w:p>
    <w:p>
      <w:pPr>
        <w:spacing w:line="340" w:lineRule="auto"/>
        <w:sectPr>
          <w:pgSz w:w="12240" w:h="15840"/>
          <w:pgMar w:top="1235" w:right="1836" w:bottom="0" w:left="993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349"/>
        <w:spacing w:before="49" w:line="222" w:lineRule="auto"/>
        <w:rPr/>
      </w:pPr>
      <w:r>
        <w:rPr>
          <w:spacing w:val="10"/>
        </w:rPr>
        <w:t>·</w:t>
      </w:r>
      <w:r>
        <w:rPr>
          <w:spacing w:val="-97"/>
        </w:rPr>
        <w:t xml:space="preserve"> </w:t>
      </w:r>
      <w:r>
        <w:rPr>
          <w:spacing w:val="10"/>
        </w:rPr>
        <w:t>短期强支撑：$4,988-$5,000(</w:t>
      </w:r>
      <w:r>
        <w:rPr>
          <w:spacing w:val="9"/>
        </w:rPr>
        <w:t>心理+近期平台)</w:t>
      </w:r>
    </w:p>
    <w:p>
      <w:pPr>
        <w:pStyle w:val="BodyText"/>
        <w:ind w:left="349"/>
        <w:spacing w:before="259" w:line="222" w:lineRule="auto"/>
        <w:rPr/>
      </w:pPr>
      <w:r>
        <w:rPr>
          <w:spacing w:val="8"/>
        </w:rPr>
        <w:t>·</w:t>
      </w:r>
      <w:r>
        <w:rPr>
          <w:spacing w:val="-64"/>
        </w:rPr>
        <w:t xml:space="preserve"> </w:t>
      </w:r>
      <w:r>
        <w:rPr>
          <w:spacing w:val="8"/>
        </w:rPr>
        <w:t>中期核心支撑：$4,900→$4,685(0.5斐波那契+结构低点)</w:t>
      </w:r>
    </w:p>
    <w:p>
      <w:pPr>
        <w:pStyle w:val="BodyText"/>
        <w:ind w:left="349"/>
        <w:spacing w:before="250" w:line="221" w:lineRule="auto"/>
        <w:rPr/>
      </w:pPr>
      <w:r>
        <w:rPr>
          <w:spacing w:val="15"/>
        </w:rPr>
        <w:t>·</w:t>
      </w:r>
      <w:r>
        <w:rPr>
          <w:spacing w:val="-89"/>
        </w:rPr>
        <w:t xml:space="preserve"> </w:t>
      </w:r>
      <w:r>
        <w:rPr>
          <w:spacing w:val="15"/>
        </w:rPr>
        <w:t>深度支撑：$4,402(2026年2月低点)</w:t>
      </w:r>
      <w:r>
        <w:rPr>
          <w:spacing w:val="-84"/>
        </w:rPr>
        <w:t xml:space="preserve"> </w:t>
      </w:r>
      <w:r>
        <w:rPr>
          <w:spacing w:val="15"/>
        </w:rPr>
        <w:t>→</w:t>
      </w:r>
      <w:r>
        <w:rPr>
          <w:spacing w:val="-87"/>
        </w:rPr>
        <w:t xml:space="preserve"> </w:t>
      </w:r>
      <w:r>
        <w:rPr>
          <w:spacing w:val="15"/>
        </w:rPr>
        <w:t>$4,000(新世代长期地板)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四、综合结论与投资启示</w:t>
      </w:r>
    </w:p>
    <w:p>
      <w:pPr>
        <w:pStyle w:val="BodyText"/>
        <w:ind w:left="678" w:right="331" w:hanging="329"/>
        <w:spacing w:before="220" w:line="273" w:lineRule="auto"/>
        <w:rPr/>
      </w:pPr>
      <w:r>
        <w:rPr>
          <w:rFonts w:ascii="SimSun" w:hAnsi="SimSun" w:eastAsia="SimSun" w:cs="SimSun"/>
          <w:spacing w:val="2"/>
        </w:rPr>
        <w:t>1.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2"/>
        </w:rPr>
        <w:t>黄金自2024年以来已进入“晚周期指数加速”阶段，2025-2026年连续暴涨特征类似于</w:t>
      </w:r>
      <w:r>
        <w:rPr/>
        <w:t xml:space="preserve"> </w:t>
      </w:r>
      <w:r>
        <w:rPr>
          <w:spacing w:val="11"/>
        </w:rPr>
        <w:t>1979-1980年或2009-2011年晚期行情。</w:t>
      </w:r>
    </w:p>
    <w:p>
      <w:pPr>
        <w:pStyle w:val="BodyText"/>
        <w:ind w:left="678" w:hanging="329"/>
        <w:spacing w:before="261" w:line="269" w:lineRule="auto"/>
        <w:rPr/>
      </w:pPr>
      <w:r>
        <w:rPr>
          <w:rFonts w:ascii="SimSun" w:hAnsi="SimSun" w:eastAsia="SimSun" w:cs="SimSun"/>
          <w:spacing w:val="4"/>
        </w:rPr>
        <w:t>2.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4"/>
        </w:rPr>
        <w:t>当前价格≈$5,150-$5,180仍处于历史极值区上沿，短期高波动、易出现“买在5500卖在</w:t>
      </w:r>
      <w:r>
        <w:rPr/>
        <w:t xml:space="preserve"> </w:t>
      </w:r>
      <w:r>
        <w:rPr>
          <w:spacing w:val="-3"/>
        </w:rPr>
        <w:t>5000”的剧烈震荡。</w:t>
      </w:r>
    </w:p>
    <w:p>
      <w:pPr>
        <w:pStyle w:val="BodyText"/>
        <w:ind w:left="678" w:right="22" w:hanging="329"/>
        <w:spacing w:before="250" w:line="276" w:lineRule="auto"/>
        <w:rPr/>
      </w:pPr>
      <w:r>
        <w:rPr>
          <w:rFonts w:ascii="SimSun" w:hAnsi="SimSun" w:eastAsia="SimSun" w:cs="SimSun"/>
          <w:spacing w:val="7"/>
        </w:rPr>
        <w:t>3.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7"/>
        </w:rPr>
        <w:t>中长期结构性多头逻辑(央行购金+负实际利率+地缘碎片化)仍占主导，延续超级牛市仍</w:t>
      </w:r>
      <w:r>
        <w:rPr/>
        <w:t xml:space="preserve"> </w:t>
      </w:r>
      <w:r>
        <w:rPr>
          <w:spacing w:val="-5"/>
        </w:rPr>
        <w:t>是概率最高路径。</w:t>
      </w:r>
    </w:p>
    <w:p>
      <w:pPr>
        <w:pStyle w:val="BodyText"/>
        <w:ind w:left="678" w:right="83" w:hanging="329"/>
        <w:spacing w:before="232" w:line="277" w:lineRule="auto"/>
        <w:rPr/>
      </w:pPr>
      <w:r>
        <w:rPr>
          <w:rFonts w:ascii="SimSun" w:hAnsi="SimSun" w:eastAsia="SimSun" w:cs="SimSun"/>
          <w:spacing w:val="10"/>
        </w:rPr>
        <w:t>4.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10"/>
        </w:rPr>
        <w:t>激进投资者可在$4,900-$5,000附近分批布局，保守投资者等待回调至$4,68</w:t>
      </w:r>
      <w:r>
        <w:rPr>
          <w:spacing w:val="9"/>
        </w:rPr>
        <w:t>5-$4,800</w:t>
      </w:r>
      <w:r>
        <w:rPr/>
        <w:t xml:space="preserve"> </w:t>
      </w:r>
      <w:r>
        <w:rPr>
          <w:spacing w:val="-5"/>
        </w:rPr>
        <w:t>区间确认支撑再加仓。</w:t>
      </w:r>
    </w:p>
    <w:p>
      <w:pPr>
        <w:pStyle w:val="BodyText"/>
        <w:ind w:right="1064" w:firstLine="349"/>
        <w:spacing w:before="252" w:line="370" w:lineRule="auto"/>
        <w:rPr/>
      </w:pPr>
      <w:r>
        <w:rPr>
          <w:rFonts w:ascii="SimSun" w:hAnsi="SimSun" w:eastAsia="SimSun" w:cs="SimSun"/>
          <w:spacing w:val="-1"/>
        </w:rPr>
        <w:t>5.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-1"/>
        </w:rPr>
        <w:t>风险提示：任何超级牛市后期都伴随极端波动与快速修正，切勿追高杠杆重仓。</w:t>
      </w:r>
      <w:r>
        <w:rPr/>
        <w:t xml:space="preserve"> </w:t>
      </w:r>
      <w:r>
        <w:rPr>
          <w:spacing w:val="-1"/>
        </w:rPr>
        <w:t>如需更精细的周/月级别技术图表解读或具体情景概率量化模型，可提供进一步</w:t>
      </w:r>
      <w:r>
        <w:rPr>
          <w:spacing w:val="-2"/>
        </w:rPr>
        <w:t>需求。</w:t>
      </w:r>
      <w:r>
        <w:rPr/>
        <w:t xml:space="preserve"> </w:t>
      </w:r>
      <w:r>
        <w:rPr>
          <w:spacing w:val="5"/>
        </w:rPr>
        <w:t>报告结束</w:t>
      </w:r>
    </w:p>
    <w:sectPr>
      <w:pgSz w:w="12240" w:h="15840"/>
      <w:pgMar w:top="1210" w:right="1135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2026-03-16T00:00:17</vt:filetime>
  </property>
  <property fmtid="{D5CDD505-2E9C-101B-9397-08002B2CF9AE}" pid="4" name="UsrData">
    <vt:lpwstr>69b6d78f43cd31001f1dcfc6wl</vt:lpwstr>
  </property>
</Properties>
</file>